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Act 1929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_Toc271189029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_Toc271189030 \h </w:instrText>
      </w:r>
      <w:r>
        <w:fldChar w:fldCharType="separate"/>
      </w:r>
      <w:r>
        <w:t>1</w:t>
      </w:r>
      <w:r>
        <w:fldChar w:fldCharType="end"/>
      </w:r>
    </w:p>
    <w:p>
      <w:pPr>
        <w:pStyle w:val="TOC8"/>
        <w:rPr>
          <w:sz w:val="24"/>
          <w:szCs w:val="24"/>
        </w:rPr>
      </w:pPr>
      <w:r>
        <w:rPr>
          <w:szCs w:val="24"/>
        </w:rPr>
        <w:t>3.</w:t>
      </w:r>
      <w:r>
        <w:rPr>
          <w:szCs w:val="24"/>
        </w:rPr>
        <w:tab/>
        <w:t>Cremation without licence prohibited</w:t>
      </w:r>
      <w:r>
        <w:tab/>
      </w:r>
      <w:r>
        <w:fldChar w:fldCharType="begin"/>
      </w:r>
      <w:r>
        <w:instrText xml:space="preserve"> PAGEREF _Toc271189031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Issue of licences</w:t>
      </w:r>
      <w:r>
        <w:tab/>
      </w:r>
      <w:r>
        <w:fldChar w:fldCharType="begin"/>
      </w:r>
      <w:r>
        <w:instrText xml:space="preserve"> PAGEREF _Toc271189032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Portion of a cemetery may be set aside as a site for a crematorium</w:t>
      </w:r>
      <w:r>
        <w:tab/>
      </w:r>
      <w:r>
        <w:fldChar w:fldCharType="begin"/>
      </w:r>
      <w:r>
        <w:instrText xml:space="preserve"> PAGEREF _Toc271189033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Site of a crematorium which is not included in a cemetery shall be deemed to be a cemetery for certain purposes</w:t>
      </w:r>
      <w:r>
        <w:tab/>
      </w:r>
      <w:r>
        <w:fldChar w:fldCharType="begin"/>
      </w:r>
      <w:r>
        <w:instrText xml:space="preserve"> PAGEREF _Toc271189034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Disposal of ashes otherwise than by burial on a site of a crematorium</w:t>
      </w:r>
      <w:r>
        <w:tab/>
      </w:r>
      <w:r>
        <w:fldChar w:fldCharType="begin"/>
      </w:r>
      <w:r>
        <w:instrText xml:space="preserve"> PAGEREF _Toc271189035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Appointment of medical referees</w:t>
      </w:r>
      <w:r>
        <w:tab/>
      </w:r>
      <w:r>
        <w:fldChar w:fldCharType="begin"/>
      </w:r>
      <w:r>
        <w:instrText xml:space="preserve"> PAGEREF _Toc271189036 \h </w:instrText>
      </w:r>
      <w:r>
        <w:fldChar w:fldCharType="separate"/>
      </w:r>
      <w:r>
        <w:t>6</w:t>
      </w:r>
      <w:r>
        <w:fldChar w:fldCharType="end"/>
      </w:r>
    </w:p>
    <w:p>
      <w:pPr>
        <w:pStyle w:val="TOC8"/>
        <w:rPr>
          <w:sz w:val="24"/>
          <w:szCs w:val="24"/>
        </w:rPr>
      </w:pPr>
      <w:r>
        <w:rPr>
          <w:szCs w:val="24"/>
        </w:rPr>
        <w:t>8A</w:t>
      </w:r>
      <w:r>
        <w:rPr>
          <w:snapToGrid w:val="0"/>
          <w:szCs w:val="24"/>
        </w:rPr>
        <w:t>.</w:t>
      </w:r>
      <w:r>
        <w:rPr>
          <w:snapToGrid w:val="0"/>
          <w:szCs w:val="24"/>
        </w:rPr>
        <w:tab/>
        <w:t>Permits</w:t>
      </w:r>
      <w:r>
        <w:tab/>
      </w:r>
      <w:r>
        <w:fldChar w:fldCharType="begin"/>
      </w:r>
      <w:r>
        <w:instrText xml:space="preserve"> PAGEREF _Toc271189037 \h </w:instrText>
      </w:r>
      <w:r>
        <w:fldChar w:fldCharType="separate"/>
      </w:r>
      <w:r>
        <w:t>7</w:t>
      </w:r>
      <w:r>
        <w:fldChar w:fldCharType="end"/>
      </w:r>
    </w:p>
    <w:p>
      <w:pPr>
        <w:pStyle w:val="TOC8"/>
        <w:rPr>
          <w:sz w:val="24"/>
          <w:szCs w:val="24"/>
        </w:rPr>
      </w:pPr>
      <w:r>
        <w:rPr>
          <w:szCs w:val="24"/>
        </w:rPr>
        <w:t>8B</w:t>
      </w:r>
      <w:r>
        <w:rPr>
          <w:snapToGrid w:val="0"/>
          <w:szCs w:val="24"/>
        </w:rPr>
        <w:t>.</w:t>
      </w:r>
      <w:r>
        <w:rPr>
          <w:snapToGrid w:val="0"/>
          <w:szCs w:val="24"/>
        </w:rPr>
        <w:tab/>
        <w:t>Permit to cremate still</w:t>
      </w:r>
      <w:r>
        <w:rPr>
          <w:snapToGrid w:val="0"/>
          <w:szCs w:val="24"/>
        </w:rPr>
        <w:noBreakHyphen/>
        <w:t>born child</w:t>
      </w:r>
      <w:r>
        <w:tab/>
      </w:r>
      <w:r>
        <w:fldChar w:fldCharType="begin"/>
      </w:r>
      <w:r>
        <w:instrText xml:space="preserve"> PAGEREF _Toc271189038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Permit to be sufficient authority to cremate body</w:t>
      </w:r>
      <w:r>
        <w:tab/>
      </w:r>
      <w:r>
        <w:fldChar w:fldCharType="begin"/>
      </w:r>
      <w:r>
        <w:instrText xml:space="preserve"> PAGEREF _Toc271189039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Medical referee not to issue permit improperly; and no person to cremate body without permit</w:t>
      </w:r>
      <w:r>
        <w:tab/>
      </w:r>
      <w:r>
        <w:fldChar w:fldCharType="begin"/>
      </w:r>
      <w:r>
        <w:instrText xml:space="preserve"> PAGEREF _Toc271189040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Interested persons not to give certificates</w:t>
      </w:r>
      <w:r>
        <w:tab/>
      </w:r>
      <w:r>
        <w:fldChar w:fldCharType="begin"/>
      </w:r>
      <w:r>
        <w:instrText xml:space="preserve"> PAGEREF _Toc271189041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Cremation not permitted if objected to by deceased’s spouse, de facto partner or next of kin, unless directed by will or other writing signed by deceased</w:t>
      </w:r>
      <w:r>
        <w:tab/>
      </w:r>
      <w:r>
        <w:fldChar w:fldCharType="begin"/>
      </w:r>
      <w:r>
        <w:instrText xml:space="preserve"> PAGEREF _Toc271189042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Attorney General or coroner may forbid cremation</w:t>
      </w:r>
      <w:r>
        <w:tab/>
      </w:r>
      <w:r>
        <w:fldChar w:fldCharType="begin"/>
      </w:r>
      <w:r>
        <w:instrText xml:space="preserve"> PAGEREF _Toc271189043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Offences</w:t>
      </w:r>
      <w:r>
        <w:tab/>
      </w:r>
      <w:r>
        <w:fldChar w:fldCharType="begin"/>
      </w:r>
      <w:r>
        <w:instrText xml:space="preserve"> PAGEREF _Toc271189044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Revocation of licences</w:t>
      </w:r>
      <w:r>
        <w:tab/>
      </w:r>
      <w:r>
        <w:fldChar w:fldCharType="begin"/>
      </w:r>
      <w:r>
        <w:instrText xml:space="preserve"> PAGEREF _Toc271189045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_Toc271189046 \h </w:instrText>
      </w:r>
      <w:r>
        <w:fldChar w:fldCharType="separate"/>
      </w:r>
      <w:r>
        <w:t>12</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_Toc271189048 \h </w:instrText>
      </w:r>
      <w:r>
        <w:fldChar w:fldCharType="separate"/>
      </w:r>
      <w:r>
        <w:t>14</w:t>
      </w:r>
      <w:r>
        <w:fldChar w:fldCharType="end"/>
      </w:r>
    </w:p>
    <w:p>
      <w:pPr>
        <w:pStyle w:val="TOC8"/>
        <w:rPr>
          <w:sz w:val="24"/>
        </w:rPr>
      </w:pPr>
      <w:r>
        <w:tab/>
        <w:t>Provisions that have not come into operation</w:t>
      </w:r>
      <w:r>
        <w:tab/>
      </w:r>
      <w:r>
        <w:fldChar w:fldCharType="begin"/>
      </w:r>
      <w:r>
        <w:instrText xml:space="preserve"> PAGEREF _Toc271189049 \h </w:instrText>
      </w:r>
      <w:r>
        <w:fldChar w:fldCharType="separate"/>
      </w:r>
      <w:r>
        <w:t>15</w:t>
      </w:r>
      <w:r>
        <w:fldChar w:fldCharType="end"/>
      </w:r>
    </w:p>
    <w:p>
      <w:pPr>
        <w:pStyle w:val="TOC2"/>
        <w:tabs>
          <w:tab w:val="right" w:leader="dot" w:pos="7078"/>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1" w:name="_Toc448717214"/>
      <w:bookmarkStart w:id="2" w:name="_Toc20537892"/>
      <w:bookmarkStart w:id="3" w:name="_Toc101953531"/>
      <w:bookmarkStart w:id="4" w:name="_Toc271189029"/>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bookmarkStart w:id="8" w:name="_Toc271189030"/>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 162.]</w:t>
      </w:r>
    </w:p>
    <w:p>
      <w:pPr>
        <w:pStyle w:val="Heading5"/>
      </w:pPr>
      <w:bookmarkStart w:id="9" w:name="_Toc448717216"/>
      <w:bookmarkStart w:id="10" w:name="_Toc20537894"/>
      <w:bookmarkStart w:id="11" w:name="_Toc101953533"/>
      <w:bookmarkStart w:id="12" w:name="_Toc271189031"/>
      <w:r>
        <w:rPr>
          <w:rStyle w:val="CharSectno"/>
        </w:rPr>
        <w:t>3</w:t>
      </w:r>
      <w:r>
        <w:t>.</w:t>
      </w:r>
      <w:r>
        <w:tab/>
        <w:t>Cremation without licence prohibited</w:t>
      </w:r>
      <w:bookmarkEnd w:id="9"/>
      <w:bookmarkEnd w:id="10"/>
      <w:bookmarkEnd w:id="11"/>
      <w:bookmarkEnd w:id="12"/>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3" w:name="_Toc448717217"/>
      <w:bookmarkStart w:id="14" w:name="_Toc20537895"/>
      <w:bookmarkStart w:id="15" w:name="_Toc101953534"/>
      <w:bookmarkStart w:id="16" w:name="_Toc271189032"/>
      <w:r>
        <w:rPr>
          <w:rStyle w:val="CharSectno"/>
        </w:rPr>
        <w:t>4</w:t>
      </w:r>
      <w:r>
        <w:rPr>
          <w:snapToGrid w:val="0"/>
        </w:rPr>
        <w:t>.</w:t>
      </w:r>
      <w:r>
        <w:rPr>
          <w:snapToGrid w:val="0"/>
        </w:rPr>
        <w:tab/>
        <w:t>Issue of licences</w:t>
      </w:r>
      <w:bookmarkEnd w:id="13"/>
      <w:bookmarkEnd w:id="14"/>
      <w:bookmarkEnd w:id="15"/>
      <w:bookmarkEnd w:id="16"/>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7" w:name="_Toc448717218"/>
      <w:bookmarkStart w:id="18" w:name="_Toc20537896"/>
      <w:bookmarkStart w:id="19" w:name="_Toc101953535"/>
      <w:bookmarkStart w:id="20" w:name="_Toc271189033"/>
      <w:r>
        <w:rPr>
          <w:rStyle w:val="CharSectno"/>
        </w:rPr>
        <w:t>5</w:t>
      </w:r>
      <w:r>
        <w:rPr>
          <w:snapToGrid w:val="0"/>
        </w:rPr>
        <w:t>.</w:t>
      </w:r>
      <w:r>
        <w:rPr>
          <w:snapToGrid w:val="0"/>
        </w:rPr>
        <w:tab/>
        <w:t>Portion of a cemetery may be set aside as a site for a crematorium</w:t>
      </w:r>
      <w:bookmarkEnd w:id="17"/>
      <w:bookmarkEnd w:id="18"/>
      <w:bookmarkEnd w:id="19"/>
      <w:bookmarkEnd w:id="20"/>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1" w:name="_Toc448717219"/>
      <w:bookmarkStart w:id="22" w:name="_Toc20537897"/>
      <w:bookmarkStart w:id="23" w:name="_Toc101953536"/>
      <w:bookmarkStart w:id="24" w:name="_Toc271189034"/>
      <w:r>
        <w:rPr>
          <w:rStyle w:val="CharSectno"/>
        </w:rPr>
        <w:t>6</w:t>
      </w:r>
      <w:r>
        <w:rPr>
          <w:snapToGrid w:val="0"/>
        </w:rPr>
        <w:t>.</w:t>
      </w:r>
      <w:r>
        <w:rPr>
          <w:snapToGrid w:val="0"/>
        </w:rPr>
        <w:tab/>
        <w:t>Site of a crematorium which is not included in a cemetery shall be deemed to be a cemetery for certain purposes</w:t>
      </w:r>
      <w:bookmarkEnd w:id="21"/>
      <w:bookmarkEnd w:id="22"/>
      <w:bookmarkEnd w:id="23"/>
      <w:bookmarkEnd w:id="2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5" w:name="_Toc448717220"/>
      <w:bookmarkStart w:id="26" w:name="_Toc20537898"/>
      <w:bookmarkStart w:id="27" w:name="_Toc101953537"/>
      <w:bookmarkStart w:id="28" w:name="_Toc271189035"/>
      <w:r>
        <w:rPr>
          <w:rStyle w:val="CharSectno"/>
        </w:rPr>
        <w:t>7</w:t>
      </w:r>
      <w:r>
        <w:rPr>
          <w:snapToGrid w:val="0"/>
        </w:rPr>
        <w:t>.</w:t>
      </w:r>
      <w:r>
        <w:rPr>
          <w:snapToGrid w:val="0"/>
        </w:rPr>
        <w:tab/>
        <w:t>Disposal of ashes otherwise than by burial on a site of a crematorium</w:t>
      </w:r>
      <w:bookmarkEnd w:id="25"/>
      <w:bookmarkEnd w:id="26"/>
      <w:bookmarkEnd w:id="27"/>
      <w:bookmarkEnd w:id="28"/>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29" w:name="_Toc448717221"/>
      <w:bookmarkStart w:id="30" w:name="_Toc20537899"/>
      <w:bookmarkStart w:id="31" w:name="_Toc101953538"/>
      <w:bookmarkStart w:id="32" w:name="_Toc271189036"/>
      <w:r>
        <w:rPr>
          <w:rStyle w:val="CharSectno"/>
        </w:rPr>
        <w:t>8</w:t>
      </w:r>
      <w:r>
        <w:rPr>
          <w:snapToGrid w:val="0"/>
        </w:rPr>
        <w:t>.</w:t>
      </w:r>
      <w:r>
        <w:rPr>
          <w:snapToGrid w:val="0"/>
        </w:rPr>
        <w:tab/>
        <w:t>Appointment of medical referees</w:t>
      </w:r>
      <w:bookmarkEnd w:id="29"/>
      <w:bookmarkEnd w:id="30"/>
      <w:bookmarkEnd w:id="31"/>
      <w:bookmarkEnd w:id="32"/>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33" w:name="_Toc448717222"/>
      <w:bookmarkStart w:id="34" w:name="_Toc20537900"/>
      <w:bookmarkStart w:id="35" w:name="_Toc101953539"/>
      <w:bookmarkStart w:id="36" w:name="_Toc271189037"/>
      <w:r>
        <w:rPr>
          <w:rStyle w:val="CharSectno"/>
        </w:rPr>
        <w:t>8A</w:t>
      </w:r>
      <w:r>
        <w:rPr>
          <w:snapToGrid w:val="0"/>
        </w:rPr>
        <w:t>.</w:t>
      </w:r>
      <w:r>
        <w:rPr>
          <w:snapToGrid w:val="0"/>
        </w:rPr>
        <w:tab/>
        <w:t>Permits</w:t>
      </w:r>
      <w:bookmarkEnd w:id="33"/>
      <w:bookmarkEnd w:id="34"/>
      <w:bookmarkEnd w:id="35"/>
      <w:bookmarkEnd w:id="36"/>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7" w:name="_Toc448717223"/>
      <w:bookmarkStart w:id="38" w:name="_Toc20537901"/>
      <w:bookmarkStart w:id="39" w:name="_Toc101953540"/>
      <w:bookmarkStart w:id="40" w:name="_Toc271189038"/>
      <w:r>
        <w:rPr>
          <w:rStyle w:val="CharSectno"/>
        </w:rPr>
        <w:t>8B</w:t>
      </w:r>
      <w:r>
        <w:rPr>
          <w:snapToGrid w:val="0"/>
        </w:rPr>
        <w:t>.</w:t>
      </w:r>
      <w:r>
        <w:rPr>
          <w:snapToGrid w:val="0"/>
        </w:rPr>
        <w:tab/>
        <w:t>Permit to cremate still</w:t>
      </w:r>
      <w:r>
        <w:rPr>
          <w:snapToGrid w:val="0"/>
        </w:rPr>
        <w:noBreakHyphen/>
        <w:t>born child</w:t>
      </w:r>
      <w:bookmarkEnd w:id="37"/>
      <w:bookmarkEnd w:id="38"/>
      <w:bookmarkEnd w:id="39"/>
      <w:bookmarkEnd w:id="40"/>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41" w:name="_Toc448717224"/>
      <w:bookmarkStart w:id="42" w:name="_Toc20537902"/>
      <w:bookmarkStart w:id="43" w:name="_Toc101953541"/>
      <w:bookmarkStart w:id="44" w:name="_Toc271189039"/>
      <w:r>
        <w:rPr>
          <w:rStyle w:val="CharSectno"/>
        </w:rPr>
        <w:t>9</w:t>
      </w:r>
      <w:r>
        <w:rPr>
          <w:snapToGrid w:val="0"/>
        </w:rPr>
        <w:t>.</w:t>
      </w:r>
      <w:r>
        <w:rPr>
          <w:snapToGrid w:val="0"/>
        </w:rPr>
        <w:tab/>
        <w:t>Permit to be sufficient authority to cremate body</w:t>
      </w:r>
      <w:bookmarkEnd w:id="41"/>
      <w:bookmarkEnd w:id="42"/>
      <w:bookmarkEnd w:id="43"/>
      <w:bookmarkEnd w:id="4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5" w:name="_Toc448717225"/>
      <w:bookmarkStart w:id="46" w:name="_Toc20537903"/>
      <w:bookmarkStart w:id="47" w:name="_Toc101953542"/>
      <w:bookmarkStart w:id="48" w:name="_Toc271189040"/>
      <w:r>
        <w:rPr>
          <w:rStyle w:val="CharSectno"/>
        </w:rPr>
        <w:t>10</w:t>
      </w:r>
      <w:r>
        <w:rPr>
          <w:snapToGrid w:val="0"/>
        </w:rPr>
        <w:t>.</w:t>
      </w:r>
      <w:r>
        <w:rPr>
          <w:snapToGrid w:val="0"/>
        </w:rPr>
        <w:tab/>
        <w:t>Medical referee not to issue permit improperly; and no person to cremate body without permit</w:t>
      </w:r>
      <w:bookmarkEnd w:id="45"/>
      <w:bookmarkEnd w:id="46"/>
      <w:bookmarkEnd w:id="47"/>
      <w:bookmarkEnd w:id="48"/>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49" w:name="_Toc448717226"/>
      <w:bookmarkStart w:id="50" w:name="_Toc20537904"/>
      <w:bookmarkStart w:id="51" w:name="_Toc101953543"/>
      <w:bookmarkStart w:id="52" w:name="_Toc271189041"/>
      <w:r>
        <w:rPr>
          <w:rStyle w:val="CharSectno"/>
        </w:rPr>
        <w:t>12</w:t>
      </w:r>
      <w:r>
        <w:rPr>
          <w:snapToGrid w:val="0"/>
        </w:rPr>
        <w:t>.</w:t>
      </w:r>
      <w:r>
        <w:rPr>
          <w:snapToGrid w:val="0"/>
        </w:rPr>
        <w:tab/>
        <w:t>Interested persons not to give certificates</w:t>
      </w:r>
      <w:bookmarkEnd w:id="49"/>
      <w:bookmarkEnd w:id="50"/>
      <w:bookmarkEnd w:id="51"/>
      <w:bookmarkEnd w:id="52"/>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3" w:name="_Toc448717227"/>
      <w:bookmarkStart w:id="54" w:name="_Toc20537905"/>
      <w:bookmarkStart w:id="55" w:name="_Toc101953544"/>
      <w:bookmarkStart w:id="56" w:name="_Toc271189042"/>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53"/>
      <w:bookmarkEnd w:id="54"/>
      <w:bookmarkEnd w:id="55"/>
      <w:bookmarkEnd w:id="56"/>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7" w:name="_Toc448717228"/>
      <w:bookmarkStart w:id="58" w:name="_Toc20537906"/>
      <w:bookmarkStart w:id="59" w:name="_Toc101953545"/>
      <w:bookmarkStart w:id="60" w:name="_Toc271189043"/>
      <w:r>
        <w:rPr>
          <w:rStyle w:val="CharSectno"/>
        </w:rPr>
        <w:t>14</w:t>
      </w:r>
      <w:r>
        <w:rPr>
          <w:snapToGrid w:val="0"/>
        </w:rPr>
        <w:t>.</w:t>
      </w:r>
      <w:r>
        <w:rPr>
          <w:snapToGrid w:val="0"/>
        </w:rPr>
        <w:tab/>
        <w:t>Attorney General or coroner may forbid cremation</w:t>
      </w:r>
      <w:bookmarkEnd w:id="57"/>
      <w:bookmarkEnd w:id="58"/>
      <w:bookmarkEnd w:id="59"/>
      <w:bookmarkEnd w:id="60"/>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1" w:name="_Toc448717229"/>
      <w:bookmarkStart w:id="62" w:name="_Toc20537907"/>
      <w:bookmarkStart w:id="63" w:name="_Toc101953546"/>
      <w:bookmarkStart w:id="64" w:name="_Toc271189044"/>
      <w:r>
        <w:rPr>
          <w:rStyle w:val="CharSectno"/>
        </w:rPr>
        <w:t>15</w:t>
      </w:r>
      <w:r>
        <w:rPr>
          <w:snapToGrid w:val="0"/>
        </w:rPr>
        <w:t>.</w:t>
      </w:r>
      <w:r>
        <w:rPr>
          <w:snapToGrid w:val="0"/>
        </w:rPr>
        <w:tab/>
        <w:t>Offences</w:t>
      </w:r>
      <w:bookmarkEnd w:id="61"/>
      <w:bookmarkEnd w:id="62"/>
      <w:bookmarkEnd w:id="63"/>
      <w:bookmarkEnd w:id="6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5" w:name="_Toc448717230"/>
      <w:bookmarkStart w:id="66" w:name="_Toc20537908"/>
      <w:bookmarkStart w:id="67" w:name="_Toc101953547"/>
      <w:bookmarkStart w:id="68" w:name="_Toc271189045"/>
      <w:r>
        <w:rPr>
          <w:rStyle w:val="CharSectno"/>
        </w:rPr>
        <w:t>16</w:t>
      </w:r>
      <w:r>
        <w:rPr>
          <w:snapToGrid w:val="0"/>
        </w:rPr>
        <w:t>.</w:t>
      </w:r>
      <w:r>
        <w:rPr>
          <w:snapToGrid w:val="0"/>
        </w:rPr>
        <w:tab/>
        <w:t>Revocation of licences</w:t>
      </w:r>
      <w:bookmarkEnd w:id="65"/>
      <w:bookmarkEnd w:id="66"/>
      <w:bookmarkEnd w:id="67"/>
      <w:bookmarkEnd w:id="68"/>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69" w:name="_Toc448717231"/>
      <w:bookmarkStart w:id="70" w:name="_Toc20537909"/>
      <w:bookmarkStart w:id="71" w:name="_Toc101953548"/>
      <w:bookmarkStart w:id="72" w:name="_Toc271189046"/>
      <w:r>
        <w:rPr>
          <w:rStyle w:val="CharSectno"/>
        </w:rPr>
        <w:t>17</w:t>
      </w:r>
      <w:r>
        <w:rPr>
          <w:snapToGrid w:val="0"/>
        </w:rPr>
        <w:t>.</w:t>
      </w:r>
      <w:r>
        <w:rPr>
          <w:snapToGrid w:val="0"/>
        </w:rPr>
        <w:tab/>
        <w:t>Regulations</w:t>
      </w:r>
      <w:bookmarkEnd w:id="69"/>
      <w:bookmarkEnd w:id="70"/>
      <w:bookmarkEnd w:id="71"/>
      <w:bookmarkEnd w:id="72"/>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3" w:name="_Toc89499498"/>
      <w:bookmarkStart w:id="74" w:name="_Toc89499583"/>
      <w:bookmarkStart w:id="75" w:name="_Toc89510850"/>
      <w:bookmarkStart w:id="76" w:name="_Toc92513111"/>
      <w:bookmarkStart w:id="77" w:name="_Toc101953507"/>
      <w:bookmarkStart w:id="78" w:name="_Toc101953549"/>
      <w:bookmarkStart w:id="79" w:name="_Toc199738526"/>
      <w:bookmarkStart w:id="80" w:name="_Toc199738572"/>
      <w:bookmarkStart w:id="81" w:name="_Toc199815663"/>
      <w:bookmarkStart w:id="82" w:name="_Toc202235196"/>
      <w:bookmarkStart w:id="83" w:name="_Toc202250099"/>
      <w:bookmarkStart w:id="84" w:name="_Toc203379060"/>
      <w:bookmarkStart w:id="85" w:name="_Toc215479483"/>
      <w:bookmarkStart w:id="86" w:name="_Toc267648168"/>
      <w:bookmarkStart w:id="87" w:name="_Toc271188985"/>
      <w:bookmarkStart w:id="88" w:name="_Toc271189047"/>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89" w:name="_Toc271189048"/>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Cremation Act 1929</w:t>
            </w:r>
          </w:p>
        </w:tc>
        <w:tc>
          <w:tcPr>
            <w:tcW w:w="1134" w:type="dxa"/>
            <w:gridSpan w:val="2"/>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gridSpan w:val="2"/>
            <w:tcBorders>
              <w:top w:val="single" w:sz="8" w:space="0" w:color="auto"/>
            </w:tcBorders>
          </w:tcPr>
          <w:p>
            <w:pPr>
              <w:pStyle w:val="nTable"/>
              <w:spacing w:after="40"/>
              <w:rPr>
                <w:sz w:val="19"/>
              </w:rPr>
            </w:pPr>
            <w:r>
              <w:rPr>
                <w:sz w:val="19"/>
              </w:rPr>
              <w:t>11 Dec 1929</w:t>
            </w:r>
          </w:p>
        </w:tc>
      </w:tr>
      <w:tr>
        <w:trPr>
          <w:cantSplit/>
        </w:trPr>
        <w:tc>
          <w:tcPr>
            <w:tcW w:w="2268" w:type="dxa"/>
            <w:gridSpan w:val="2"/>
          </w:tcPr>
          <w:p>
            <w:pPr>
              <w:pStyle w:val="nTable"/>
              <w:spacing w:after="40"/>
              <w:ind w:right="113"/>
              <w:rPr>
                <w:sz w:val="19"/>
              </w:rPr>
            </w:pPr>
            <w:r>
              <w:rPr>
                <w:i/>
                <w:sz w:val="19"/>
              </w:rPr>
              <w:t>Cremation Act Amendment Act 1935</w:t>
            </w:r>
          </w:p>
        </w:tc>
        <w:tc>
          <w:tcPr>
            <w:tcW w:w="1134" w:type="dxa"/>
            <w:gridSpan w:val="2"/>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gridSpan w:val="2"/>
          </w:tcPr>
          <w:p>
            <w:pPr>
              <w:pStyle w:val="nTable"/>
              <w:spacing w:after="40"/>
              <w:rPr>
                <w:sz w:val="19"/>
              </w:rPr>
            </w:pPr>
            <w:r>
              <w:rPr>
                <w:sz w:val="19"/>
              </w:rPr>
              <w:t>5 Oct 1935</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Cremation Act Amendment Act 1953</w:t>
            </w:r>
          </w:p>
        </w:tc>
        <w:tc>
          <w:tcPr>
            <w:tcW w:w="1134" w:type="dxa"/>
            <w:gridSpan w:val="2"/>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gridSpan w:val="2"/>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gridSpan w:val="2"/>
          </w:tcPr>
          <w:p>
            <w:pPr>
              <w:pStyle w:val="nTable"/>
              <w:spacing w:after="40"/>
              <w:ind w:right="113"/>
              <w:rPr>
                <w:sz w:val="19"/>
              </w:rPr>
            </w:pPr>
            <w:r>
              <w:rPr>
                <w:i/>
                <w:sz w:val="19"/>
              </w:rPr>
              <w:t>Cremation Act Amendment Act 1967</w:t>
            </w:r>
          </w:p>
        </w:tc>
        <w:tc>
          <w:tcPr>
            <w:tcW w:w="1134" w:type="dxa"/>
            <w:gridSpan w:val="2"/>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gridSpan w:val="2"/>
          </w:tcPr>
          <w:p>
            <w:pPr>
              <w:pStyle w:val="nTable"/>
              <w:spacing w:after="40"/>
              <w:rPr>
                <w:sz w:val="19"/>
              </w:rPr>
            </w:pPr>
            <w:r>
              <w:rPr>
                <w:sz w:val="19"/>
              </w:rPr>
              <w:t>21 Nov 1967</w:t>
            </w:r>
          </w:p>
        </w:tc>
      </w:tr>
      <w:tr>
        <w:trPr>
          <w:cantSplit/>
        </w:trPr>
        <w:tc>
          <w:tcPr>
            <w:tcW w:w="2268" w:type="dxa"/>
            <w:gridSpan w:val="2"/>
          </w:tcPr>
          <w:p>
            <w:pPr>
              <w:pStyle w:val="nTable"/>
              <w:spacing w:after="40"/>
              <w:ind w:right="113"/>
              <w:rPr>
                <w:sz w:val="19"/>
              </w:rPr>
            </w:pPr>
            <w:r>
              <w:rPr>
                <w:i/>
                <w:sz w:val="19"/>
              </w:rPr>
              <w:t>Cremation Act Amendment Act 1968</w:t>
            </w:r>
          </w:p>
        </w:tc>
        <w:tc>
          <w:tcPr>
            <w:tcW w:w="1134" w:type="dxa"/>
            <w:gridSpan w:val="2"/>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gridSpan w:val="2"/>
          </w:tcPr>
          <w:p>
            <w:pPr>
              <w:pStyle w:val="nTable"/>
              <w:spacing w:after="40"/>
              <w:rPr>
                <w:sz w:val="19"/>
              </w:rPr>
            </w:pPr>
            <w:r>
              <w:rPr>
                <w:sz w:val="19"/>
              </w:rPr>
              <w:t>26 Sep 1968</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IV</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Cremation Amendment Act 1986</w:t>
            </w:r>
          </w:p>
        </w:tc>
        <w:tc>
          <w:tcPr>
            <w:tcW w:w="1134" w:type="dxa"/>
            <w:gridSpan w:val="2"/>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Statutes (Repeals and Minor Amendments) Act (No. 2) 1998</w:t>
            </w:r>
            <w:r>
              <w:rPr>
                <w:sz w:val="19"/>
              </w:rPr>
              <w:t xml:space="preserve"> s. 25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gridSpan w:val="2"/>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gridSpan w:val="2"/>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6</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7"/>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8" w:space="0" w:color="auto"/>
            </w:tcBorders>
          </w:tcPr>
          <w:p>
            <w:pPr>
              <w:pStyle w:val="nTable"/>
              <w:spacing w:after="40"/>
              <w:rPr>
                <w:sz w:val="19"/>
              </w:rPr>
            </w:pPr>
            <w:r>
              <w:rPr>
                <w:sz w:val="19"/>
              </w:rPr>
              <w:t>22 of 2008</w:t>
            </w:r>
          </w:p>
        </w:tc>
        <w:tc>
          <w:tcPr>
            <w:tcW w:w="1162" w:type="dxa"/>
            <w:gridSpan w:val="3"/>
            <w:tcBorders>
              <w:top w:val="nil"/>
              <w:bottom w:val="single" w:sz="8" w:space="0" w:color="auto"/>
            </w:tcBorders>
          </w:tcPr>
          <w:p>
            <w:pPr>
              <w:pStyle w:val="nTable"/>
              <w:spacing w:after="40"/>
              <w:rPr>
                <w:sz w:val="19"/>
              </w:rPr>
            </w:pPr>
            <w:r>
              <w:rPr>
                <w:sz w:val="19"/>
              </w:rPr>
              <w:t>27 May 2008</w:t>
            </w:r>
          </w:p>
        </w:tc>
        <w:tc>
          <w:tcPr>
            <w:tcW w:w="2538"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 w:name="_Toc7405065"/>
      <w:bookmarkStart w:id="91" w:name="_Toc271189049"/>
      <w:r>
        <w:t>Provisions that have not come into operation</w:t>
      </w:r>
      <w:bookmarkEnd w:id="90"/>
      <w:bookmarkEnd w:id="9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14 </w:t>
            </w:r>
            <w:r>
              <w:rPr>
                <w:iCs/>
                <w:snapToGrid w:val="0"/>
                <w:sz w:val="19"/>
                <w:vertAlign w:val="superscript"/>
              </w:rPr>
              <w:t>6</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92" w:name="_Toc233107854"/>
      <w:bookmarkStart w:id="93" w:name="_Toc255473747"/>
      <w:bookmarkStart w:id="94" w:name="_Toc265583802"/>
      <w:r>
        <w:rPr>
          <w:rStyle w:val="CharSectno"/>
        </w:rPr>
        <w:t>51</w:t>
      </w:r>
      <w:r>
        <w:t>.</w:t>
      </w:r>
      <w:r>
        <w:tab/>
        <w:t>Various written laws amended</w:t>
      </w:r>
      <w:bookmarkEnd w:id="92"/>
      <w:bookmarkEnd w:id="93"/>
      <w:bookmarkEnd w:id="9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15.</w:t>
            </w:r>
            <w:r>
              <w:rPr>
                <w:b/>
                <w:bCs/>
              </w:rPr>
              <w:tab/>
            </w:r>
            <w:r>
              <w:rPr>
                <w:b/>
                <w:bCs/>
                <w:i/>
                <w:iCs/>
              </w:rPr>
              <w:t>Cremation Act 1929</w:t>
            </w:r>
          </w:p>
        </w:tc>
      </w:tr>
      <w:tr>
        <w:trPr>
          <w:jc w:val="center"/>
        </w:trPr>
        <w:tc>
          <w:tcPr>
            <w:tcW w:w="1702" w:type="dxa"/>
          </w:tcPr>
          <w:p>
            <w:pPr>
              <w:pStyle w:val="TableAm"/>
            </w:pPr>
            <w:r>
              <w:t>s. 3</w:t>
            </w:r>
          </w:p>
        </w:tc>
        <w:tc>
          <w:tcPr>
            <w:tcW w:w="2551" w:type="dxa"/>
          </w:tcPr>
          <w:p>
            <w:pPr>
              <w:pStyle w:val="TableAm"/>
            </w:pPr>
            <w:r>
              <w:t>No person</w:t>
            </w:r>
          </w:p>
          <w:p>
            <w:pPr>
              <w:pStyle w:val="TableAm"/>
            </w:pPr>
            <w:r>
              <w:rPr>
                <w:snapToGrid w:val="0"/>
              </w:rPr>
              <w:t>Provided that nothing in this section shall prevent</w:t>
            </w:r>
          </w:p>
        </w:tc>
        <w:tc>
          <w:tcPr>
            <w:tcW w:w="2551" w:type="dxa"/>
          </w:tcPr>
          <w:p>
            <w:pPr>
              <w:pStyle w:val="TableAm"/>
            </w:pPr>
            <w:r>
              <w:t>(1)</w:t>
            </w:r>
            <w:r>
              <w:tab/>
              <w:t>No person</w:t>
            </w:r>
          </w:p>
          <w:p>
            <w:pPr>
              <w:pStyle w:val="TableAm"/>
              <w:ind w:left="567" w:hanging="567"/>
            </w:pPr>
            <w:r>
              <w:t>(2)</w:t>
            </w:r>
            <w:r>
              <w:tab/>
              <w:t>Nothing in this section prevents</w:t>
            </w:r>
          </w:p>
        </w:tc>
      </w:tr>
      <w:tr>
        <w:trPr>
          <w:jc w:val="center"/>
        </w:trPr>
        <w:tc>
          <w:tcPr>
            <w:tcW w:w="1702" w:type="dxa"/>
          </w:tcPr>
          <w:p>
            <w:pPr>
              <w:pStyle w:val="TableAm"/>
            </w:pPr>
            <w:r>
              <w:t>s. 8(3)</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(i)</w:t>
            </w:r>
            <w:r>
              <w:rPr>
                <w:snapToGrid w:val="0"/>
              </w:rPr>
              <w:tab/>
              <w:t>an</w:t>
            </w:r>
          </w:p>
          <w:p>
            <w:pPr>
              <w:pStyle w:val="TableAm"/>
              <w:rPr>
                <w:snapToGrid w:val="0"/>
              </w:rPr>
            </w:pPr>
            <w:r>
              <w:rPr>
                <w:snapToGrid w:val="0"/>
              </w:rPr>
              <w:t>(ii)</w:t>
            </w:r>
            <w:r>
              <w:rPr>
                <w:snapToGrid w:val="0"/>
              </w:rPr>
              <w:tab/>
              <w:t>a person</w:t>
            </w:r>
          </w:p>
          <w:p>
            <w:pPr>
              <w:pStyle w:val="TableAm"/>
              <w:rPr>
                <w:snapToGrid w:val="0"/>
              </w:rPr>
            </w:pPr>
            <w:r>
              <w:rPr>
                <w:snapToGrid w:val="0"/>
              </w:rPr>
              <w:t>(iii)</w:t>
            </w:r>
            <w:r>
              <w:rPr>
                <w:snapToGrid w:val="0"/>
              </w:rPr>
              <w:tab/>
              <w:t>a person</w:t>
            </w:r>
          </w:p>
          <w:p>
            <w:pPr>
              <w:pStyle w:val="TableAm"/>
              <w:rPr>
                <w:snapToGrid w:val="0"/>
              </w:rPr>
            </w:pPr>
            <w:r>
              <w:rPr>
                <w:snapToGrid w:val="0"/>
              </w:rPr>
              <w:t>(b)</w:t>
            </w:r>
            <w:r>
              <w:rPr>
                <w:snapToGrid w:val="0"/>
              </w:rPr>
              <w:tab/>
              <w:t>Where</w:t>
            </w:r>
          </w:p>
          <w:p>
            <w:pPr>
              <w:pStyle w:val="TableAm"/>
              <w:rPr>
                <w:snapToGrid w:val="0"/>
              </w:rPr>
            </w:pPr>
            <w:r>
              <w:rPr>
                <w:snapToGrid w:val="0"/>
              </w:rPr>
              <w:t>(i)</w:t>
            </w:r>
            <w:r>
              <w:rPr>
                <w:snapToGrid w:val="0"/>
              </w:rPr>
              <w:tab/>
              <w:t>make</w:t>
            </w:r>
          </w:p>
          <w:p>
            <w:pPr>
              <w:pStyle w:val="TableAm"/>
            </w:pPr>
            <w:r>
              <w:rPr>
                <w:snapToGrid w:val="0"/>
              </w:rPr>
              <w:t>(ii)</w:t>
            </w:r>
            <w:r>
              <w:rPr>
                <w:snapToGrid w:val="0"/>
              </w:rPr>
              <w:tab/>
              <w:t>supply</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(a)</w:t>
            </w:r>
            <w:r>
              <w:rPr>
                <w:snapToGrid w:val="0"/>
              </w:rPr>
              <w:tab/>
              <w:t>an</w:t>
            </w:r>
          </w:p>
          <w:p>
            <w:pPr>
              <w:pStyle w:val="TableAm"/>
              <w:rPr>
                <w:snapToGrid w:val="0"/>
              </w:rPr>
            </w:pPr>
            <w:r>
              <w:rPr>
                <w:snapToGrid w:val="0"/>
              </w:rPr>
              <w:t>(b)</w:t>
            </w:r>
            <w:r>
              <w:rPr>
                <w:snapToGrid w:val="0"/>
              </w:rPr>
              <w:tab/>
              <w:t>a person</w:t>
            </w:r>
          </w:p>
          <w:p>
            <w:pPr>
              <w:pStyle w:val="TableAm"/>
              <w:rPr>
                <w:snapToGrid w:val="0"/>
              </w:rPr>
            </w:pPr>
            <w:r>
              <w:rPr>
                <w:snapToGrid w:val="0"/>
              </w:rPr>
              <w:t>(c)</w:t>
            </w:r>
            <w:r>
              <w:rPr>
                <w:snapToGrid w:val="0"/>
              </w:rPr>
              <w:tab/>
              <w:t>a person</w:t>
            </w:r>
          </w:p>
          <w:p>
            <w:pPr>
              <w:pStyle w:val="TableAm"/>
              <w:rPr>
                <w:snapToGrid w:val="0"/>
              </w:rPr>
            </w:pPr>
            <w:r>
              <w:rPr>
                <w:snapToGrid w:val="0"/>
              </w:rPr>
              <w:t>(3B)</w:t>
            </w:r>
            <w:r>
              <w:rPr>
                <w:snapToGrid w:val="0"/>
              </w:rPr>
              <w:tab/>
              <w:t>Where</w:t>
            </w:r>
          </w:p>
          <w:p>
            <w:pPr>
              <w:pStyle w:val="TableAm"/>
              <w:rPr>
                <w:snapToGrid w:val="0"/>
              </w:rPr>
            </w:pPr>
            <w:r>
              <w:rPr>
                <w:snapToGrid w:val="0"/>
              </w:rPr>
              <w:t>(a)</w:t>
            </w:r>
            <w:r>
              <w:rPr>
                <w:snapToGrid w:val="0"/>
              </w:rPr>
              <w:tab/>
              <w:t>make</w:t>
            </w:r>
          </w:p>
          <w:p>
            <w:pPr>
              <w:pStyle w:val="TableAm"/>
            </w:pPr>
            <w:r>
              <w:rPr>
                <w:snapToGrid w:val="0"/>
              </w:rPr>
              <w:t>(b)</w:t>
            </w:r>
            <w:r>
              <w:rPr>
                <w:snapToGrid w:val="0"/>
              </w:rPr>
              <w:tab/>
              <w:t>supply</w:t>
            </w:r>
          </w:p>
        </w:tc>
      </w:tr>
      <w:tr>
        <w:trPr>
          <w:jc w:val="center"/>
        </w:trPr>
        <w:tc>
          <w:tcPr>
            <w:tcW w:w="1702" w:type="dxa"/>
          </w:tcPr>
          <w:p>
            <w:pPr>
              <w:pStyle w:val="TableAm"/>
            </w:pPr>
            <w:r>
              <w:t>s. 8(4)</w:t>
            </w:r>
          </w:p>
        </w:tc>
        <w:tc>
          <w:tcPr>
            <w:tcW w:w="2551" w:type="dxa"/>
          </w:tcPr>
          <w:p>
            <w:pPr>
              <w:pStyle w:val="TableAm"/>
              <w:rPr>
                <w:snapToGrid w:val="0"/>
              </w:rPr>
            </w:pPr>
            <w:r>
              <w:rPr>
                <w:snapToGrid w:val="0"/>
              </w:rPr>
              <w:t>(4)(a)</w:t>
            </w:r>
            <w:r>
              <w:rPr>
                <w:snapToGrid w:val="0"/>
              </w:rPr>
              <w:tab/>
              <w:t>A person</w:t>
            </w:r>
          </w:p>
          <w:p>
            <w:pPr>
              <w:pStyle w:val="TableAm"/>
            </w:pPr>
            <w:r>
              <w:rPr>
                <w:snapToGrid w:val="0"/>
              </w:rPr>
              <w:t>(b)</w:t>
            </w:r>
            <w:r>
              <w:rPr>
                <w:snapToGrid w:val="0"/>
              </w:rPr>
              <w:tab/>
              <w:t>The medical</w:t>
            </w:r>
          </w:p>
        </w:tc>
        <w:tc>
          <w:tcPr>
            <w:tcW w:w="2551" w:type="dxa"/>
          </w:tcPr>
          <w:p>
            <w:pPr>
              <w:pStyle w:val="TableAm"/>
              <w:rPr>
                <w:snapToGrid w:val="0"/>
              </w:rPr>
            </w:pPr>
            <w:r>
              <w:rPr>
                <w:snapToGrid w:val="0"/>
              </w:rPr>
              <w:t>(4A)</w:t>
            </w:r>
            <w:r>
              <w:rPr>
                <w:snapToGrid w:val="0"/>
              </w:rPr>
              <w:tab/>
              <w:t>A person</w:t>
            </w:r>
          </w:p>
          <w:p>
            <w:pPr>
              <w:pStyle w:val="TableAm"/>
            </w:pPr>
            <w:r>
              <w:rPr>
                <w:snapToGrid w:val="0"/>
              </w:rPr>
              <w:t>(4B)</w:t>
            </w:r>
            <w:r>
              <w:rPr>
                <w:snapToGrid w:val="0"/>
              </w:rPr>
              <w:tab/>
              <w:t>The medical</w:t>
            </w:r>
          </w:p>
        </w:tc>
      </w:tr>
      <w:tr>
        <w:trPr>
          <w:jc w:val="center"/>
        </w:trPr>
        <w:tc>
          <w:tcPr>
            <w:tcW w:w="1702" w:type="dxa"/>
          </w:tcPr>
          <w:p>
            <w:pPr>
              <w:pStyle w:val="TableAm"/>
            </w:pPr>
            <w:r>
              <w:t>s. 16</w:t>
            </w:r>
          </w:p>
        </w:tc>
        <w:tc>
          <w:tcPr>
            <w:tcW w:w="2551" w:type="dxa"/>
          </w:tcPr>
          <w:p>
            <w:pPr>
              <w:pStyle w:val="TableAm"/>
              <w:rPr>
                <w:snapToGrid w:val="0"/>
              </w:rPr>
            </w:pPr>
            <w:r>
              <w:rPr>
                <w:snapToGrid w:val="0"/>
              </w:rPr>
              <w:t>The Governor</w:t>
            </w:r>
          </w:p>
          <w:p>
            <w:pPr>
              <w:pStyle w:val="TableAm"/>
              <w:rPr>
                <w:snapToGrid w:val="0"/>
              </w:rPr>
            </w:pPr>
            <w:r>
              <w:rPr>
                <w:snapToGrid w:val="0"/>
              </w:rPr>
              <w:t>crematorium;</w:t>
            </w:r>
          </w:p>
          <w:p>
            <w:pPr>
              <w:pStyle w:val="TableAm"/>
              <w:rPr>
                <w:snapToGrid w:val="0"/>
              </w:rPr>
            </w:pPr>
            <w:r>
              <w:rPr>
                <w:snapToGrid w:val="0"/>
              </w:rPr>
              <w:t>and void: Provided that no order</w:t>
            </w:r>
          </w:p>
          <w:p>
            <w:pPr>
              <w:pStyle w:val="TableAm"/>
            </w:pPr>
            <w:r>
              <w:rPr>
                <w:snapToGrid w:val="0"/>
              </w:rPr>
              <w:t>paragraph (a) or (b)</w:t>
            </w:r>
          </w:p>
        </w:tc>
        <w:tc>
          <w:tcPr>
            <w:tcW w:w="2551" w:type="dxa"/>
          </w:tcPr>
          <w:p>
            <w:pPr>
              <w:pStyle w:val="TableAm"/>
              <w:rPr>
                <w:snapToGrid w:val="0"/>
              </w:rPr>
            </w:pPr>
            <w:r>
              <w:rPr>
                <w:snapToGrid w:val="0"/>
              </w:rPr>
              <w:t>(1)</w:t>
            </w:r>
            <w:r>
              <w:rPr>
                <w:snapToGrid w:val="0"/>
              </w:rPr>
              <w:tab/>
              <w:t>The Governor</w:t>
            </w:r>
          </w:p>
          <w:p>
            <w:pPr>
              <w:pStyle w:val="TableAm"/>
              <w:rPr>
                <w:snapToGrid w:val="0"/>
              </w:rPr>
            </w:pPr>
            <w:r>
              <w:rPr>
                <w:snapToGrid w:val="0"/>
              </w:rPr>
              <w:t>crematorium,</w:t>
            </w:r>
          </w:p>
          <w:p>
            <w:pPr>
              <w:pStyle w:val="TableAm"/>
              <w:rPr>
                <w:snapToGrid w:val="0"/>
              </w:rPr>
            </w:pPr>
            <w:r>
              <w:rPr>
                <w:snapToGrid w:val="0"/>
              </w:rPr>
              <w:tab/>
              <w:t>and void.</w:t>
            </w:r>
          </w:p>
          <w:p>
            <w:pPr>
              <w:pStyle w:val="TableAm"/>
              <w:spacing w:before="0"/>
              <w:rPr>
                <w:snapToGrid w:val="0"/>
              </w:rPr>
            </w:pPr>
            <w:r>
              <w:rPr>
                <w:snapToGrid w:val="0"/>
              </w:rPr>
              <w:t>(2)</w:t>
            </w:r>
            <w:r>
              <w:rPr>
                <w:snapToGrid w:val="0"/>
              </w:rPr>
              <w:tab/>
              <w:t>No order</w:t>
            </w:r>
          </w:p>
          <w:p>
            <w:pPr>
              <w:pStyle w:val="TableAm"/>
            </w:pPr>
            <w:r>
              <w:rPr>
                <w:snapToGrid w:val="0"/>
              </w:rPr>
              <w:t>subsection (1)(a) or (b)</w:t>
            </w:r>
          </w:p>
        </w:tc>
      </w:tr>
    </w:tbl>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14</w:t>
      </w:r>
      <w:r>
        <w:rPr>
          <w:snapToGrid w:val="0"/>
        </w:rPr>
        <w:t xml:space="preserve"> had not come into operation.  It reads as follows:</w:t>
      </w:r>
    </w:p>
    <w:p>
      <w:pPr>
        <w:pStyle w:val="BlankOpen"/>
      </w:pPr>
    </w:p>
    <w:p>
      <w:pPr>
        <w:pStyle w:val="nzHeading3"/>
      </w:pPr>
      <w:bookmarkStart w:id="95" w:name="_Toc262066635"/>
      <w:bookmarkStart w:id="96" w:name="_Toc270079184"/>
      <w:bookmarkStart w:id="97" w:name="_Toc270349104"/>
      <w:r>
        <w:rPr>
          <w:rStyle w:val="CharDivNo"/>
        </w:rPr>
        <w:t>Division 14</w:t>
      </w:r>
      <w:r>
        <w:t> — </w:t>
      </w:r>
      <w:r>
        <w:rPr>
          <w:rStyle w:val="CharDivText"/>
          <w:i/>
          <w:iCs/>
        </w:rPr>
        <w:t>Cremation Act 1929</w:t>
      </w:r>
      <w:r>
        <w:rPr>
          <w:rStyle w:val="CharDivText"/>
        </w:rPr>
        <w:t xml:space="preserve"> amended</w:t>
      </w:r>
      <w:bookmarkEnd w:id="95"/>
      <w:bookmarkEnd w:id="96"/>
      <w:bookmarkEnd w:id="97"/>
    </w:p>
    <w:p>
      <w:pPr>
        <w:pStyle w:val="nzHeading5"/>
      </w:pPr>
      <w:bookmarkStart w:id="98" w:name="_Toc270349105"/>
      <w:r>
        <w:rPr>
          <w:rStyle w:val="CharSectno"/>
        </w:rPr>
        <w:t>51</w:t>
      </w:r>
      <w:r>
        <w:t>.</w:t>
      </w:r>
      <w:r>
        <w:tab/>
        <w:t>Act amended</w:t>
      </w:r>
      <w:bookmarkEnd w:id="98"/>
    </w:p>
    <w:p>
      <w:pPr>
        <w:pStyle w:val="nzSubsection"/>
      </w:pPr>
      <w:r>
        <w:tab/>
      </w:r>
      <w:r>
        <w:tab/>
        <w:t>This Division amends the</w:t>
      </w:r>
      <w:r>
        <w:rPr>
          <w:i/>
          <w:iCs/>
        </w:rPr>
        <w:t xml:space="preserve"> Cremation Act 1929</w:t>
      </w:r>
      <w:r>
        <w:t>.</w:t>
      </w:r>
    </w:p>
    <w:p>
      <w:pPr>
        <w:pStyle w:val="nzHeading5"/>
      </w:pPr>
      <w:bookmarkStart w:id="99" w:name="_Toc270349106"/>
      <w:r>
        <w:rPr>
          <w:rStyle w:val="CharSectno"/>
        </w:rPr>
        <w:t>52</w:t>
      </w:r>
      <w:r>
        <w:t>.</w:t>
      </w:r>
      <w:r>
        <w:tab/>
        <w:t>Section 2 amended</w:t>
      </w:r>
      <w:bookmarkEnd w:id="99"/>
    </w:p>
    <w:p>
      <w:pPr>
        <w:pStyle w:val="nzSubsection"/>
      </w:pPr>
      <w:r>
        <w:tab/>
      </w:r>
      <w:r>
        <w:tab/>
        <w:t>In section 2 delete the definition of</w:t>
      </w:r>
      <w:r>
        <w:rPr>
          <w:b/>
          <w:bCs/>
        </w:rPr>
        <w:t xml:space="preserve"> </w:t>
      </w:r>
      <w:r>
        <w:rPr>
          <w:b/>
          <w:bCs/>
          <w:i/>
          <w:iCs/>
        </w:rPr>
        <w:t>medical practitioner</w:t>
      </w:r>
      <w:r>
        <w:rPr>
          <w:b/>
          <w:bCs/>
        </w:rPr>
        <w:t xml:space="preserve"> </w:t>
      </w:r>
      <w:r>
        <w:t>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bookmarkStart w:id="100" w:name="UpToHere"/>
      <w:bookmarkEnd w:id="100"/>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101" w:name="_Toc202250102"/>
      <w:bookmarkStart w:id="102" w:name="_Toc203379063"/>
      <w:bookmarkStart w:id="103" w:name="_Toc215479485"/>
      <w:bookmarkStart w:id="104" w:name="_Toc267648171"/>
      <w:bookmarkStart w:id="105" w:name="_Toc271188988"/>
      <w:bookmarkStart w:id="106" w:name="_Toc271189050"/>
      <w:r>
        <w:rPr>
          <w:sz w:val="28"/>
        </w:rPr>
        <w:t>Defined Terms</w:t>
      </w:r>
      <w:bookmarkEnd w:id="101"/>
      <w:bookmarkEnd w:id="102"/>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 w:name="DefinedTerms"/>
      <w:bookmarkEnd w:id="107"/>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Pr>
        <w:pStyle w:val="DefinedTerms"/>
      </w:pPr>
    </w:p>
    <w:p>
      <w:pPr>
        <w:sectPr>
          <w:headerReference w:type="even" r:id="rId31"/>
          <w:headerReference w:type="default" r:id="rId32"/>
          <w:foot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28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DC1A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EC97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76CD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04AFA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C64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A8C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C693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9234B8"/>
    <w:lvl w:ilvl="0">
      <w:start w:val="1"/>
      <w:numFmt w:val="decimal"/>
      <w:pStyle w:val="ListNumber"/>
      <w:lvlText w:val="%1."/>
      <w:lvlJc w:val="left"/>
      <w:pPr>
        <w:tabs>
          <w:tab w:val="num" w:pos="360"/>
        </w:tabs>
        <w:ind w:left="360" w:hanging="360"/>
      </w:pPr>
    </w:lvl>
  </w:abstractNum>
  <w:abstractNum w:abstractNumId="9">
    <w:nsid w:val="FFFFFF89"/>
    <w:multiLevelType w:val="singleLevel"/>
    <w:tmpl w:val="99F6E8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804A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FFC22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112"/>
    <w:docVar w:name="WAFER_20151210132112" w:val="RemoveTrackChanges"/>
    <w:docVar w:name="WAFER_20151210132112_GUID" w:val="6ecb07f5-07ea-4baf-b78f-4bf75a464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5011</Words>
  <Characters>23256</Characters>
  <Application>Microsoft Office Word</Application>
  <DocSecurity>0</DocSecurity>
  <Lines>726</Lines>
  <Paragraphs>387</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27880</CharactersWithSpaces>
  <SharedDoc>false</SharedDoc>
  <HLinks>
    <vt:vector size="12" baseType="variant">
      <vt:variant>
        <vt:i4>131085</vt:i4>
      </vt:variant>
      <vt:variant>
        <vt:i4>23825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1929 - 05-d0-02</dc:title>
  <dc:subject/>
  <dc:creator/>
  <cp:keywords/>
  <dc:description/>
  <cp:lastModifiedBy>svcMRProcess</cp:lastModifiedBy>
  <cp:revision>4</cp:revision>
  <cp:lastPrinted>2008-07-09T07:05:00Z</cp:lastPrinted>
  <dcterms:created xsi:type="dcterms:W3CDTF">2015-12-12T02:06:00Z</dcterms:created>
  <dcterms:modified xsi:type="dcterms:W3CDTF">2015-12-12T02:06:00Z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AsAtDate">
    <vt:lpwstr>30 Aug 2010</vt:lpwstr>
  </property>
  <property fmtid="{D5CDD505-2E9C-101B-9397-08002B2CF9AE}" pid="6" name="Suffix">
    <vt:lpwstr>05-d0-02</vt:lpwstr>
  </property>
  <property fmtid="{D5CDD505-2E9C-101B-9397-08002B2CF9AE}" pid="7" name="OwlsUID">
    <vt:i4>193</vt:i4>
  </property>
  <property fmtid="{D5CDD505-2E9C-101B-9397-08002B2CF9AE}" pid="8" name="ReprintNo">
    <vt:lpwstr>5</vt:lpwstr>
  </property>
</Properties>
</file>