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(Diocesan Trustees) Act 1888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Act 1888</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Repeal</w:t>
      </w:r>
      <w:r>
        <w:tab/>
      </w:r>
      <w:r>
        <w:fldChar w:fldCharType="begin"/>
      </w:r>
      <w:r>
        <w:instrText xml:space="preserve"> PAGEREF _Toc271886442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New trustees incorporated</w:t>
      </w:r>
      <w:r>
        <w:tab/>
      </w:r>
      <w:r>
        <w:fldChar w:fldCharType="begin"/>
      </w:r>
      <w:r>
        <w:instrText xml:space="preserve"> PAGEREF _Toc271886443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Standing Committee’s property vested in new body</w:t>
      </w:r>
      <w:r>
        <w:tab/>
      </w:r>
      <w:r>
        <w:fldChar w:fldCharType="begin"/>
      </w:r>
      <w:r>
        <w:instrText xml:space="preserve"> PAGEREF _Toc271886444 \h </w:instrText>
      </w:r>
      <w:r>
        <w:fldChar w:fldCharType="separate"/>
      </w:r>
      <w:r>
        <w:t>3</w:t>
      </w:r>
      <w:r>
        <w:fldChar w:fldCharType="end"/>
      </w:r>
    </w:p>
    <w:p>
      <w:pPr>
        <w:pStyle w:val="TOC8"/>
        <w:rPr>
          <w:sz w:val="24"/>
          <w:szCs w:val="24"/>
        </w:rPr>
      </w:pPr>
      <w:r>
        <w:rPr>
          <w:szCs w:val="24"/>
        </w:rPr>
        <w:t>3A</w:t>
      </w:r>
      <w:r>
        <w:rPr>
          <w:snapToGrid w:val="0"/>
          <w:szCs w:val="24"/>
        </w:rPr>
        <w:t xml:space="preserve">. </w:t>
      </w:r>
      <w:r>
        <w:rPr>
          <w:snapToGrid w:val="0"/>
          <w:szCs w:val="24"/>
        </w:rPr>
        <w:tab/>
        <w:t>Cathedral Square land, trusts varied</w:t>
      </w:r>
      <w:r>
        <w:tab/>
      </w:r>
      <w:r>
        <w:fldChar w:fldCharType="begin"/>
      </w:r>
      <w:r>
        <w:instrText xml:space="preserve"> PAGEREF _Toc271886445 \h </w:instrText>
      </w:r>
      <w:r>
        <w:fldChar w:fldCharType="separate"/>
      </w:r>
      <w:r>
        <w:t>3</w:t>
      </w:r>
      <w:r>
        <w:fldChar w:fldCharType="end"/>
      </w:r>
    </w:p>
    <w:p>
      <w:pPr>
        <w:pStyle w:val="TOC8"/>
        <w:rPr>
          <w:sz w:val="24"/>
          <w:szCs w:val="24"/>
        </w:rPr>
      </w:pPr>
      <w:r>
        <w:rPr>
          <w:szCs w:val="24"/>
        </w:rPr>
        <w:t>3B</w:t>
      </w:r>
      <w:r>
        <w:rPr>
          <w:snapToGrid w:val="0"/>
          <w:szCs w:val="24"/>
        </w:rPr>
        <w:t xml:space="preserve">. </w:t>
      </w:r>
      <w:r>
        <w:rPr>
          <w:snapToGrid w:val="0"/>
          <w:szCs w:val="24"/>
        </w:rPr>
        <w:tab/>
        <w:t>Cathedral Square Foundation established</w:t>
      </w:r>
      <w:r>
        <w:tab/>
      </w:r>
      <w:r>
        <w:fldChar w:fldCharType="begin"/>
      </w:r>
      <w:r>
        <w:instrText xml:space="preserve"> PAGEREF _Toc271886446 \h </w:instrText>
      </w:r>
      <w:r>
        <w:fldChar w:fldCharType="separate"/>
      </w:r>
      <w:r>
        <w:t>5</w:t>
      </w:r>
      <w:r>
        <w:fldChar w:fldCharType="end"/>
      </w:r>
    </w:p>
    <w:p>
      <w:pPr>
        <w:pStyle w:val="TOC8"/>
        <w:rPr>
          <w:sz w:val="24"/>
          <w:szCs w:val="24"/>
        </w:rPr>
      </w:pPr>
      <w:r>
        <w:rPr>
          <w:szCs w:val="24"/>
        </w:rPr>
        <w:t>3BA</w:t>
      </w:r>
      <w:r>
        <w:rPr>
          <w:snapToGrid w:val="0"/>
          <w:szCs w:val="24"/>
        </w:rPr>
        <w:t xml:space="preserve">. </w:t>
      </w:r>
      <w:r>
        <w:rPr>
          <w:snapToGrid w:val="0"/>
          <w:szCs w:val="24"/>
        </w:rPr>
        <w:tab/>
        <w:t>Fees and commissions chargeable by Trustees</w:t>
      </w:r>
      <w:r>
        <w:tab/>
      </w:r>
      <w:r>
        <w:fldChar w:fldCharType="begin"/>
      </w:r>
      <w:r>
        <w:instrText xml:space="preserve"> PAGEREF _Toc271886447 \h </w:instrText>
      </w:r>
      <w:r>
        <w:fldChar w:fldCharType="separate"/>
      </w:r>
      <w:r>
        <w:t>7</w:t>
      </w:r>
      <w:r>
        <w:fldChar w:fldCharType="end"/>
      </w:r>
    </w:p>
    <w:p>
      <w:pPr>
        <w:pStyle w:val="TOC8"/>
        <w:rPr>
          <w:sz w:val="24"/>
          <w:szCs w:val="24"/>
        </w:rPr>
      </w:pPr>
      <w:r>
        <w:rPr>
          <w:szCs w:val="24"/>
        </w:rPr>
        <w:t>3C</w:t>
      </w:r>
      <w:r>
        <w:rPr>
          <w:snapToGrid w:val="0"/>
          <w:szCs w:val="24"/>
        </w:rPr>
        <w:t xml:space="preserve">. </w:t>
      </w:r>
      <w:r>
        <w:rPr>
          <w:snapToGrid w:val="0"/>
          <w:szCs w:val="24"/>
        </w:rPr>
        <w:tab/>
        <w:t>Interpretation of sections 3A, 3B and 3BA</w:t>
      </w:r>
      <w:r>
        <w:tab/>
      </w:r>
      <w:r>
        <w:fldChar w:fldCharType="begin"/>
      </w:r>
      <w:r>
        <w:instrText xml:space="preserve"> PAGEREF _Toc271886448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Liabilities and entitlements of Trustees</w:t>
      </w:r>
      <w:r>
        <w:tab/>
      </w:r>
      <w:r>
        <w:fldChar w:fldCharType="begin"/>
      </w:r>
      <w:r>
        <w:instrText xml:space="preserve"> PAGEREF _Toc271886449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Standing Committee replaced by Trustees</w:t>
      </w:r>
      <w:r>
        <w:tab/>
      </w:r>
      <w:r>
        <w:fldChar w:fldCharType="begin"/>
      </w:r>
      <w:r>
        <w:instrText xml:space="preserve"> PAGEREF _Toc271886450 \h </w:instrText>
      </w:r>
      <w:r>
        <w:fldChar w:fldCharType="separate"/>
      </w:r>
      <w:r>
        <w:t>9</w:t>
      </w:r>
      <w:r>
        <w:fldChar w:fldCharType="end"/>
      </w:r>
    </w:p>
    <w:p>
      <w:pPr>
        <w:pStyle w:val="TOC8"/>
        <w:rPr>
          <w:sz w:val="24"/>
          <w:szCs w:val="24"/>
        </w:rPr>
      </w:pPr>
      <w:r>
        <w:rPr>
          <w:szCs w:val="24"/>
        </w:rPr>
        <w:t>5A</w:t>
      </w:r>
      <w:r>
        <w:rPr>
          <w:snapToGrid w:val="0"/>
          <w:szCs w:val="24"/>
        </w:rPr>
        <w:t xml:space="preserve">. </w:t>
      </w:r>
      <w:r>
        <w:rPr>
          <w:snapToGrid w:val="0"/>
          <w:szCs w:val="24"/>
        </w:rPr>
        <w:tab/>
        <w:t>Missions and institutions may be incorporated etc.</w:t>
      </w:r>
      <w:r>
        <w:tab/>
      </w:r>
      <w:r>
        <w:fldChar w:fldCharType="begin"/>
      </w:r>
      <w:r>
        <w:instrText xml:space="preserve"> PAGEREF _Toc271886451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Short title</w:t>
      </w:r>
      <w:r>
        <w:tab/>
      </w:r>
      <w:r>
        <w:fldChar w:fldCharType="begin"/>
      </w:r>
      <w:r>
        <w:instrText xml:space="preserve"> PAGEREF _Toc271886452 \h </w:instrText>
      </w:r>
      <w:r>
        <w:fldChar w:fldCharType="separate"/>
      </w:r>
      <w:r>
        <w:t>12</w:t>
      </w:r>
      <w:r>
        <w:fldChar w:fldCharType="end"/>
      </w:r>
    </w:p>
    <w:p>
      <w:pPr>
        <w:pStyle w:val="TOC2"/>
        <w:tabs>
          <w:tab w:val="right" w:leader="dot" w:pos="7078"/>
        </w:tabs>
        <w:rPr>
          <w:b w:val="0"/>
          <w:sz w:val="24"/>
          <w:szCs w:val="24"/>
        </w:rPr>
      </w:pPr>
      <w:r>
        <w:rPr>
          <w:szCs w:val="28"/>
        </w:rPr>
        <w:t>Schedule — Description of Cathedral Square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_Toc271886455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Anglican Church of Australia (Diocesan Trustees) Act 1888 </w:t>
      </w:r>
    </w:p>
    <w:p>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2533"/>
      <w:bookmarkStart w:id="2" w:name="_Toc534686466"/>
      <w:bookmarkStart w:id="3" w:name="_Toc7252902"/>
      <w:bookmarkStart w:id="4" w:name="_Toc44924358"/>
      <w:bookmarkStart w:id="5" w:name="_Toc271886442"/>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pPr>
        <w:pStyle w:val="Heading5"/>
        <w:rPr>
          <w:snapToGrid w:val="0"/>
        </w:rPr>
      </w:pPr>
      <w:bookmarkStart w:id="6" w:name="_Toc411312534"/>
      <w:bookmarkStart w:id="7" w:name="_Toc534686467"/>
      <w:bookmarkStart w:id="8" w:name="_Toc7252903"/>
      <w:bookmarkStart w:id="9" w:name="_Toc44924359"/>
      <w:bookmarkStart w:id="10" w:name="_Toc271886443"/>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1" w:name="_Toc411312535"/>
      <w:bookmarkStart w:id="12" w:name="_Toc534686468"/>
      <w:bookmarkStart w:id="13" w:name="_Toc7252904"/>
      <w:bookmarkStart w:id="14" w:name="_Toc44924360"/>
      <w:bookmarkStart w:id="15" w:name="_Toc271886444"/>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16" w:name="_Toc411312536"/>
      <w:bookmarkStart w:id="17" w:name="_Toc534686469"/>
      <w:bookmarkStart w:id="18" w:name="_Toc7252905"/>
      <w:bookmarkStart w:id="19" w:name="_Toc44924361"/>
      <w:bookmarkStart w:id="20" w:name="_Toc271886445"/>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interest payable on any mortgages on all or any part of Cathedral Square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1" w:name="_Toc411312537"/>
      <w:bookmarkStart w:id="22" w:name="_Toc534686470"/>
      <w:bookmarkStart w:id="23" w:name="_Toc7252906"/>
      <w:bookmarkStart w:id="24" w:name="_Toc44924362"/>
      <w:bookmarkStart w:id="25" w:name="_Toc271886446"/>
      <w:r>
        <w:rPr>
          <w:rStyle w:val="CharSectno"/>
        </w:rPr>
        <w:t>3B</w:t>
      </w:r>
      <w:r>
        <w:rPr>
          <w:snapToGrid w:val="0"/>
        </w:rPr>
        <w:t xml:space="preserve">. </w:t>
      </w:r>
      <w:r>
        <w:rPr>
          <w:snapToGrid w:val="0"/>
        </w:rPr>
        <w:tab/>
        <w:t>Cathedral Square Foundation</w:t>
      </w:r>
      <w:bookmarkEnd w:id="21"/>
      <w:bookmarkEnd w:id="22"/>
      <w:r>
        <w:rPr>
          <w:snapToGrid w:val="0"/>
        </w:rPr>
        <w:t xml:space="preserve"> established</w:t>
      </w:r>
      <w:bookmarkEnd w:id="23"/>
      <w:bookmarkEnd w:id="24"/>
      <w:bookmarkEnd w:id="25"/>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to make recommendations to the Trustees with respect to the development of Cathedral Square;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26" w:name="_Toc411312538"/>
      <w:bookmarkStart w:id="27" w:name="_Toc534686471"/>
      <w:bookmarkStart w:id="28" w:name="_Toc7252907"/>
      <w:bookmarkStart w:id="29" w:name="_Toc44924363"/>
      <w:bookmarkStart w:id="30" w:name="_Toc271886447"/>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1" w:name="_Toc411312539"/>
      <w:bookmarkStart w:id="32" w:name="_Toc534686472"/>
      <w:bookmarkStart w:id="33" w:name="_Toc7252908"/>
      <w:bookmarkStart w:id="34" w:name="_Toc44924364"/>
      <w:bookmarkStart w:id="35" w:name="_Toc271886448"/>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Cathedral Church of the Perth Diocese of the Anglican Church of Australia;</w:t>
      </w:r>
    </w:p>
    <w:p>
      <w:pPr>
        <w:pStyle w:val="Defstart"/>
      </w:pPr>
      <w:r>
        <w:rPr>
          <w:b/>
        </w:rPr>
        <w:tab/>
      </w:r>
      <w:r>
        <w:rPr>
          <w:rStyle w:val="CharDefText"/>
        </w:rPr>
        <w:t>Cathedral Chapter</w:t>
      </w:r>
      <w:r>
        <w:t xml:space="preserve"> means the Chapter of the Cathedral Church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Cathedral Church of the Perth Diocese of the Anglican Church of Australia;</w:t>
      </w:r>
    </w:p>
    <w:p>
      <w:pPr>
        <w:pStyle w:val="Defstart"/>
      </w:pPr>
      <w:r>
        <w:rPr>
          <w:b/>
        </w:rPr>
        <w:tab/>
      </w:r>
      <w:r>
        <w:rPr>
          <w:rStyle w:val="CharDefText"/>
        </w:rPr>
        <w:t>Deanery</w:t>
      </w:r>
      <w:r>
        <w:t xml:space="preserve"> means the residence from time to time of the Dean of the Cathedral Church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Province of Western Australia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36" w:name="_Toc411312540"/>
      <w:bookmarkStart w:id="37" w:name="_Toc534686473"/>
      <w:bookmarkStart w:id="38" w:name="_Toc7252909"/>
      <w:bookmarkStart w:id="39" w:name="_Toc44924365"/>
      <w:bookmarkStart w:id="40" w:name="_Toc271886449"/>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1" w:name="_Toc411312541"/>
      <w:bookmarkStart w:id="42" w:name="_Toc534686474"/>
      <w:bookmarkStart w:id="43" w:name="_Toc7252910"/>
      <w:bookmarkStart w:id="44" w:name="_Toc44924366"/>
      <w:bookmarkStart w:id="45" w:name="_Toc271886450"/>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46" w:name="_Toc411312542"/>
      <w:bookmarkStart w:id="47" w:name="_Toc534686475"/>
      <w:bookmarkStart w:id="48" w:name="_Toc7252911"/>
      <w:bookmarkStart w:id="49" w:name="_Toc44924367"/>
      <w:bookmarkStart w:id="50" w:name="_Toc271886451"/>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w:t>
      </w:r>
    </w:p>
    <w:p>
      <w:pPr>
        <w:pStyle w:val="Heading5"/>
        <w:rPr>
          <w:snapToGrid w:val="0"/>
        </w:rPr>
      </w:pPr>
      <w:bookmarkStart w:id="51" w:name="_Toc411312543"/>
      <w:bookmarkStart w:id="52" w:name="_Toc534686476"/>
      <w:bookmarkStart w:id="53" w:name="_Toc7252912"/>
      <w:bookmarkStart w:id="54" w:name="_Toc44924368"/>
      <w:bookmarkStart w:id="55" w:name="_Toc271886452"/>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 w:name="_Toc7252913"/>
      <w:bookmarkStart w:id="57" w:name="_Toc44924369"/>
      <w:bookmarkStart w:id="58" w:name="_Toc195953210"/>
      <w:bookmarkStart w:id="59" w:name="_Toc195953225"/>
      <w:bookmarkStart w:id="60" w:name="_Toc196113584"/>
      <w:bookmarkStart w:id="61" w:name="_Toc202157923"/>
      <w:bookmarkStart w:id="62" w:name="_Toc268181742"/>
      <w:bookmarkStart w:id="63" w:name="_Toc271886453"/>
      <w:r>
        <w:rPr>
          <w:rStyle w:val="CharSchNo"/>
        </w:rPr>
        <w:t>Schedule</w:t>
      </w:r>
      <w:bookmarkEnd w:id="56"/>
      <w:bookmarkEnd w:id="57"/>
      <w:bookmarkEnd w:id="58"/>
      <w:bookmarkEnd w:id="59"/>
      <w:bookmarkEnd w:id="60"/>
      <w:bookmarkEnd w:id="61"/>
      <w:r>
        <w:t> — </w:t>
      </w:r>
      <w:r>
        <w:rPr>
          <w:rStyle w:val="CharSchText"/>
        </w:rPr>
        <w:t>Description of Cathedral Square</w:t>
      </w:r>
      <w:bookmarkEnd w:id="62"/>
      <w:bookmarkEnd w:id="63"/>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4" w:name="_Toc195953211"/>
      <w:bookmarkStart w:id="65" w:name="_Toc195953226"/>
      <w:bookmarkStart w:id="66" w:name="_Toc196113585"/>
      <w:bookmarkStart w:id="67" w:name="_Toc202157924"/>
      <w:bookmarkStart w:id="68" w:name="_Toc268181743"/>
      <w:bookmarkStart w:id="69" w:name="_Toc271886454"/>
      <w:r>
        <w:t>Notes</w:t>
      </w:r>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r>
        <w:rPr>
          <w:snapToGrid w:val="0"/>
          <w:vertAlign w:val="superscript"/>
        </w:rPr>
        <w:t>11</w:t>
      </w:r>
      <w:r>
        <w:rPr>
          <w:snapToGrid w:val="0"/>
        </w:rPr>
        <w:t>. The table also contains information about any reprint.</w:t>
      </w:r>
    </w:p>
    <w:p>
      <w:pPr>
        <w:pStyle w:val="nHeading3"/>
        <w:rPr>
          <w:snapToGrid w:val="0"/>
        </w:rPr>
      </w:pPr>
      <w:bookmarkStart w:id="70" w:name="UpToHere"/>
      <w:bookmarkStart w:id="71" w:name="_Toc7252914"/>
      <w:bookmarkStart w:id="72" w:name="_Toc44924370"/>
      <w:bookmarkStart w:id="73" w:name="_Toc271886455"/>
      <w:bookmarkEnd w:id="70"/>
      <w:r>
        <w:rPr>
          <w:snapToGrid w:val="0"/>
        </w:rPr>
        <w:t>Compilation table</w:t>
      </w:r>
      <w:bookmarkEnd w:id="71"/>
      <w:bookmarkEnd w:id="72"/>
      <w:bookmarkEnd w:id="73"/>
    </w:p>
    <w:tbl>
      <w:tblPr>
        <w:tblW w:w="7141" w:type="dxa"/>
        <w:tblInd w:w="235" w:type="dxa"/>
        <w:tblLayout w:type="fixed"/>
        <w:tblCellMar>
          <w:left w:w="56" w:type="dxa"/>
          <w:right w:w="56" w:type="dxa"/>
        </w:tblCellMar>
        <w:tblLook w:val="0000" w:firstRow="0" w:lastRow="0" w:firstColumn="0" w:lastColumn="0" w:noHBand="0" w:noVBand="0"/>
      </w:tblPr>
      <w:tblGrid>
        <w:gridCol w:w="2211"/>
        <w:gridCol w:w="19"/>
        <w:gridCol w:w="1118"/>
        <w:gridCol w:w="1106"/>
        <w:gridCol w:w="10"/>
        <w:gridCol w:w="2664"/>
        <w:gridCol w:w="13"/>
      </w:tblGrid>
      <w:tr>
        <w:trPr>
          <w:cantSplit/>
          <w:tblHeader/>
        </w:trPr>
        <w:tc>
          <w:tcPr>
            <w:tcW w:w="2230"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18"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16"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677"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30" w:type="dxa"/>
            <w:gridSpan w:val="2"/>
          </w:tcPr>
          <w:p>
            <w:pPr>
              <w:pStyle w:val="nTable"/>
              <w:spacing w:before="120"/>
              <w:ind w:right="113"/>
              <w:rPr>
                <w:sz w:val="19"/>
                <w:vertAlign w:val="superscript"/>
              </w:rPr>
            </w:pPr>
            <w:r>
              <w:rPr>
                <w:sz w:val="19"/>
              </w:rPr>
              <w:t>Untitled</w:t>
            </w:r>
            <w:r>
              <w:rPr>
                <w:sz w:val="19"/>
                <w:vertAlign w:val="superscript"/>
              </w:rPr>
              <w:t> 8</w:t>
            </w:r>
          </w:p>
        </w:tc>
        <w:tc>
          <w:tcPr>
            <w:tcW w:w="1118" w:type="dxa"/>
          </w:tcPr>
          <w:p>
            <w:pPr>
              <w:pStyle w:val="nTable"/>
              <w:spacing w:before="120"/>
              <w:rPr>
                <w:sz w:val="19"/>
              </w:rPr>
            </w:pPr>
            <w:r>
              <w:rPr>
                <w:sz w:val="19"/>
              </w:rPr>
              <w:t>52 Vict. No. 2 (1888)</w:t>
            </w:r>
          </w:p>
        </w:tc>
        <w:tc>
          <w:tcPr>
            <w:tcW w:w="1116" w:type="dxa"/>
            <w:gridSpan w:val="2"/>
          </w:tcPr>
          <w:p>
            <w:pPr>
              <w:pStyle w:val="nTable"/>
              <w:spacing w:before="120"/>
              <w:rPr>
                <w:sz w:val="19"/>
              </w:rPr>
            </w:pPr>
            <w:r>
              <w:rPr>
                <w:sz w:val="19"/>
              </w:rPr>
              <w:t>21 Nov 1888</w:t>
            </w:r>
          </w:p>
        </w:tc>
        <w:tc>
          <w:tcPr>
            <w:tcW w:w="2677" w:type="dxa"/>
            <w:gridSpan w:val="2"/>
          </w:tcPr>
          <w:p>
            <w:pPr>
              <w:pStyle w:val="nTable"/>
              <w:spacing w:before="120"/>
              <w:rPr>
                <w:sz w:val="19"/>
              </w:rPr>
            </w:pPr>
            <w:r>
              <w:rPr>
                <w:sz w:val="19"/>
              </w:rPr>
              <w:t>21 Nov 1888</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18" w:type="dxa"/>
          </w:tcPr>
          <w:p>
            <w:pPr>
              <w:pStyle w:val="nTable"/>
              <w:spacing w:before="120"/>
              <w:rPr>
                <w:sz w:val="19"/>
              </w:rPr>
            </w:pPr>
            <w:r>
              <w:rPr>
                <w:sz w:val="19"/>
              </w:rPr>
              <w:t>34 of 1918</w:t>
            </w:r>
          </w:p>
        </w:tc>
        <w:tc>
          <w:tcPr>
            <w:tcW w:w="1116" w:type="dxa"/>
            <w:gridSpan w:val="2"/>
          </w:tcPr>
          <w:p>
            <w:pPr>
              <w:pStyle w:val="nTable"/>
              <w:spacing w:before="120"/>
              <w:rPr>
                <w:sz w:val="19"/>
              </w:rPr>
            </w:pPr>
            <w:r>
              <w:rPr>
                <w:sz w:val="19"/>
              </w:rPr>
              <w:t>24 Dec 1918</w:t>
            </w:r>
          </w:p>
        </w:tc>
        <w:tc>
          <w:tcPr>
            <w:tcW w:w="2677" w:type="dxa"/>
            <w:gridSpan w:val="2"/>
          </w:tcPr>
          <w:p>
            <w:pPr>
              <w:pStyle w:val="nTable"/>
              <w:spacing w:before="120"/>
              <w:rPr>
                <w:sz w:val="19"/>
              </w:rPr>
            </w:pPr>
            <w:r>
              <w:rPr>
                <w:sz w:val="19"/>
              </w:rPr>
              <w:t>24 Dec 1918</w:t>
            </w:r>
          </w:p>
        </w:tc>
      </w:tr>
      <w:tr>
        <w:trPr>
          <w:cantSplit/>
        </w:trPr>
        <w:tc>
          <w:tcPr>
            <w:tcW w:w="2230" w:type="dxa"/>
            <w:gridSpan w:val="2"/>
          </w:tcPr>
          <w:p>
            <w:pPr>
              <w:pStyle w:val="nTable"/>
              <w:spacing w:before="120"/>
              <w:ind w:right="113"/>
              <w:rPr>
                <w:i/>
                <w:sz w:val="19"/>
              </w:rPr>
            </w:pPr>
            <w:r>
              <w:rPr>
                <w:i/>
                <w:sz w:val="19"/>
              </w:rPr>
              <w:t>Church of England in Australia Constitution Act 1960 </w:t>
            </w:r>
            <w:r>
              <w:rPr>
                <w:sz w:val="19"/>
                <w:vertAlign w:val="superscript"/>
              </w:rPr>
              <w:t>10</w:t>
            </w:r>
          </w:p>
        </w:tc>
        <w:tc>
          <w:tcPr>
            <w:tcW w:w="1118" w:type="dxa"/>
          </w:tcPr>
          <w:p>
            <w:pPr>
              <w:pStyle w:val="nTable"/>
              <w:spacing w:before="120"/>
              <w:rPr>
                <w:sz w:val="19"/>
              </w:rPr>
            </w:pPr>
            <w:r>
              <w:rPr>
                <w:sz w:val="19"/>
              </w:rPr>
              <w:t>4 of 1960</w:t>
            </w:r>
          </w:p>
        </w:tc>
        <w:tc>
          <w:tcPr>
            <w:tcW w:w="1116" w:type="dxa"/>
            <w:gridSpan w:val="2"/>
          </w:tcPr>
          <w:p>
            <w:pPr>
              <w:pStyle w:val="nTable"/>
              <w:spacing w:before="120"/>
              <w:rPr>
                <w:sz w:val="19"/>
              </w:rPr>
            </w:pPr>
            <w:r>
              <w:rPr>
                <w:sz w:val="19"/>
              </w:rPr>
              <w:t>6 Oct 1960</w:t>
            </w:r>
          </w:p>
        </w:tc>
        <w:tc>
          <w:tcPr>
            <w:tcW w:w="2677" w:type="dxa"/>
            <w:gridSpan w:val="2"/>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30" w:type="dxa"/>
            <w:gridSpan w:val="2"/>
          </w:tcPr>
          <w:p>
            <w:pPr>
              <w:pStyle w:val="nTable"/>
              <w:spacing w:before="120"/>
              <w:ind w:right="113"/>
              <w:rPr>
                <w:sz w:val="19"/>
              </w:rPr>
            </w:pPr>
            <w:r>
              <w:rPr>
                <w:i/>
                <w:sz w:val="19"/>
              </w:rPr>
              <w:t>Statute Law Revision (Short Titles) Act 1966</w:t>
            </w:r>
            <w:r>
              <w:rPr>
                <w:sz w:val="19"/>
              </w:rPr>
              <w:t xml:space="preserve"> s. 2</w:t>
            </w:r>
          </w:p>
        </w:tc>
        <w:tc>
          <w:tcPr>
            <w:tcW w:w="1118" w:type="dxa"/>
          </w:tcPr>
          <w:p>
            <w:pPr>
              <w:pStyle w:val="nTable"/>
              <w:spacing w:before="120"/>
              <w:rPr>
                <w:sz w:val="19"/>
              </w:rPr>
            </w:pPr>
            <w:r>
              <w:rPr>
                <w:sz w:val="19"/>
              </w:rPr>
              <w:t>81 of 1966</w:t>
            </w:r>
          </w:p>
        </w:tc>
        <w:tc>
          <w:tcPr>
            <w:tcW w:w="1116" w:type="dxa"/>
            <w:gridSpan w:val="2"/>
          </w:tcPr>
          <w:p>
            <w:pPr>
              <w:pStyle w:val="nTable"/>
              <w:spacing w:before="120"/>
              <w:rPr>
                <w:sz w:val="19"/>
              </w:rPr>
            </w:pPr>
            <w:r>
              <w:rPr>
                <w:sz w:val="19"/>
              </w:rPr>
              <w:t>12 Dec 1966</w:t>
            </w:r>
          </w:p>
        </w:tc>
        <w:tc>
          <w:tcPr>
            <w:tcW w:w="2677" w:type="dxa"/>
            <w:gridSpan w:val="2"/>
          </w:tcPr>
          <w:p>
            <w:pPr>
              <w:pStyle w:val="nTable"/>
              <w:spacing w:before="120"/>
              <w:rPr>
                <w:sz w:val="19"/>
              </w:rPr>
            </w:pPr>
            <w:r>
              <w:rPr>
                <w:sz w:val="19"/>
              </w:rPr>
              <w:t>12 Dec 1966</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Act Amendment Act 1969 </w:t>
            </w:r>
          </w:p>
        </w:tc>
        <w:tc>
          <w:tcPr>
            <w:tcW w:w="1118" w:type="dxa"/>
          </w:tcPr>
          <w:p>
            <w:pPr>
              <w:pStyle w:val="nTable"/>
              <w:spacing w:before="120"/>
              <w:rPr>
                <w:sz w:val="19"/>
              </w:rPr>
            </w:pPr>
            <w:r>
              <w:rPr>
                <w:sz w:val="19"/>
              </w:rPr>
              <w:t>66 of 1969</w:t>
            </w:r>
          </w:p>
        </w:tc>
        <w:tc>
          <w:tcPr>
            <w:tcW w:w="1116" w:type="dxa"/>
            <w:gridSpan w:val="2"/>
          </w:tcPr>
          <w:p>
            <w:pPr>
              <w:pStyle w:val="nTable"/>
              <w:spacing w:before="120"/>
              <w:rPr>
                <w:sz w:val="19"/>
              </w:rPr>
            </w:pPr>
            <w:r>
              <w:rPr>
                <w:sz w:val="19"/>
              </w:rPr>
              <w:t>14 Oct 1969</w:t>
            </w:r>
          </w:p>
        </w:tc>
        <w:tc>
          <w:tcPr>
            <w:tcW w:w="2677" w:type="dxa"/>
            <w:gridSpan w:val="2"/>
          </w:tcPr>
          <w:p>
            <w:pPr>
              <w:pStyle w:val="nTable"/>
              <w:spacing w:before="120"/>
              <w:rPr>
                <w:sz w:val="19"/>
              </w:rPr>
            </w:pPr>
            <w:r>
              <w:rPr>
                <w:sz w:val="19"/>
              </w:rPr>
              <w:t>14 Oct 1969</w:t>
            </w:r>
          </w:p>
        </w:tc>
      </w:tr>
      <w:tr>
        <w:trPr>
          <w:cantSplit/>
        </w:trPr>
        <w:tc>
          <w:tcPr>
            <w:tcW w:w="2230" w:type="dxa"/>
            <w:gridSpan w:val="2"/>
          </w:tcPr>
          <w:p>
            <w:pPr>
              <w:pStyle w:val="nTable"/>
              <w:spacing w:before="120"/>
              <w:ind w:right="113"/>
              <w:rPr>
                <w:sz w:val="19"/>
                <w:vertAlign w:val="superscript"/>
              </w:rPr>
            </w:pPr>
            <w:r>
              <w:rPr>
                <w:i/>
                <w:sz w:val="19"/>
              </w:rPr>
              <w:t>Church of England (Diocesan Trustees) Act Amendment Act 1973</w:t>
            </w:r>
          </w:p>
        </w:tc>
        <w:tc>
          <w:tcPr>
            <w:tcW w:w="1118" w:type="dxa"/>
          </w:tcPr>
          <w:p>
            <w:pPr>
              <w:pStyle w:val="nTable"/>
              <w:spacing w:before="120"/>
              <w:rPr>
                <w:sz w:val="19"/>
              </w:rPr>
            </w:pPr>
            <w:r>
              <w:rPr>
                <w:sz w:val="19"/>
              </w:rPr>
              <w:t>55 of 1973</w:t>
            </w:r>
          </w:p>
        </w:tc>
        <w:tc>
          <w:tcPr>
            <w:tcW w:w="1116" w:type="dxa"/>
            <w:gridSpan w:val="2"/>
          </w:tcPr>
          <w:p>
            <w:pPr>
              <w:pStyle w:val="nTable"/>
              <w:spacing w:before="120"/>
              <w:rPr>
                <w:sz w:val="19"/>
              </w:rPr>
            </w:pPr>
            <w:r>
              <w:rPr>
                <w:sz w:val="19"/>
              </w:rPr>
              <w:t>19 Nov 1973</w:t>
            </w:r>
          </w:p>
        </w:tc>
        <w:tc>
          <w:tcPr>
            <w:tcW w:w="2677" w:type="dxa"/>
            <w:gridSpan w:val="2"/>
          </w:tcPr>
          <w:p>
            <w:pPr>
              <w:pStyle w:val="nTable"/>
              <w:spacing w:before="120"/>
              <w:rPr>
                <w:sz w:val="19"/>
              </w:rPr>
            </w:pPr>
            <w:r>
              <w:rPr>
                <w:sz w:val="19"/>
              </w:rPr>
              <w:t>19 Nov 1973</w:t>
            </w:r>
          </w:p>
        </w:tc>
      </w:tr>
      <w:tr>
        <w:trPr>
          <w:cantSplit/>
        </w:trPr>
        <w:tc>
          <w:tcPr>
            <w:tcW w:w="2230" w:type="dxa"/>
            <w:gridSpan w:val="2"/>
          </w:tcPr>
          <w:p>
            <w:pPr>
              <w:pStyle w:val="nTable"/>
              <w:spacing w:before="120"/>
              <w:ind w:right="113"/>
              <w:rPr>
                <w:sz w:val="19"/>
              </w:rPr>
            </w:pPr>
            <w:r>
              <w:rPr>
                <w:i/>
                <w:sz w:val="19"/>
              </w:rPr>
              <w:t>Church of England (Diocesan Trustees) Act Amendment Act 1975</w:t>
            </w:r>
          </w:p>
        </w:tc>
        <w:tc>
          <w:tcPr>
            <w:tcW w:w="1118" w:type="dxa"/>
          </w:tcPr>
          <w:p>
            <w:pPr>
              <w:pStyle w:val="nTable"/>
              <w:spacing w:before="120"/>
              <w:rPr>
                <w:sz w:val="19"/>
              </w:rPr>
            </w:pPr>
            <w:r>
              <w:rPr>
                <w:sz w:val="19"/>
              </w:rPr>
              <w:t>101 of 1975</w:t>
            </w:r>
          </w:p>
        </w:tc>
        <w:tc>
          <w:tcPr>
            <w:tcW w:w="1116" w:type="dxa"/>
            <w:gridSpan w:val="2"/>
          </w:tcPr>
          <w:p>
            <w:pPr>
              <w:pStyle w:val="nTable"/>
              <w:spacing w:before="120"/>
              <w:rPr>
                <w:sz w:val="19"/>
              </w:rPr>
            </w:pPr>
            <w:r>
              <w:rPr>
                <w:sz w:val="19"/>
              </w:rPr>
              <w:t>1 Dec 1975</w:t>
            </w:r>
          </w:p>
        </w:tc>
        <w:tc>
          <w:tcPr>
            <w:tcW w:w="2677" w:type="dxa"/>
            <w:gridSpan w:val="2"/>
          </w:tcPr>
          <w:p>
            <w:pPr>
              <w:pStyle w:val="nTable"/>
              <w:spacing w:before="120"/>
              <w:rPr>
                <w:sz w:val="19"/>
              </w:rPr>
            </w:pPr>
            <w:r>
              <w:rPr>
                <w:sz w:val="19"/>
              </w:rPr>
              <w:t>1 Dec 1975</w:t>
            </w:r>
          </w:p>
        </w:tc>
      </w:tr>
      <w:tr>
        <w:trPr>
          <w:cantSplit/>
        </w:trPr>
        <w:tc>
          <w:tcPr>
            <w:tcW w:w="2230" w:type="dxa"/>
            <w:gridSpan w:val="2"/>
          </w:tcPr>
          <w:p>
            <w:pPr>
              <w:pStyle w:val="nTable"/>
              <w:spacing w:before="120"/>
              <w:ind w:right="113"/>
              <w:rPr>
                <w:sz w:val="19"/>
              </w:rPr>
            </w:pPr>
            <w:r>
              <w:rPr>
                <w:i/>
                <w:sz w:val="19"/>
              </w:rPr>
              <w:t xml:space="preserve">Anglican Church of Australia Act 1976 </w:t>
            </w:r>
            <w:r>
              <w:rPr>
                <w:sz w:val="19"/>
              </w:rPr>
              <w:t>s. 7</w:t>
            </w:r>
          </w:p>
        </w:tc>
        <w:tc>
          <w:tcPr>
            <w:tcW w:w="1118" w:type="dxa"/>
          </w:tcPr>
          <w:p>
            <w:pPr>
              <w:pStyle w:val="nTable"/>
              <w:spacing w:before="120"/>
              <w:rPr>
                <w:sz w:val="19"/>
              </w:rPr>
            </w:pPr>
            <w:r>
              <w:rPr>
                <w:sz w:val="19"/>
              </w:rPr>
              <w:t>121 of 1976</w:t>
            </w:r>
          </w:p>
        </w:tc>
        <w:tc>
          <w:tcPr>
            <w:tcW w:w="1116" w:type="dxa"/>
            <w:gridSpan w:val="2"/>
          </w:tcPr>
          <w:p>
            <w:pPr>
              <w:pStyle w:val="nTable"/>
              <w:spacing w:before="120"/>
              <w:rPr>
                <w:sz w:val="19"/>
              </w:rPr>
            </w:pPr>
            <w:r>
              <w:rPr>
                <w:sz w:val="19"/>
              </w:rPr>
              <w:t>1 Dec 1976</w:t>
            </w:r>
          </w:p>
        </w:tc>
        <w:tc>
          <w:tcPr>
            <w:tcW w:w="2677"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141" w:type="dxa"/>
            <w:gridSpan w:val="7"/>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trPr>
          <w:cantSplit/>
        </w:trPr>
        <w:tc>
          <w:tcPr>
            <w:tcW w:w="2230" w:type="dxa"/>
            <w:gridSpan w:val="2"/>
          </w:tcPr>
          <w:p>
            <w:pPr>
              <w:pStyle w:val="nTable"/>
              <w:spacing w:before="120"/>
              <w:ind w:right="113"/>
              <w:rPr>
                <w:sz w:val="19"/>
              </w:rPr>
            </w:pPr>
            <w:r>
              <w:rPr>
                <w:i/>
                <w:sz w:val="19"/>
              </w:rPr>
              <w:t xml:space="preserve">Local Government (Consequential Amendments) Act 1996 </w:t>
            </w:r>
            <w:r>
              <w:rPr>
                <w:sz w:val="19"/>
              </w:rPr>
              <w:t>s. 4</w:t>
            </w:r>
          </w:p>
        </w:tc>
        <w:tc>
          <w:tcPr>
            <w:tcW w:w="1118" w:type="dxa"/>
          </w:tcPr>
          <w:p>
            <w:pPr>
              <w:pStyle w:val="nTable"/>
              <w:spacing w:before="120"/>
              <w:rPr>
                <w:sz w:val="19"/>
              </w:rPr>
            </w:pPr>
            <w:r>
              <w:rPr>
                <w:sz w:val="19"/>
              </w:rPr>
              <w:t>14 of 1996</w:t>
            </w:r>
          </w:p>
        </w:tc>
        <w:tc>
          <w:tcPr>
            <w:tcW w:w="1116" w:type="dxa"/>
            <w:gridSpan w:val="2"/>
          </w:tcPr>
          <w:p>
            <w:pPr>
              <w:pStyle w:val="nTable"/>
              <w:spacing w:before="120"/>
              <w:rPr>
                <w:sz w:val="19"/>
              </w:rPr>
            </w:pPr>
            <w:r>
              <w:rPr>
                <w:sz w:val="19"/>
              </w:rPr>
              <w:t>28 Jun 1996</w:t>
            </w:r>
          </w:p>
        </w:tc>
        <w:tc>
          <w:tcPr>
            <w:tcW w:w="2677" w:type="dxa"/>
            <w:gridSpan w:val="2"/>
          </w:tcPr>
          <w:p>
            <w:pPr>
              <w:pStyle w:val="nTable"/>
              <w:spacing w:before="120"/>
              <w:rPr>
                <w:sz w:val="19"/>
              </w:rPr>
            </w:pPr>
            <w:r>
              <w:rPr>
                <w:sz w:val="19"/>
              </w:rPr>
              <w:t>1 Jul 1996 (see s. 2)</w:t>
            </w:r>
          </w:p>
        </w:tc>
      </w:tr>
      <w:tr>
        <w:trPr>
          <w:cantSplit/>
        </w:trPr>
        <w:tc>
          <w:tcPr>
            <w:tcW w:w="7141" w:type="dxa"/>
            <w:gridSpan w:val="7"/>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trPr>
          <w:cantSplit/>
        </w:trPr>
        <w:tc>
          <w:tcPr>
            <w:tcW w:w="2230" w:type="dxa"/>
            <w:gridSpan w:val="2"/>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18" w:type="dxa"/>
          </w:tcPr>
          <w:p>
            <w:pPr>
              <w:pStyle w:val="nTable"/>
              <w:spacing w:before="120"/>
              <w:rPr>
                <w:sz w:val="19"/>
              </w:rPr>
            </w:pPr>
            <w:r>
              <w:rPr>
                <w:sz w:val="19"/>
              </w:rPr>
              <w:t>45 of 2002</w:t>
            </w:r>
          </w:p>
        </w:tc>
        <w:tc>
          <w:tcPr>
            <w:tcW w:w="1116" w:type="dxa"/>
            <w:gridSpan w:val="2"/>
          </w:tcPr>
          <w:p>
            <w:pPr>
              <w:pStyle w:val="nTable"/>
              <w:spacing w:before="120"/>
              <w:rPr>
                <w:sz w:val="19"/>
              </w:rPr>
            </w:pPr>
            <w:r>
              <w:rPr>
                <w:sz w:val="19"/>
              </w:rPr>
              <w:t>20 Mar 2003</w:t>
            </w:r>
          </w:p>
        </w:tc>
        <w:tc>
          <w:tcPr>
            <w:tcW w:w="2677" w:type="dxa"/>
            <w:gridSpan w:val="2"/>
          </w:tcPr>
          <w:p>
            <w:pPr>
              <w:pStyle w:val="nTable"/>
              <w:spacing w:before="120"/>
              <w:rPr>
                <w:sz w:val="19"/>
              </w:rPr>
            </w:pPr>
            <w:r>
              <w:rPr>
                <w:sz w:val="19"/>
              </w:rPr>
              <w:t xml:space="preserve">1 Jul 2003 (see s. 2 and </w:t>
            </w:r>
            <w:r>
              <w:rPr>
                <w:i/>
                <w:sz w:val="19"/>
              </w:rPr>
              <w:t>Gazette</w:t>
            </w:r>
            <w:r>
              <w:rPr>
                <w:sz w:val="19"/>
              </w:rPr>
              <w:t xml:space="preserve"> 27 Jun 2003 p. 2383)</w:t>
            </w:r>
          </w:p>
        </w:tc>
      </w:tr>
      <w:tr>
        <w:trPr>
          <w:cantSplit/>
        </w:trPr>
        <w:tc>
          <w:tcPr>
            <w:tcW w:w="2230" w:type="dxa"/>
            <w:gridSpan w:val="2"/>
          </w:tcPr>
          <w:p>
            <w:pPr>
              <w:pStyle w:val="nTable"/>
              <w:spacing w:before="120"/>
              <w:ind w:right="113"/>
              <w:rPr>
                <w:i/>
                <w:sz w:val="19"/>
              </w:rPr>
            </w:pPr>
            <w:r>
              <w:rPr>
                <w:i/>
                <w:sz w:val="19"/>
              </w:rPr>
              <w:t>Duties Legislation Amendment Act 2008</w:t>
            </w:r>
            <w:r>
              <w:rPr>
                <w:iCs/>
                <w:sz w:val="19"/>
              </w:rPr>
              <w:t xml:space="preserve"> s. 52 </w:t>
            </w:r>
          </w:p>
        </w:tc>
        <w:tc>
          <w:tcPr>
            <w:tcW w:w="1118" w:type="dxa"/>
          </w:tcPr>
          <w:p>
            <w:pPr>
              <w:pStyle w:val="nTable"/>
              <w:spacing w:before="120"/>
              <w:rPr>
                <w:sz w:val="19"/>
              </w:rPr>
            </w:pPr>
            <w:r>
              <w:rPr>
                <w:sz w:val="19"/>
              </w:rPr>
              <w:t>12 of 2008</w:t>
            </w:r>
          </w:p>
        </w:tc>
        <w:tc>
          <w:tcPr>
            <w:tcW w:w="1116" w:type="dxa"/>
            <w:gridSpan w:val="2"/>
          </w:tcPr>
          <w:p>
            <w:pPr>
              <w:pStyle w:val="nTable"/>
              <w:spacing w:before="120"/>
              <w:rPr>
                <w:sz w:val="19"/>
              </w:rPr>
            </w:pPr>
            <w:r>
              <w:rPr>
                <w:sz w:val="19"/>
              </w:rPr>
              <w:t>14 Apr 2008</w:t>
            </w:r>
          </w:p>
        </w:tc>
        <w:tc>
          <w:tcPr>
            <w:tcW w:w="2677" w:type="dxa"/>
            <w:gridSpan w:val="2"/>
          </w:tcPr>
          <w:p>
            <w:pPr>
              <w:pStyle w:val="nTable"/>
              <w:spacing w:before="120"/>
              <w:rPr>
                <w:sz w:val="19"/>
              </w:rPr>
            </w:pPr>
            <w:r>
              <w:rPr>
                <w:sz w:val="19"/>
              </w:rPr>
              <w:t>1 Jul 2008 (see s. 2(d))</w:t>
            </w:r>
          </w:p>
        </w:tc>
      </w:tr>
      <w:tr>
        <w:trPr>
          <w:gridAfter w:val="1"/>
          <w:wAfter w:w="13" w:type="dxa"/>
          <w:cantSplit/>
        </w:trPr>
        <w:tc>
          <w:tcPr>
            <w:tcW w:w="221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0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7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4" w:name="_Toc528569730"/>
      <w:bookmarkStart w:id="75" w:name="_Toc6163318"/>
      <w:r>
        <w:rPr>
          <w:rStyle w:val="CharSectno"/>
        </w:rPr>
        <w:t>3</w:t>
      </w:r>
      <w:r>
        <w:t>.</w:t>
      </w:r>
      <w:r>
        <w:tab/>
        <w:t>Relationship with other Acts</w:t>
      </w:r>
      <w:bookmarkEnd w:id="74"/>
      <w:bookmarkEnd w:id="7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6" w:name="_Toc528569731"/>
      <w:bookmarkStart w:id="77" w:name="_Toc6163319"/>
      <w:r>
        <w:rPr>
          <w:rStyle w:val="CharSectno"/>
        </w:rPr>
        <w:t>4</w:t>
      </w:r>
      <w:r>
        <w:t>.</w:t>
      </w:r>
      <w:r>
        <w:tab/>
        <w:t>Meaning of terms used in this Act</w:t>
      </w:r>
      <w:bookmarkEnd w:id="76"/>
      <w:bookmarkEnd w:id="77"/>
    </w:p>
    <w:p>
      <w:pPr>
        <w:pStyle w:val="nzSubsection"/>
      </w:pPr>
      <w:r>
        <w:tab/>
      </w:r>
      <w:bookmarkStart w:id="78" w:name="_Hlt528057531"/>
      <w:bookmarkEnd w:id="7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9" w:name="_Hlt529933443"/>
      <w:bookmarkStart w:id="80" w:name="_Hlt529932130"/>
      <w:bookmarkStart w:id="81" w:name="_Hlt523729657"/>
      <w:bookmarkStart w:id="82" w:name="_Hlt523729676"/>
      <w:bookmarkStart w:id="83" w:name="_Hlt523729726"/>
      <w:bookmarkStart w:id="84" w:name="_Toc6163348"/>
      <w:bookmarkEnd w:id="79"/>
      <w:bookmarkEnd w:id="80"/>
      <w:bookmarkEnd w:id="81"/>
      <w:bookmarkEnd w:id="82"/>
      <w:bookmarkEnd w:id="83"/>
      <w:r>
        <w:rPr>
          <w:rStyle w:val="CharSectno"/>
        </w:rPr>
        <w:t>33</w:t>
      </w:r>
      <w:r>
        <w:t>.</w:t>
      </w:r>
      <w:r>
        <w:tab/>
        <w:t>Definitions</w:t>
      </w:r>
      <w:bookmarkEnd w:id="84"/>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5" w:name="_Toc6163349"/>
      <w:r>
        <w:rPr>
          <w:rStyle w:val="CharSectno"/>
        </w:rPr>
        <w:t>34</w:t>
      </w:r>
      <w:r>
        <w:t>.</w:t>
      </w:r>
      <w:r>
        <w:tab/>
        <w:t>General transitional arrangements</w:t>
      </w:r>
      <w:bookmarkEnd w:id="8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6" w:name="_Toc6163350"/>
      <w:r>
        <w:rPr>
          <w:rStyle w:val="CharSectno"/>
        </w:rPr>
        <w:t>35</w:t>
      </w:r>
      <w:r>
        <w:t>.</w:t>
      </w:r>
      <w:r>
        <w:tab/>
        <w:t>Commissioner not to increase tax liability</w:t>
      </w:r>
      <w:bookmarkEnd w:id="8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7" w:name="_Toc6163351"/>
      <w:r>
        <w:rPr>
          <w:rStyle w:val="CharSectno"/>
        </w:rPr>
        <w:t>36</w:t>
      </w:r>
      <w:r>
        <w:t>.</w:t>
      </w:r>
      <w:r>
        <w:tab/>
        <w:t>Delegations</w:t>
      </w:r>
      <w:bookmarkEnd w:id="8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8" w:name="_Toc527966629"/>
      <w:bookmarkStart w:id="89" w:name="_Toc6163352"/>
      <w:r>
        <w:rPr>
          <w:rStyle w:val="CharSectno"/>
        </w:rPr>
        <w:t>37</w:t>
      </w:r>
      <w:r>
        <w:t>.</w:t>
      </w:r>
      <w:r>
        <w:tab/>
        <w:t>Certificates of exemption from tax (</w:t>
      </w:r>
      <w:r>
        <w:rPr>
          <w:i/>
        </w:rPr>
        <w:t>Debits Tax Assessment Act 1990</w:t>
      </w:r>
      <w:r>
        <w:t>, s. 11)</w:t>
      </w:r>
      <w:bookmarkEnd w:id="88"/>
      <w:bookmarkEnd w:id="8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0" w:name="_Toc6163353"/>
      <w:r>
        <w:rPr>
          <w:rStyle w:val="CharSectno"/>
        </w:rPr>
        <w:t>38</w:t>
      </w:r>
      <w:r>
        <w:t>.</w:t>
      </w:r>
      <w:r>
        <w:tab/>
        <w:t>Exemptions for certain home unit owners (</w:t>
      </w:r>
      <w:r>
        <w:rPr>
          <w:i/>
        </w:rPr>
        <w:t>Land Tax Assessment Act 1976</w:t>
      </w:r>
      <w:r>
        <w:t>, s. 19)</w:t>
      </w:r>
      <w:bookmarkEnd w:id="9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91" w:name="_Toc6163354"/>
      <w:r>
        <w:rPr>
          <w:rStyle w:val="CharSectno"/>
        </w:rPr>
        <w:t>39</w:t>
      </w:r>
      <w:r>
        <w:t>.</w:t>
      </w:r>
      <w:r>
        <w:tab/>
        <w:t>Inner city residential property rebate (</w:t>
      </w:r>
      <w:r>
        <w:rPr>
          <w:i/>
        </w:rPr>
        <w:t>Land Tax Assessment Act 1976</w:t>
      </w:r>
      <w:r>
        <w:t>, s. 23AB)</w:t>
      </w:r>
      <w:bookmarkEnd w:id="9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2" w:name="_Toc6163355"/>
      <w:r>
        <w:rPr>
          <w:rStyle w:val="CharSectno"/>
        </w:rPr>
        <w:t>40</w:t>
      </w:r>
      <w:r>
        <w:t>.</w:t>
      </w:r>
      <w:r>
        <w:tab/>
        <w:t>Land tax relief Acts</w:t>
      </w:r>
      <w:bookmarkEnd w:id="9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3" w:name="_Toc6163356"/>
      <w:r>
        <w:rPr>
          <w:rStyle w:val="CharSectno"/>
        </w:rPr>
        <w:t>41</w:t>
      </w:r>
      <w:r>
        <w:t>.</w:t>
      </w:r>
      <w:r>
        <w:tab/>
        <w:t>Treatment of certain contributions (</w:t>
      </w:r>
      <w:r>
        <w:rPr>
          <w:i/>
        </w:rPr>
        <w:t>Pay</w:t>
      </w:r>
      <w:r>
        <w:rPr>
          <w:i/>
        </w:rPr>
        <w:noBreakHyphen/>
        <w:t>roll Tax Assessment Act 1971</w:t>
      </w:r>
      <w:r>
        <w:t>, Sch. 2 cl. 5)</w:t>
      </w:r>
      <w:bookmarkEnd w:id="9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4" w:name="_Toc6163357"/>
      <w:r>
        <w:rPr>
          <w:rStyle w:val="CharSectno"/>
        </w:rPr>
        <w:t>42</w:t>
      </w:r>
      <w:r>
        <w:t>.</w:t>
      </w:r>
      <w:r>
        <w:tab/>
        <w:t>Reassessments and refunds (</w:t>
      </w:r>
      <w:r>
        <w:rPr>
          <w:i/>
        </w:rPr>
        <w:t>Pay</w:t>
      </w:r>
      <w:r>
        <w:rPr>
          <w:i/>
        </w:rPr>
        <w:noBreakHyphen/>
        <w:t>roll Tax Assessment Act 1971</w:t>
      </w:r>
      <w:r>
        <w:t>, s. 19)</w:t>
      </w:r>
      <w:bookmarkEnd w:id="9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5" w:name="_Toc6163358"/>
      <w:r>
        <w:rPr>
          <w:rStyle w:val="CharSectno"/>
        </w:rPr>
        <w:t>43</w:t>
      </w:r>
      <w:r>
        <w:t>.</w:t>
      </w:r>
      <w:r>
        <w:tab/>
        <w:t>Adhesive stamps (</w:t>
      </w:r>
      <w:r>
        <w:rPr>
          <w:i/>
        </w:rPr>
        <w:t>Stamp Act 1921</w:t>
      </w:r>
      <w:r>
        <w:t>, s. 15, 21 and 23)</w:t>
      </w:r>
      <w:bookmarkEnd w:id="9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6" w:name="_Toc6163359"/>
      <w:r>
        <w:rPr>
          <w:rStyle w:val="CharSectno"/>
        </w:rPr>
        <w:t>44</w:t>
      </w:r>
      <w:r>
        <w:t>.</w:t>
      </w:r>
      <w:r>
        <w:tab/>
        <w:t>Printing of “Stamp Duty Paid” on cheques (</w:t>
      </w:r>
      <w:r>
        <w:rPr>
          <w:i/>
        </w:rPr>
        <w:t xml:space="preserve">Stamp Act 1921, </w:t>
      </w:r>
      <w:r>
        <w:t>s. 52)</w:t>
      </w:r>
      <w:bookmarkEnd w:id="9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97" w:name="_Toc6163360"/>
      <w:r>
        <w:rPr>
          <w:rStyle w:val="CharSectno"/>
        </w:rPr>
        <w:t>45</w:t>
      </w:r>
      <w:r>
        <w:t>.</w:t>
      </w:r>
      <w:r>
        <w:tab/>
        <w:t>First home owners — reassessment (</w:t>
      </w:r>
      <w:r>
        <w:rPr>
          <w:i/>
        </w:rPr>
        <w:t xml:space="preserve">Stamp Act 1921, </w:t>
      </w:r>
      <w:r>
        <w:t>s. 75AG)</w:t>
      </w:r>
      <w:bookmarkEnd w:id="9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9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9" w:name="_Toc6163362"/>
      <w:r>
        <w:rPr>
          <w:rStyle w:val="CharSectno"/>
        </w:rPr>
        <w:t>47</w:t>
      </w:r>
      <w:r>
        <w:t>.</w:t>
      </w:r>
      <w:r>
        <w:tab/>
        <w:t>Alternative to stamping individual insurance policies (</w:t>
      </w:r>
      <w:r>
        <w:rPr>
          <w:i/>
        </w:rPr>
        <w:t xml:space="preserve">Stamp Act 1921, </w:t>
      </w:r>
      <w:r>
        <w:t>s. 95A)</w:t>
      </w:r>
      <w:bookmarkEnd w:id="9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00" w:name="_Toc6163363"/>
      <w:r>
        <w:rPr>
          <w:rStyle w:val="CharSectno"/>
        </w:rPr>
        <w:t>48</w:t>
      </w:r>
      <w:r>
        <w:t>.</w:t>
      </w:r>
      <w:r>
        <w:tab/>
        <w:t>Workers’ compensation insurance (</w:t>
      </w:r>
      <w:r>
        <w:rPr>
          <w:i/>
        </w:rPr>
        <w:t>Stamp Act 1921</w:t>
      </w:r>
      <w:r>
        <w:t>, s. 97 and item 16 of the Second Schedule)</w:t>
      </w:r>
      <w:bookmarkEnd w:id="10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01" w:name="_Toc6163364"/>
      <w:r>
        <w:rPr>
          <w:rStyle w:val="CharSectno"/>
        </w:rPr>
        <w:t>49</w:t>
      </w:r>
      <w:r>
        <w:t>.</w:t>
      </w:r>
      <w:r>
        <w:tab/>
        <w:t>Payment of duty by returns (</w:t>
      </w:r>
      <w:r>
        <w:rPr>
          <w:i/>
        </w:rPr>
        <w:t>Stamp Act 1921</w:t>
      </w:r>
      <w:r>
        <w:t>, s. 112V)</w:t>
      </w:r>
      <w:bookmarkEnd w:id="10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MiscClose"/>
      </w:pPr>
      <w:bookmarkStart w:id="102" w:name="AutoSch"/>
      <w:bookmarkEnd w:id="102"/>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(Diocesan Trustees) Act 1888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(Diocesan Trustees) Act 1888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33"/>
    <w:docVar w:name="WAFER_20151204140233" w:val="RemoveTrackChanges"/>
    <w:docVar w:name="WAFER_20151204140233_GUID" w:val="06767e55-7aff-45cc-8d32-1066212cd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7023</Words>
  <Characters>33570</Characters>
  <Application>Microsoft Office Word</Application>
  <DocSecurity>0</DocSecurity>
  <Lines>860</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1888 - 02-f0-02</dc:title>
  <dc:subject/>
  <dc:creator/>
  <cp:keywords/>
  <dc:description/>
  <cp:lastModifiedBy>svcMRProcess</cp:lastModifiedBy>
  <cp:revision>4</cp:revision>
  <cp:lastPrinted>2002-05-23T04:23:00Z</cp:lastPrinted>
  <dcterms:created xsi:type="dcterms:W3CDTF">2015-12-04T16:26:00Z</dcterms:created>
  <dcterms:modified xsi:type="dcterms:W3CDTF">2015-12-04T16:26:00Z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02-f0-02</vt:lpwstr>
  </property>
  <property fmtid="{D5CDD505-2E9C-101B-9397-08002B2CF9AE}" pid="7" name="OwlsUID">
    <vt:i4>39</vt:i4>
  </property>
</Properties>
</file>