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_Toc412628765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_Toc412628766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_Toc412628767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Proceeds of race meetings on Anzac Day to be paid to Trust</w:t>
      </w:r>
      <w:r>
        <w:tab/>
      </w:r>
      <w:r>
        <w:fldChar w:fldCharType="begin"/>
      </w:r>
      <w:r>
        <w:instrText xml:space="preserve"> PAGEREF _Toc412628768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Sports on Anzac Day</w:t>
      </w:r>
      <w:r>
        <w:tab/>
      </w:r>
      <w:r>
        <w:fldChar w:fldCharType="begin"/>
      </w:r>
      <w:r>
        <w:instrText xml:space="preserve"> PAGEREF _Toc412628769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Proceeds of sports on Anzac Day to be paid to Trust</w:t>
      </w:r>
      <w:r>
        <w:tab/>
      </w:r>
      <w:r>
        <w:fldChar w:fldCharType="begin"/>
      </w:r>
      <w:r>
        <w:instrText xml:space="preserve"> PAGEREF _Toc412628770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_Toc412628771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_Toc412628772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a body corporate</w:t>
      </w:r>
      <w:r>
        <w:tab/>
      </w:r>
      <w:r>
        <w:fldChar w:fldCharType="begin"/>
      </w:r>
      <w:r>
        <w:instrText xml:space="preserve"> PAGEREF _Toc412628773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_Toc412628774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_Toc412628775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_Toc412628776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the </w:t>
      </w:r>
      <w:r>
        <w:rPr>
          <w:i/>
        </w:rPr>
        <w:t>Financial Management Act 2006</w:t>
      </w:r>
      <w:r>
        <w:t xml:space="preserve"> and </w:t>
      </w:r>
      <w:r>
        <w:rPr>
          <w:i/>
        </w:rPr>
        <w:t>Auditor General Act 2006</w:t>
      </w:r>
      <w:r>
        <w:tab/>
      </w:r>
      <w:r>
        <w:fldChar w:fldCharType="begin"/>
      </w:r>
      <w:r>
        <w:instrText xml:space="preserve"> PAGEREF _Toc412628777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_Toc412628778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_Toc412628779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_Toc412628781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by No. 77 of 2006 s. 17.]</w:t>
      </w:r>
    </w:p>
    <w:p>
      <w:pPr>
        <w:pStyle w:val="Heading5"/>
        <w:rPr>
          <w:snapToGrid w:val="0"/>
        </w:rPr>
      </w:pPr>
      <w:bookmarkStart w:id="3" w:name="_Toc377995033"/>
      <w:bookmarkStart w:id="4" w:name="_Toc41262876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5" w:name="_Toc377995034"/>
      <w:bookmarkStart w:id="6" w:name="_Toc412628766"/>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7" w:name="_Toc377995035"/>
      <w:bookmarkStart w:id="8" w:name="_Toc412628767"/>
      <w:r>
        <w:rPr>
          <w:rStyle w:val="CharSectno"/>
        </w:rPr>
        <w:t>4</w:t>
      </w:r>
      <w:r>
        <w:rPr>
          <w:snapToGrid w:val="0"/>
        </w:rPr>
        <w:t>.</w:t>
      </w:r>
      <w:r>
        <w:rPr>
          <w:snapToGrid w:val="0"/>
        </w:rPr>
        <w:tab/>
        <w:t>Race meetings on Anzac Day</w:t>
      </w:r>
      <w:bookmarkEnd w:id="7"/>
      <w:bookmarkEnd w:id="8"/>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9" w:name="_Toc377995036"/>
      <w:bookmarkStart w:id="10" w:name="_Toc412628768"/>
      <w:r>
        <w:rPr>
          <w:rStyle w:val="CharSectno"/>
        </w:rPr>
        <w:t>5</w:t>
      </w:r>
      <w:r>
        <w:rPr>
          <w:snapToGrid w:val="0"/>
        </w:rPr>
        <w:t>.</w:t>
      </w:r>
      <w:r>
        <w:rPr>
          <w:snapToGrid w:val="0"/>
        </w:rPr>
        <w:tab/>
        <w:t>Proceeds of race meetings on Anzac Day to be paid to Trust</w:t>
      </w:r>
      <w:bookmarkEnd w:id="9"/>
      <w:bookmarkEnd w:id="10"/>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11" w:name="_Toc377995037"/>
      <w:bookmarkStart w:id="12" w:name="_Toc412628769"/>
      <w:r>
        <w:rPr>
          <w:rStyle w:val="CharSectno"/>
        </w:rPr>
        <w:t>6</w:t>
      </w:r>
      <w:r>
        <w:rPr>
          <w:snapToGrid w:val="0"/>
        </w:rPr>
        <w:t>.</w:t>
      </w:r>
      <w:r>
        <w:rPr>
          <w:snapToGrid w:val="0"/>
        </w:rPr>
        <w:tab/>
        <w:t>Sports on Anzac Day</w:t>
      </w:r>
      <w:bookmarkEnd w:id="11"/>
      <w:bookmarkEnd w:id="12"/>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13" w:name="_Toc377995038"/>
      <w:bookmarkStart w:id="14" w:name="_Toc412628770"/>
      <w:r>
        <w:rPr>
          <w:rStyle w:val="CharSectno"/>
        </w:rPr>
        <w:t>7</w:t>
      </w:r>
      <w:r>
        <w:rPr>
          <w:snapToGrid w:val="0"/>
        </w:rPr>
        <w:t>.</w:t>
      </w:r>
      <w:r>
        <w:rPr>
          <w:snapToGrid w:val="0"/>
        </w:rPr>
        <w:tab/>
        <w:t>Proceeds of sports on Anzac Day to be paid to Trust</w:t>
      </w:r>
      <w:bookmarkEnd w:id="13"/>
      <w:bookmarkEnd w:id="14"/>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15" w:name="_Toc377995039"/>
      <w:bookmarkStart w:id="16" w:name="_Toc412628771"/>
      <w:r>
        <w:rPr>
          <w:rStyle w:val="CharSectno"/>
        </w:rPr>
        <w:t>10</w:t>
      </w:r>
      <w:r>
        <w:rPr>
          <w:snapToGrid w:val="0"/>
        </w:rPr>
        <w:t>.</w:t>
      </w:r>
      <w:r>
        <w:rPr>
          <w:snapToGrid w:val="0"/>
        </w:rPr>
        <w:tab/>
        <w:t>Establishment of Anzac Day Trust Account</w:t>
      </w:r>
      <w:bookmarkEnd w:id="15"/>
      <w:bookmarkEnd w:id="16"/>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17" w:name="_Toc377995040"/>
      <w:bookmarkStart w:id="18" w:name="_Toc412628772"/>
      <w:r>
        <w:rPr>
          <w:rStyle w:val="CharSectno"/>
        </w:rPr>
        <w:t>11</w:t>
      </w:r>
      <w:r>
        <w:rPr>
          <w:snapToGrid w:val="0"/>
        </w:rPr>
        <w:t>.</w:t>
      </w:r>
      <w:r>
        <w:rPr>
          <w:snapToGrid w:val="0"/>
        </w:rPr>
        <w:tab/>
        <w:t>The Anzac Day Trust constituted</w:t>
      </w:r>
      <w:bookmarkEnd w:id="17"/>
      <w:bookmarkEnd w:id="18"/>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w:t>
      </w:r>
      <w:r>
        <w:t xml:space="preserve">subsections (4A) to (4C) </w:t>
      </w:r>
      <w:r>
        <w:rPr>
          <w:snapToGrid w:val="0"/>
        </w:rPr>
        <w:t xml:space="preserve">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 xml:space="preserve">one shall be a person nominated in accordance with the provisions of </w:t>
      </w:r>
      <w:r>
        <w:t xml:space="preserve">subsections (4A) to (4C) </w:t>
      </w:r>
      <w:r>
        <w:rPr>
          <w:snapToGrid w:val="0"/>
        </w:rPr>
        <w:t>by the Treasurer as the representative of Perth Legacy Incorporated; and</w:t>
      </w:r>
    </w:p>
    <w:p>
      <w:pPr>
        <w:pStyle w:val="Indenta"/>
        <w:rPr>
          <w:snapToGrid w:val="0"/>
        </w:rPr>
      </w:pPr>
      <w:r>
        <w:rPr>
          <w:snapToGrid w:val="0"/>
        </w:rPr>
        <w:tab/>
        <w:t>(d)</w:t>
      </w:r>
      <w:r>
        <w:rPr>
          <w:snapToGrid w:val="0"/>
        </w:rPr>
        <w:tab/>
        <w:t xml:space="preserve">one shall be a person nominated in accordance with the provisions of </w:t>
      </w:r>
      <w:r>
        <w:t xml:space="preserve">subsections (5A) to (5C) </w:t>
      </w:r>
      <w:r>
        <w:rPr>
          <w:snapToGrid w:val="0"/>
        </w:rPr>
        <w:t>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(a)</w:t>
      </w:r>
      <w:r>
        <w:rPr>
          <w:snapToGrid w:val="0"/>
        </w:rPr>
        <w:tab/>
        <w:t>in the case of the Trustee mentioned in that paragraph (b), to the State President of the body referred to in that paragraph; or</w:t>
      </w:r>
    </w:p>
    <w:p>
      <w:pPr>
        <w:pStyle w:val="Indenta"/>
        <w:rPr>
          <w:snapToGrid w:val="0"/>
        </w:rPr>
      </w:pPr>
      <w:r>
        <w:rPr>
          <w:snapToGrid w:val="0"/>
        </w:rPr>
        <w:tab/>
        <w:t>(b)</w:t>
      </w:r>
      <w:r>
        <w:rPr>
          <w:snapToGrid w:val="0"/>
        </w:rPr>
        <w:tab/>
        <w:t>in the case of the Trustee mentioned in that paragraph (c), to the President of the body referred to in that paragraph.</w:t>
      </w:r>
    </w:p>
    <w:p>
      <w:pPr>
        <w:pStyle w:val="Subsection"/>
        <w:rPr>
          <w:snapToGrid w:val="0"/>
        </w:rPr>
      </w:pPr>
      <w:r>
        <w:rPr>
          <w:snapToGrid w:val="0"/>
        </w:rPr>
        <w:tab/>
        <w:t>(4B)</w:t>
      </w:r>
      <w:r>
        <w:rPr>
          <w:snapToGrid w:val="0"/>
        </w:rPr>
        <w:tab/>
        <w:t xml:space="preserve">If within one month of the giving of the notice referred to </w:t>
      </w:r>
      <w:r>
        <w:t xml:space="preserve">in subsection (4A) </w:t>
      </w:r>
      <w:r>
        <w:rPr>
          <w:snapToGrid w:val="0"/>
        </w:rPr>
        <w:t>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(4C)</w:t>
      </w:r>
      <w:r>
        <w:rPr>
          <w:snapToGrid w:val="0"/>
        </w:rPr>
        <w:tab/>
        <w:t>If at the expiration of the period of</w:t>
      </w:r>
      <w:r>
        <w:t xml:space="preserve"> one month referred to in subsection (4B),</w:t>
      </w:r>
      <w:r>
        <w:rPr>
          <w:snapToGrid w:val="0"/>
        </w:rPr>
        <w:t xml:space="preserve"> or such extension of that period as he thinks fit and is hereby authorised to grant, the Treasurer has not received the panel required to be submitted under </w:t>
      </w:r>
      <w:r>
        <w:t xml:space="preserve">subsection (4B), </w:t>
      </w:r>
      <w:r>
        <w:rPr>
          <w:snapToGrid w:val="0"/>
        </w:rPr>
        <w:t>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(5B)</w:t>
      </w:r>
      <w:r>
        <w:rPr>
          <w:snapToGrid w:val="0"/>
        </w:rPr>
        <w:tab/>
        <w:t xml:space="preserve">If within one month of the giving of the notice referred to </w:t>
      </w:r>
      <w:r>
        <w:t xml:space="preserve">in subsection (5A), </w:t>
      </w:r>
      <w:r>
        <w:rPr>
          <w:snapToGrid w:val="0"/>
        </w:rPr>
        <w:t>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(5C)</w:t>
      </w:r>
      <w:r>
        <w:rPr>
          <w:snapToGrid w:val="0"/>
        </w:rPr>
        <w:tab/>
        <w:t xml:space="preserve">If at the expiration of the period of one month </w:t>
      </w:r>
      <w:r>
        <w:t>referred to in subsection (5A)</w:t>
      </w:r>
      <w:r>
        <w:rPr>
          <w:snapToGrid w:val="0"/>
        </w:rPr>
        <w:t xml:space="preserve">, or such extension of that period as he thinks fit and is hereby authorised to grant, the Treasurer has not received the names required to be submitted under </w:t>
      </w:r>
      <w:r>
        <w:t xml:space="preserve">subsection (5B), </w:t>
      </w:r>
      <w:r>
        <w:rPr>
          <w:snapToGrid w:val="0"/>
        </w:rPr>
        <w:t>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No. 19 of 2010 s. 51.] </w:t>
      </w:r>
    </w:p>
    <w:p>
      <w:pPr>
        <w:pStyle w:val="Heading5"/>
        <w:rPr>
          <w:snapToGrid w:val="0"/>
        </w:rPr>
      </w:pPr>
      <w:bookmarkStart w:id="19" w:name="_Toc377995041"/>
      <w:bookmarkStart w:id="20" w:name="_Toc412628773"/>
      <w:r>
        <w:rPr>
          <w:rStyle w:val="CharSectno"/>
        </w:rPr>
        <w:t>12</w:t>
      </w:r>
      <w:r>
        <w:rPr>
          <w:snapToGrid w:val="0"/>
        </w:rPr>
        <w:t>.</w:t>
      </w:r>
      <w:r>
        <w:rPr>
          <w:snapToGrid w:val="0"/>
        </w:rPr>
        <w:tab/>
        <w:t>Trust to be a body corporate</w:t>
      </w:r>
      <w:bookmarkEnd w:id="19"/>
      <w:bookmarkEnd w:id="20"/>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21" w:name="_Toc377995042"/>
      <w:bookmarkStart w:id="22" w:name="_Toc412628774"/>
      <w:r>
        <w:rPr>
          <w:rStyle w:val="CharSectno"/>
        </w:rPr>
        <w:t>13</w:t>
      </w:r>
      <w:r>
        <w:rPr>
          <w:snapToGrid w:val="0"/>
        </w:rPr>
        <w:t>.</w:t>
      </w:r>
      <w:r>
        <w:rPr>
          <w:snapToGrid w:val="0"/>
        </w:rPr>
        <w:tab/>
        <w:t>Eligibility of Trustees</w:t>
      </w:r>
      <w:bookmarkEnd w:id="21"/>
      <w:bookmarkEnd w:id="22"/>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pPr>
      <w:r>
        <w:tab/>
        <w:t>[Section 13 amended by No. 18 of 2009 s. 10(2).]</w:t>
      </w:r>
    </w:p>
    <w:p>
      <w:pPr>
        <w:pStyle w:val="Heading5"/>
        <w:rPr>
          <w:snapToGrid w:val="0"/>
        </w:rPr>
      </w:pPr>
      <w:bookmarkStart w:id="23" w:name="_Toc377995043"/>
      <w:bookmarkStart w:id="24" w:name="_Toc412628775"/>
      <w:r>
        <w:rPr>
          <w:rStyle w:val="CharSectno"/>
        </w:rPr>
        <w:t>14</w:t>
      </w:r>
      <w:r>
        <w:rPr>
          <w:snapToGrid w:val="0"/>
        </w:rPr>
        <w:t>.</w:t>
      </w:r>
      <w:r>
        <w:rPr>
          <w:snapToGrid w:val="0"/>
        </w:rPr>
        <w:tab/>
        <w:t>Tenure of offices of Trustees</w:t>
      </w:r>
      <w:bookmarkEnd w:id="23"/>
      <w:bookmarkEnd w:id="24"/>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p>
    <w:p>
      <w:pPr>
        <w:pStyle w:val="Heading5"/>
        <w:spacing w:before="240"/>
        <w:rPr>
          <w:snapToGrid w:val="0"/>
        </w:rPr>
      </w:pPr>
      <w:bookmarkStart w:id="25" w:name="_Toc377995044"/>
      <w:bookmarkStart w:id="26" w:name="_Toc412628776"/>
      <w:r>
        <w:rPr>
          <w:rStyle w:val="CharSectno"/>
        </w:rPr>
        <w:t>14A</w:t>
      </w:r>
      <w:r>
        <w:rPr>
          <w:snapToGrid w:val="0"/>
        </w:rPr>
        <w:t>.</w:t>
      </w:r>
      <w:r>
        <w:rPr>
          <w:snapToGrid w:val="0"/>
        </w:rPr>
        <w:tab/>
        <w:t>Recovery of proceeds</w:t>
      </w:r>
      <w:bookmarkEnd w:id="25"/>
      <w:bookmarkEnd w:id="26"/>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27" w:name="_Toc377995045"/>
      <w:bookmarkStart w:id="28" w:name="_Toc412628777"/>
      <w:r>
        <w:rPr>
          <w:rStyle w:val="CharSectno"/>
        </w:rPr>
        <w:t>15</w:t>
      </w:r>
      <w:r>
        <w:rPr>
          <w:snapToGrid w:val="0"/>
        </w:rPr>
        <w:t>.</w:t>
      </w:r>
      <w:r>
        <w:rPr>
          <w:snapToGrid w:val="0"/>
        </w:rPr>
        <w:tab/>
        <w:t xml:space="preserve">Application of the </w:t>
      </w:r>
      <w:r>
        <w:rPr>
          <w:i/>
        </w:rPr>
        <w:t>Financial Management Act 2006</w:t>
      </w:r>
      <w:r>
        <w:t xml:space="preserve"> and </w:t>
      </w:r>
      <w:r>
        <w:rPr>
          <w:i/>
        </w:rPr>
        <w:t>Auditor General Act 2006</w:t>
      </w:r>
      <w:bookmarkEnd w:id="27"/>
      <w:bookmarkEnd w:id="28"/>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29" w:name="_Toc377995046"/>
      <w:bookmarkStart w:id="30" w:name="_Toc412628778"/>
      <w:r>
        <w:rPr>
          <w:rStyle w:val="CharSectno"/>
        </w:rPr>
        <w:t>16</w:t>
      </w:r>
      <w:r>
        <w:rPr>
          <w:snapToGrid w:val="0"/>
        </w:rPr>
        <w:t>.</w:t>
      </w:r>
      <w:r>
        <w:rPr>
          <w:snapToGrid w:val="0"/>
        </w:rPr>
        <w:tab/>
        <w:t>Authentication of documents</w:t>
      </w:r>
      <w:bookmarkEnd w:id="29"/>
      <w:bookmarkEnd w:id="30"/>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31" w:name="_Toc377995047"/>
      <w:bookmarkStart w:id="32" w:name="_Toc412628779"/>
      <w:r>
        <w:rPr>
          <w:rStyle w:val="CharSectno"/>
        </w:rPr>
        <w:t>17</w:t>
      </w:r>
      <w:r>
        <w:rPr>
          <w:snapToGrid w:val="0"/>
        </w:rPr>
        <w:t>.</w:t>
      </w:r>
      <w:r>
        <w:rPr>
          <w:snapToGrid w:val="0"/>
        </w:rPr>
        <w:tab/>
        <w:t>Regulations</w:t>
      </w:r>
      <w:bookmarkEnd w:id="31"/>
      <w:bookmarkEnd w:id="32"/>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3" w:name="_Toc377995048"/>
      <w:bookmarkStart w:id="34" w:name="_Toc412628727"/>
      <w:bookmarkStart w:id="35" w:name="_Toc412628750"/>
      <w:bookmarkStart w:id="36" w:name="_Toc412628780"/>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377995049"/>
      <w:bookmarkStart w:id="38" w:name="_Toc412628781"/>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trPr>
          <w:gridAfter w:val="1"/>
          <w:wAfter w:w="18" w:type="dxa"/>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9" w:type="dxa"/>
            <w:tcBorders>
              <w:top w:val="single" w:sz="8" w:space="0" w:color="auto"/>
            </w:tcBorders>
          </w:tcPr>
          <w:p>
            <w:pPr>
              <w:pStyle w:val="nTable"/>
              <w:spacing w:after="40"/>
              <w:ind w:right="113"/>
            </w:pPr>
            <w:r>
              <w:rPr>
                <w:i/>
              </w:rPr>
              <w:t>Anzac Day Act 1960</w:t>
            </w:r>
          </w:p>
        </w:tc>
        <w:tc>
          <w:tcPr>
            <w:tcW w:w="1134" w:type="dxa"/>
            <w:gridSpan w:val="2"/>
            <w:tcBorders>
              <w:top w:val="single" w:sz="8" w:space="0" w:color="auto"/>
            </w:tcBorders>
          </w:tcPr>
          <w:p>
            <w:pPr>
              <w:pStyle w:val="nTable"/>
              <w:spacing w:after="40"/>
            </w:pPr>
            <w:r>
              <w:t>73 of 1960 (9 Eliz. II No. 73)</w:t>
            </w:r>
          </w:p>
        </w:tc>
        <w:tc>
          <w:tcPr>
            <w:tcW w:w="1134" w:type="dxa"/>
            <w:gridSpan w:val="2"/>
            <w:tcBorders>
              <w:top w:val="single" w:sz="8" w:space="0" w:color="auto"/>
            </w:tcBorders>
          </w:tcPr>
          <w:p>
            <w:pPr>
              <w:pStyle w:val="nTable"/>
              <w:spacing w:after="40"/>
            </w:pPr>
            <w:r>
              <w:t>12 Dec 1960</w:t>
            </w:r>
          </w:p>
        </w:tc>
        <w:tc>
          <w:tcPr>
            <w:tcW w:w="2552" w:type="dxa"/>
            <w:gridSpan w:val="2"/>
            <w:tcBorders>
              <w:top w:val="single" w:sz="8" w:space="0" w:color="auto"/>
            </w:tcBorders>
          </w:tcPr>
          <w:p>
            <w:pPr>
              <w:pStyle w:val="nTable"/>
              <w:spacing w:after="40"/>
            </w:pPr>
            <w:r>
              <w:t>12 Dec 1960</w:t>
            </w:r>
          </w:p>
        </w:tc>
      </w:tr>
      <w:tr>
        <w:trPr>
          <w:gridAfter w:val="1"/>
          <w:wAfter w:w="18" w:type="dxa"/>
          <w:cantSplit/>
        </w:trPr>
        <w:tc>
          <w:tcPr>
            <w:tcW w:w="2269" w:type="dxa"/>
          </w:tcPr>
          <w:p>
            <w:pPr>
              <w:pStyle w:val="nTable"/>
              <w:spacing w:after="40"/>
              <w:ind w:right="113"/>
            </w:pPr>
            <w:r>
              <w:rPr>
                <w:i/>
              </w:rPr>
              <w:t>Anzac Day Act Amendment Act 1964</w:t>
            </w:r>
          </w:p>
        </w:tc>
        <w:tc>
          <w:tcPr>
            <w:tcW w:w="1134" w:type="dxa"/>
            <w:gridSpan w:val="2"/>
          </w:tcPr>
          <w:p>
            <w:pPr>
              <w:pStyle w:val="nTable"/>
              <w:spacing w:after="40"/>
            </w:pPr>
            <w:r>
              <w:t>14 of 1964 (13 Eliz. II No. 14)</w:t>
            </w:r>
          </w:p>
        </w:tc>
        <w:tc>
          <w:tcPr>
            <w:tcW w:w="1134" w:type="dxa"/>
            <w:gridSpan w:val="2"/>
          </w:tcPr>
          <w:p>
            <w:pPr>
              <w:pStyle w:val="nTable"/>
              <w:spacing w:after="40"/>
            </w:pPr>
            <w:r>
              <w:t>2 Oct 1964</w:t>
            </w:r>
          </w:p>
        </w:tc>
        <w:tc>
          <w:tcPr>
            <w:tcW w:w="2552" w:type="dxa"/>
            <w:gridSpan w:val="2"/>
          </w:tcPr>
          <w:p>
            <w:pPr>
              <w:pStyle w:val="nTable"/>
              <w:spacing w:after="40"/>
            </w:pPr>
            <w:r>
              <w:t>2 Oct 1964</w:t>
            </w:r>
          </w:p>
        </w:tc>
      </w:tr>
      <w:tr>
        <w:trPr>
          <w:gridAfter w:val="1"/>
          <w:wAfter w:w="18" w:type="dxa"/>
          <w:cantSplit/>
        </w:trPr>
        <w:tc>
          <w:tcPr>
            <w:tcW w:w="2269"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w:t>
            </w:r>
            <w:r>
              <w:noBreakHyphen/>
              <w:t>9: 14 Feb 1966 (see s. 2(2))</w:t>
            </w:r>
          </w:p>
        </w:tc>
      </w:tr>
      <w:tr>
        <w:trPr>
          <w:gridAfter w:val="1"/>
          <w:wAfter w:w="18" w:type="dxa"/>
          <w:cantSplit/>
        </w:trPr>
        <w:tc>
          <w:tcPr>
            <w:tcW w:w="2269" w:type="dxa"/>
          </w:tcPr>
          <w:p>
            <w:pPr>
              <w:pStyle w:val="nTable"/>
              <w:spacing w:after="40"/>
              <w:ind w:right="113"/>
            </w:pPr>
            <w:r>
              <w:rPr>
                <w:i/>
              </w:rPr>
              <w:t>Anzac Day Act Amendment Act 1970</w:t>
            </w:r>
          </w:p>
        </w:tc>
        <w:tc>
          <w:tcPr>
            <w:tcW w:w="1134" w:type="dxa"/>
            <w:gridSpan w:val="2"/>
          </w:tcPr>
          <w:p>
            <w:pPr>
              <w:pStyle w:val="nTable"/>
              <w:spacing w:after="40"/>
            </w:pPr>
            <w:r>
              <w:t>2 of 1970</w:t>
            </w:r>
          </w:p>
        </w:tc>
        <w:tc>
          <w:tcPr>
            <w:tcW w:w="1134" w:type="dxa"/>
            <w:gridSpan w:val="2"/>
          </w:tcPr>
          <w:p>
            <w:pPr>
              <w:pStyle w:val="nTable"/>
              <w:spacing w:after="40"/>
            </w:pPr>
            <w:r>
              <w:t>29 Apr 1970</w:t>
            </w:r>
          </w:p>
        </w:tc>
        <w:tc>
          <w:tcPr>
            <w:tcW w:w="2552" w:type="dxa"/>
            <w:gridSpan w:val="2"/>
          </w:tcPr>
          <w:p>
            <w:pPr>
              <w:pStyle w:val="nTable"/>
              <w:spacing w:after="40"/>
            </w:pPr>
            <w:r>
              <w:t>29 Apr 1970</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gridAfter w:val="1"/>
          <w:wAfter w:w="18" w:type="dxa"/>
          <w:cantSplit/>
        </w:trPr>
        <w:tc>
          <w:tcPr>
            <w:tcW w:w="2269" w:type="dxa"/>
          </w:tcPr>
          <w:p>
            <w:pPr>
              <w:pStyle w:val="nTable"/>
              <w:spacing w:after="40"/>
              <w:ind w:right="113"/>
            </w:pPr>
            <w:r>
              <w:rPr>
                <w:i/>
              </w:rPr>
              <w:t>Anzac Day Act Amendment Act 1975</w:t>
            </w:r>
          </w:p>
        </w:tc>
        <w:tc>
          <w:tcPr>
            <w:tcW w:w="1134" w:type="dxa"/>
            <w:gridSpan w:val="2"/>
          </w:tcPr>
          <w:p>
            <w:pPr>
              <w:pStyle w:val="nTable"/>
              <w:spacing w:after="40"/>
            </w:pPr>
            <w:r>
              <w:t>9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gridAfter w:val="1"/>
          <w:wAfter w:w="18" w:type="dxa"/>
          <w:cantSplit/>
        </w:trPr>
        <w:tc>
          <w:tcPr>
            <w:tcW w:w="2269" w:type="dxa"/>
          </w:tcPr>
          <w:p>
            <w:pPr>
              <w:pStyle w:val="nTable"/>
              <w:spacing w:after="40"/>
              <w:ind w:right="113"/>
            </w:pPr>
            <w:r>
              <w:rPr>
                <w:i/>
              </w:rPr>
              <w:t>Anzac Day Act Amendment Act 1976</w:t>
            </w:r>
          </w:p>
        </w:tc>
        <w:tc>
          <w:tcPr>
            <w:tcW w:w="1134" w:type="dxa"/>
            <w:gridSpan w:val="2"/>
          </w:tcPr>
          <w:p>
            <w:pPr>
              <w:pStyle w:val="nTable"/>
              <w:spacing w:after="40"/>
            </w:pPr>
            <w:r>
              <w:t>1 of 1976</w:t>
            </w:r>
          </w:p>
        </w:tc>
        <w:tc>
          <w:tcPr>
            <w:tcW w:w="1134" w:type="dxa"/>
            <w:gridSpan w:val="2"/>
          </w:tcPr>
          <w:p>
            <w:pPr>
              <w:pStyle w:val="nTable"/>
              <w:spacing w:after="40"/>
            </w:pPr>
            <w:r>
              <w:t>12 Apr 1976</w:t>
            </w:r>
          </w:p>
        </w:tc>
        <w:tc>
          <w:tcPr>
            <w:tcW w:w="2552" w:type="dxa"/>
            <w:gridSpan w:val="2"/>
          </w:tcPr>
          <w:p>
            <w:pPr>
              <w:pStyle w:val="nTable"/>
              <w:spacing w:after="40"/>
            </w:pPr>
            <w:r>
              <w:t>12 Apr 1976</w:t>
            </w:r>
          </w:p>
        </w:tc>
      </w:tr>
      <w:tr>
        <w:trPr>
          <w:gridAfter w:val="1"/>
          <w:wAfter w:w="18" w:type="dxa"/>
          <w:cantSplit/>
        </w:trPr>
        <w:tc>
          <w:tcPr>
            <w:tcW w:w="2269" w:type="dxa"/>
          </w:tcPr>
          <w:p>
            <w:pPr>
              <w:pStyle w:val="nTable"/>
              <w:spacing w:after="40"/>
              <w:ind w:right="113"/>
            </w:pPr>
            <w:r>
              <w:rPr>
                <w:i/>
              </w:rPr>
              <w:t>Acts Amendment (Betting Control) Act 1985</w:t>
            </w:r>
            <w:r>
              <w:t xml:space="preserve"> Pt. III</w:t>
            </w:r>
          </w:p>
        </w:tc>
        <w:tc>
          <w:tcPr>
            <w:tcW w:w="1134" w:type="dxa"/>
            <w:gridSpan w:val="2"/>
          </w:tcPr>
          <w:p>
            <w:pPr>
              <w:pStyle w:val="nTable"/>
              <w:spacing w:after="40"/>
            </w:pPr>
            <w:r>
              <w:t>34 of 1985</w:t>
            </w:r>
          </w:p>
        </w:tc>
        <w:tc>
          <w:tcPr>
            <w:tcW w:w="1134" w:type="dxa"/>
            <w:gridSpan w:val="2"/>
          </w:tcPr>
          <w:p>
            <w:pPr>
              <w:pStyle w:val="nTable"/>
              <w:spacing w:after="40"/>
            </w:pPr>
            <w:r>
              <w:t>24 Apr 1985</w:t>
            </w:r>
          </w:p>
        </w:tc>
        <w:tc>
          <w:tcPr>
            <w:tcW w:w="2552" w:type="dxa"/>
            <w:gridSpan w:val="2"/>
          </w:tcPr>
          <w:p>
            <w:pPr>
              <w:pStyle w:val="nTable"/>
              <w:spacing w:after="40"/>
            </w:pPr>
            <w:r>
              <w:t>24 Apr 1985 (see s. 2)</w:t>
            </w:r>
          </w:p>
        </w:tc>
      </w:tr>
      <w:tr>
        <w:trPr>
          <w:gridAfter w:val="1"/>
          <w:wAfter w:w="18" w:type="dxa"/>
          <w:cantSplit/>
        </w:trPr>
        <w:tc>
          <w:tcPr>
            <w:tcW w:w="2269" w:type="dxa"/>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r>
              <w:br/>
              <w:t>(as amended by No. 4 of 1986 s. 3)</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18" w:type="dxa"/>
          <w:cantSplit/>
        </w:trPr>
        <w:tc>
          <w:tcPr>
            <w:tcW w:w="2269"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After w:val="1"/>
          <w:wAfter w:w="18" w:type="dxa"/>
          <w:cantSplit/>
        </w:trPr>
        <w:tc>
          <w:tcPr>
            <w:tcW w:w="2269" w:type="dxa"/>
          </w:tcPr>
          <w:p>
            <w:pPr>
              <w:pStyle w:val="nTable"/>
              <w:spacing w:after="40"/>
              <w:ind w:right="113"/>
            </w:pPr>
            <w:r>
              <w:rPr>
                <w:i/>
              </w:rPr>
              <w:t>Financial Legislation Amendment Act 1996</w:t>
            </w:r>
            <w:r>
              <w:t xml:space="preserve"> s. 64 </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gridAfter w:val="1"/>
          <w:wAfter w:w="18" w:type="dxa"/>
          <w:cantSplit/>
        </w:trPr>
        <w:tc>
          <w:tcPr>
            <w:tcW w:w="2269" w:type="dxa"/>
          </w:tcPr>
          <w:p>
            <w:pPr>
              <w:pStyle w:val="nTable"/>
              <w:spacing w:after="40"/>
              <w:ind w:right="113"/>
            </w:pPr>
            <w:r>
              <w:rPr>
                <w:i/>
              </w:rPr>
              <w:t>Acts Amendment (Equality of Status) Act 2003</w:t>
            </w:r>
            <w:r>
              <w:t xml:space="preserve"> Pt. 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rPr>
          <w:gridAfter w:val="1"/>
          <w:wAfter w:w="18" w:type="dxa"/>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gridAfter w:val="1"/>
          <w:wAfter w:w="18" w:type="dxa"/>
          <w:cantSplit/>
        </w:trPr>
        <w:tc>
          <w:tcPr>
            <w:tcW w:w="2269" w:type="dxa"/>
          </w:tcPr>
          <w:p>
            <w:pPr>
              <w:pStyle w:val="nTable"/>
              <w:spacing w:after="40"/>
              <w:ind w:right="113"/>
              <w:rPr>
                <w:i/>
              </w:rPr>
            </w:pPr>
            <w:r>
              <w:rPr>
                <w:i/>
              </w:rPr>
              <w:t>Anzac Day Amendment Act 2003</w:t>
            </w:r>
          </w:p>
        </w:tc>
        <w:tc>
          <w:tcPr>
            <w:tcW w:w="1134" w:type="dxa"/>
            <w:gridSpan w:val="2"/>
          </w:tcPr>
          <w:p>
            <w:pPr>
              <w:pStyle w:val="nTable"/>
              <w:spacing w:after="40"/>
            </w:pPr>
            <w:r>
              <w:t>62 of 2003</w:t>
            </w:r>
          </w:p>
        </w:tc>
        <w:tc>
          <w:tcPr>
            <w:tcW w:w="1134" w:type="dxa"/>
            <w:gridSpan w:val="2"/>
          </w:tcPr>
          <w:p>
            <w:pPr>
              <w:pStyle w:val="nTable"/>
              <w:spacing w:after="40"/>
            </w:pPr>
            <w:r>
              <w:t>26 Nov 2003</w:t>
            </w:r>
          </w:p>
        </w:tc>
        <w:tc>
          <w:tcPr>
            <w:tcW w:w="2552" w:type="dxa"/>
            <w:gridSpan w:val="2"/>
          </w:tcPr>
          <w:p>
            <w:pPr>
              <w:pStyle w:val="nTable"/>
              <w:spacing w:after="40"/>
            </w:pPr>
            <w:r>
              <w:t>26 Nov 2003 (see s. 2)</w:t>
            </w:r>
          </w:p>
        </w:tc>
      </w:tr>
      <w:tr>
        <w:trPr>
          <w:gridAfter w:val="1"/>
          <w:wAfter w:w="18" w:type="dxa"/>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After w:val="1"/>
          <w:wAfter w:w="18" w:type="dxa"/>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After w:val="1"/>
          <w:wAfter w:w="18" w:type="dxa"/>
          <w:cantSplit/>
        </w:trPr>
        <w:tc>
          <w:tcPr>
            <w:tcW w:w="7089" w:type="dxa"/>
            <w:gridSpan w:val="7"/>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gridAfter w:val="1"/>
          <w:wAfter w:w="18" w:type="dxa"/>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gridAfter w:val="1"/>
          <w:wAfter w:w="1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78"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54"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0" w:name="_Toc412628752"/>
      <w:bookmarkStart w:id="41" w:name="_Toc412628782"/>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dependant</w:t>
      </w:r>
      <w:r>
        <w:tab/>
        <w:t>3</w:t>
      </w:r>
    </w:p>
    <w:p>
      <w:pPr>
        <w:pStyle w:val="DefinedTerms"/>
      </w:pPr>
      <w:r>
        <w:t>metropolitan region</w:t>
      </w:r>
      <w:r>
        <w:tab/>
        <w:t>5(3)</w:t>
      </w:r>
    </w:p>
    <w:p>
      <w:pPr>
        <w:pStyle w:val="DefinedTerms"/>
      </w:pPr>
      <w:r>
        <w:t>race meeting</w:t>
      </w:r>
      <w:r>
        <w:tab/>
        <w:t>3</w:t>
      </w:r>
    </w:p>
    <w:p>
      <w:pPr>
        <w:pStyle w:val="DefinedTerms"/>
      </w:pPr>
      <w:r>
        <w:t>racing club</w:t>
      </w:r>
      <w:r>
        <w:tab/>
        <w:t>3</w:t>
      </w:r>
    </w:p>
    <w:p>
      <w:pPr>
        <w:pStyle w:val="DefinedTerms"/>
      </w:pPr>
      <w:r>
        <w:t>sports</w:t>
      </w:r>
      <w:r>
        <w:tab/>
        <w:t>3</w:t>
      </w:r>
    </w:p>
    <w:p>
      <w:pPr>
        <w:pStyle w:val="DefinedTerms"/>
      </w:pPr>
      <w:r>
        <w:t>Trust</w:t>
      </w:r>
      <w:r>
        <w:tab/>
        <w:t>3</w:t>
      </w:r>
    </w:p>
    <w:p>
      <w:pPr>
        <w:pStyle w:val="DefinedTerms"/>
      </w:pPr>
      <w:r>
        <w:t>Trustee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40"/>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4078</Words>
  <Characters>18069</Characters>
  <Application>Microsoft Office Word</Application>
  <DocSecurity>0</DocSecurity>
  <Lines>547</Lines>
  <Paragraphs>287</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1960 - 03-e0-05</dc:title>
  <dc:subject/>
  <dc:creator/>
  <cp:keywords/>
  <dc:description/>
  <cp:lastModifiedBy>svcMRProcess</cp:lastModifiedBy>
  <cp:revision>4</cp:revision>
  <cp:lastPrinted>2006-09-06T07:23:00Z</cp:lastPrinted>
  <dcterms:created xsi:type="dcterms:W3CDTF">2015-11-30T07:44:00Z</dcterms:created>
  <dcterms:modified xsi:type="dcterms:W3CDTF">2015-11-30T07:45:00Z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49</vt:i4>
  </property>
  <property fmtid="{D5CDD505-2E9C-101B-9397-08002B2CF9AE}" pid="6" name="AsAtDate">
    <vt:lpwstr>11 Sep 2010</vt:lpwstr>
  </property>
  <property fmtid="{D5CDD505-2E9C-101B-9397-08002B2CF9AE}" pid="7" name="Suffix">
    <vt:lpwstr>03-e0-05</vt:lpwstr>
  </property>
</Properties>
</file>