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rPr>
        <w:drawing>
          <wp:anchor distT="0" distB="0" distL="114300" distR="114300" simplePos="0" relativeHeight="251657728" behindDoc="0" locked="0" layoutInCell="0" allowOverlap="1">
            <wp:simplePos x="0" y="0"/>
            <wp:positionH relativeFrom="column">
              <wp:posOffset>1962785</wp:posOffset>
            </wp:positionH>
            <wp:positionV relativeFrom="paragraph">
              <wp:posOffset>-300355</wp:posOffset>
            </wp:positionV>
            <wp:extent cx="631190" cy="505460"/>
            <wp:effectExtent l="0" t="0" r="0" b="8890"/>
            <wp:wrapTopAndBottom/>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Busselton Cemetery Act 1944</w:t>
      </w:r>
      <w:r>
        <w:fldChar w:fldCharType="end"/>
      </w:r>
    </w:p>
    <w:p>
      <w:pPr>
        <w:jc w:val="center"/>
        <w:rPr>
          <w:bCs/>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Busselton Cemetery Act 1944</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t>1</w:t>
      </w:r>
      <w:r>
        <w:rPr>
          <w:snapToGrid w:val="0"/>
        </w:rPr>
        <w:t>.</w:t>
      </w:r>
      <w:r>
        <w:rPr>
          <w:snapToGrid w:val="0"/>
        </w:rPr>
        <w:tab/>
        <w:t>Short title</w:t>
      </w:r>
      <w:r>
        <w:tab/>
      </w:r>
      <w:r>
        <w:fldChar w:fldCharType="begin"/>
      </w:r>
      <w:r>
        <w:instrText xml:space="preserve"> PAGEREF _Toc437383065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Land revested in His Majesty</w:t>
      </w:r>
      <w:r>
        <w:tab/>
      </w:r>
      <w:r>
        <w:fldChar w:fldCharType="begin"/>
      </w:r>
      <w:r>
        <w:instrText xml:space="preserve"> PAGEREF _Toc437383066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Lands revested to be deemed to be a disused burial ground and to be placed under the control of the Shire of Busselton</w:t>
      </w:r>
      <w:r>
        <w:tab/>
      </w:r>
      <w:r>
        <w:fldChar w:fldCharType="begin"/>
      </w:r>
      <w:r>
        <w:instrText xml:space="preserve"> PAGEREF _Toc437383067 \h </w:instrText>
      </w:r>
      <w:r>
        <w:fldChar w:fldCharType="separate"/>
      </w:r>
      <w:r>
        <w:t>2</w:t>
      </w:r>
      <w:r>
        <w:fldChar w:fldCharType="end"/>
      </w:r>
    </w:p>
    <w:p>
      <w:pPr>
        <w:pStyle w:val="TOC2"/>
        <w:tabs>
          <w:tab w:val="right" w:pos="7086"/>
        </w:tabs>
        <w:rPr>
          <w:rFonts w:asciiTheme="minorHAnsi" w:eastAsiaTheme="minorEastAsia" w:hAnsiTheme="minorHAnsi" w:cstheme="minorBidi"/>
          <w:b w:val="0"/>
          <w:sz w:val="22"/>
          <w:szCs w:val="22"/>
        </w:rPr>
      </w:pPr>
      <w:r>
        <w:t>Schedule — Cemetery land</w:t>
      </w:r>
    </w:p>
    <w:p>
      <w:pPr>
        <w:pStyle w:val="TOC2"/>
        <w:tabs>
          <w:tab w:val="righ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_Toc437383070 \h </w:instrText>
      </w:r>
      <w:r>
        <w:fldChar w:fldCharType="separate"/>
      </w:r>
      <w:r>
        <w:t>4</w:t>
      </w:r>
      <w:r>
        <w:fldChar w:fldCharType="end"/>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pPr>
      <w:r>
        <w:t xml:space="preserve">Busselton Cemetery Act 1944 </w:t>
      </w:r>
    </w:p>
    <w:p>
      <w:pPr>
        <w:pStyle w:val="LongTitle"/>
        <w:spacing w:after="600"/>
        <w:rPr>
          <w:snapToGrid w:val="0"/>
        </w:rPr>
      </w:pPr>
      <w:r>
        <w:rPr>
          <w:snapToGrid w:val="0"/>
        </w:rPr>
        <w:t xml:space="preserve">An Act to revest certain lands in His Majesty and for other purposes relative thereto. </w:t>
      </w:r>
    </w:p>
    <w:p>
      <w:pPr>
        <w:pStyle w:val="Preamble"/>
        <w:spacing w:before="300"/>
        <w:rPr>
          <w:b/>
          <w:snapToGrid w:val="0"/>
        </w:rPr>
      </w:pPr>
      <w:r>
        <w:rPr>
          <w:b/>
          <w:snapToGrid w:val="0"/>
        </w:rPr>
        <w:t>Preamble</w:t>
      </w:r>
    </w:p>
    <w:p>
      <w:pPr>
        <w:pStyle w:val="Preamble2"/>
        <w:rPr>
          <w:snapToGrid w:val="0"/>
        </w:rPr>
      </w:pPr>
      <w:r>
        <w:rPr>
          <w:snapToGrid w:val="0"/>
        </w:rPr>
        <w:t>Whereas the lands described in, the first and second columns of the Schedule are vested in the persons as set out in the third column of the said Schedule for the purposes set out in the fourth column of the said Schedule; and whereas the said lands have not for some time past been required or used for the said purposes and it is therefore deemed expedient to revest the said lands in His Majesty and to make other provision in relation thereto:</w:t>
      </w:r>
    </w:p>
    <w:p>
      <w:pPr>
        <w:pStyle w:val="Enactment"/>
      </w:pPr>
      <w:r>
        <w:t xml:space="preserve">Be it therefore enacted by the King’s Most Excellent Majesty, by and with the advice and consent of the Legislative Council and Legislative Assembly of Western Australia, in this present Parliament assembled, and by the authority of the same, as follows: —  </w:t>
      </w:r>
    </w:p>
    <w:p>
      <w:pPr>
        <w:pStyle w:val="Heading5"/>
        <w:rPr>
          <w:snapToGrid w:val="0"/>
        </w:rPr>
      </w:pPr>
      <w:bookmarkStart w:id="1" w:name="_Toc437383065"/>
      <w:r>
        <w:rPr>
          <w:rStyle w:val="CharSectno"/>
        </w:rPr>
        <w:t>1</w:t>
      </w:r>
      <w:r>
        <w:rPr>
          <w:snapToGrid w:val="0"/>
        </w:rPr>
        <w:t>.</w:t>
      </w:r>
      <w:r>
        <w:rPr>
          <w:snapToGrid w:val="0"/>
        </w:rPr>
        <w:tab/>
        <w:t>Short title</w:t>
      </w:r>
      <w:bookmarkEnd w:id="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Busselton Cemetery Act 1944</w:t>
      </w:r>
      <w:r>
        <w:rPr>
          <w:snapToGrid w:val="0"/>
          <w:vertAlign w:val="superscript"/>
        </w:rPr>
        <w:t> 1</w:t>
      </w:r>
      <w:r>
        <w:rPr>
          <w:snapToGrid w:val="0"/>
        </w:rPr>
        <w:t>.</w:t>
      </w:r>
    </w:p>
    <w:p>
      <w:pPr>
        <w:pStyle w:val="Heading5"/>
        <w:rPr>
          <w:snapToGrid w:val="0"/>
        </w:rPr>
      </w:pPr>
      <w:bookmarkStart w:id="2" w:name="_Toc437383066"/>
      <w:r>
        <w:rPr>
          <w:rStyle w:val="CharSectno"/>
        </w:rPr>
        <w:t>2</w:t>
      </w:r>
      <w:r>
        <w:rPr>
          <w:snapToGrid w:val="0"/>
        </w:rPr>
        <w:t>.</w:t>
      </w:r>
      <w:r>
        <w:rPr>
          <w:snapToGrid w:val="0"/>
        </w:rPr>
        <w:tab/>
        <w:t>Land revested in His Majesty</w:t>
      </w:r>
      <w:bookmarkEnd w:id="2"/>
      <w:r>
        <w:rPr>
          <w:snapToGrid w:val="0"/>
        </w:rPr>
        <w:t xml:space="preserve"> </w:t>
      </w:r>
    </w:p>
    <w:p>
      <w:pPr>
        <w:pStyle w:val="Subsection"/>
        <w:rPr>
          <w:snapToGrid w:val="0"/>
        </w:rPr>
      </w:pPr>
      <w:r>
        <w:rPr>
          <w:snapToGrid w:val="0"/>
        </w:rPr>
        <w:tab/>
      </w:r>
      <w:r>
        <w:rPr>
          <w:snapToGrid w:val="0"/>
        </w:rPr>
        <w:tab/>
        <w:t>From and after, the commencement of this Act all rights of property which may have at any time been vested by statute or otherwise in the persons or corporations mentioned in the third column of the Schedule or in any other person or persons or corporation whatsoever in any part of the lands described in the first and second columns of the said Schedule shall absolutely cease and determine, and the whole of the said lands and all the right and title in law or in equity thereto shall be and the same are hereby vested in His Majesty, freed and released from all and every trusts or trust affecting the same.</w:t>
      </w:r>
    </w:p>
    <w:p>
      <w:pPr>
        <w:pStyle w:val="Heading5"/>
        <w:rPr>
          <w:snapToGrid w:val="0"/>
        </w:rPr>
      </w:pPr>
      <w:bookmarkStart w:id="3" w:name="_Toc437383067"/>
      <w:r>
        <w:rPr>
          <w:rStyle w:val="CharSectno"/>
        </w:rPr>
        <w:t>3</w:t>
      </w:r>
      <w:r>
        <w:rPr>
          <w:snapToGrid w:val="0"/>
        </w:rPr>
        <w:t>.</w:t>
      </w:r>
      <w:r>
        <w:rPr>
          <w:snapToGrid w:val="0"/>
        </w:rPr>
        <w:tab/>
        <w:t>Lands revested to be deemed to be a disused burial ground and to be placed under the control of the Shire of Busselton</w:t>
      </w:r>
      <w:bookmarkEnd w:id="3"/>
      <w:r>
        <w:rPr>
          <w:snapToGrid w:val="0"/>
        </w:rPr>
        <w:t xml:space="preserve"> </w:t>
      </w:r>
    </w:p>
    <w:p>
      <w:pPr>
        <w:pStyle w:val="Subsection"/>
        <w:keepNext/>
        <w:keepLines/>
        <w:rPr>
          <w:snapToGrid w:val="0"/>
        </w:rPr>
      </w:pPr>
      <w:r>
        <w:rPr>
          <w:snapToGrid w:val="0"/>
        </w:rPr>
        <w:tab/>
        <w:t>(1)</w:t>
      </w:r>
      <w:r>
        <w:rPr>
          <w:snapToGrid w:val="0"/>
        </w:rPr>
        <w:tab/>
        <w:t xml:space="preserve">Notwithstanding that the said lands shall have become vested in His Majesty as aforesaid, the said lands shall be deemed to be and continue a disused burial ground within the meaning and for the purposes of the </w:t>
      </w:r>
      <w:r>
        <w:rPr>
          <w:i/>
          <w:snapToGrid w:val="0"/>
        </w:rPr>
        <w:t>Cemeteries Act Amendment Act 1902</w:t>
      </w:r>
      <w:r>
        <w:rPr>
          <w:snapToGrid w:val="0"/>
        </w:rPr>
        <w:t xml:space="preserve">, but instead of being vested in trustees under the provisions of that Act, shall be placed under the management and control of the Shire of Busselton as a board appointed under the provisions of the </w:t>
      </w:r>
      <w:r>
        <w:rPr>
          <w:i/>
          <w:snapToGrid w:val="0"/>
        </w:rPr>
        <w:t>Parks and Reserves Act 1895</w:t>
      </w:r>
      <w:r>
        <w:rPr>
          <w:snapToGrid w:val="0"/>
        </w:rPr>
        <w:t>, which shall manage and control the said lands as a disused burial ground as aforesaid.</w:t>
      </w:r>
    </w:p>
    <w:p>
      <w:pPr>
        <w:pStyle w:val="Subsection"/>
        <w:keepNext/>
        <w:keepLines/>
        <w:rPr>
          <w:snapToGrid w:val="0"/>
        </w:rPr>
      </w:pPr>
      <w:r>
        <w:rPr>
          <w:snapToGrid w:val="0"/>
        </w:rPr>
        <w:tab/>
        <w:t>(2)</w:t>
      </w:r>
      <w:r>
        <w:rPr>
          <w:snapToGrid w:val="0"/>
        </w:rPr>
        <w:tab/>
        <w:t xml:space="preserve">The Shire of Busselton as such board aforesaid shall not be deemed to have any vested estate or interest in the said lands, but otherwise shall have in respect to the said lands all the rights, powers, authorities, duties and obligations of the trustees of a disused burial ground which has been vested in such trustees under the provisions of the said </w:t>
      </w:r>
      <w:r>
        <w:rPr>
          <w:i/>
          <w:snapToGrid w:val="0"/>
        </w:rPr>
        <w:t>Cemeteries Act Amendment Act 1902</w:t>
      </w:r>
      <w:r>
        <w:rPr>
          <w:snapToGrid w:val="0"/>
        </w:rPr>
        <w:t>.</w:t>
      </w:r>
    </w:p>
    <w:p>
      <w:pPr>
        <w:pStyle w:val="Footnotesection"/>
      </w:pPr>
      <w:r>
        <w:tab/>
        <w:t>[Section 3 amended by No. 14 of 1996 s. 4; No. 19 of 2010 s. 51.]</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spacing w:after="120"/>
      </w:pPr>
      <w:bookmarkStart w:id="4" w:name="_Toc437383068"/>
      <w:r>
        <w:rPr>
          <w:rStyle w:val="CharSchNo"/>
        </w:rPr>
        <w:t>Schedule</w:t>
      </w:r>
      <w:r>
        <w:t xml:space="preserve"> — </w:t>
      </w:r>
      <w:r>
        <w:rPr>
          <w:rStyle w:val="CharSchText"/>
        </w:rPr>
        <w:t>Cemetery land</w:t>
      </w:r>
      <w:bookmarkEnd w:id="4"/>
      <w:r>
        <w:t xml:space="preserve"> </w:t>
      </w:r>
    </w:p>
    <w:p>
      <w:pPr>
        <w:pStyle w:val="yShoulderClause"/>
        <w:rPr>
          <w:snapToGrid w:val="0"/>
        </w:rPr>
      </w:pPr>
      <w:r>
        <w:rPr>
          <w:snapToGrid w:val="0"/>
        </w:rPr>
        <w:t>[s. 2]</w:t>
      </w:r>
    </w:p>
    <w:p>
      <w:pPr>
        <w:pStyle w:val="yFootnotesection"/>
        <w:spacing w:after="80"/>
      </w:pPr>
      <w:r>
        <w:tab/>
        <w:t>[Heading amended by No. 19 of 2010 s. 4.]</w:t>
      </w:r>
    </w:p>
    <w:tbl>
      <w:tblPr>
        <w:tblW w:w="0" w:type="auto"/>
        <w:tblInd w:w="128" w:type="dxa"/>
        <w:tblLayout w:type="fixed"/>
        <w:tblCellMar>
          <w:left w:w="71" w:type="dxa"/>
          <w:right w:w="71" w:type="dxa"/>
        </w:tblCellMar>
        <w:tblLook w:val="0000" w:firstRow="0" w:lastRow="0" w:firstColumn="0" w:lastColumn="0" w:noHBand="0" w:noVBand="0"/>
      </w:tblPr>
      <w:tblGrid>
        <w:gridCol w:w="1077"/>
        <w:gridCol w:w="2268"/>
        <w:gridCol w:w="2609"/>
        <w:gridCol w:w="1134"/>
      </w:tblGrid>
      <w:tr>
        <w:trPr>
          <w:tblHeader/>
        </w:trPr>
        <w:tc>
          <w:tcPr>
            <w:tcW w:w="1077" w:type="dxa"/>
            <w:tcBorders>
              <w:top w:val="single" w:sz="4" w:space="0" w:color="auto"/>
              <w:bottom w:val="single" w:sz="4" w:space="0" w:color="auto"/>
            </w:tcBorders>
          </w:tcPr>
          <w:p>
            <w:pPr>
              <w:pStyle w:val="yTable"/>
              <w:ind w:left="14"/>
              <w:jc w:val="center"/>
              <w:rPr>
                <w:b/>
                <w:sz w:val="20"/>
              </w:rPr>
            </w:pPr>
            <w:r>
              <w:rPr>
                <w:b/>
                <w:sz w:val="20"/>
              </w:rPr>
              <w:t>Land.</w:t>
            </w:r>
          </w:p>
        </w:tc>
        <w:tc>
          <w:tcPr>
            <w:tcW w:w="2268" w:type="dxa"/>
            <w:tcBorders>
              <w:top w:val="single" w:sz="4" w:space="0" w:color="auto"/>
              <w:bottom w:val="single" w:sz="4" w:space="0" w:color="auto"/>
            </w:tcBorders>
          </w:tcPr>
          <w:p>
            <w:pPr>
              <w:pStyle w:val="yTable"/>
              <w:jc w:val="center"/>
              <w:rPr>
                <w:b/>
                <w:sz w:val="20"/>
              </w:rPr>
            </w:pPr>
            <w:r>
              <w:rPr>
                <w:b/>
                <w:sz w:val="20"/>
              </w:rPr>
              <w:t>Reference.</w:t>
            </w:r>
          </w:p>
        </w:tc>
        <w:tc>
          <w:tcPr>
            <w:tcW w:w="2609" w:type="dxa"/>
            <w:tcBorders>
              <w:top w:val="single" w:sz="4" w:space="0" w:color="auto"/>
              <w:bottom w:val="single" w:sz="4" w:space="0" w:color="auto"/>
            </w:tcBorders>
          </w:tcPr>
          <w:p>
            <w:pPr>
              <w:pStyle w:val="yTable"/>
              <w:jc w:val="center"/>
              <w:rPr>
                <w:b/>
                <w:sz w:val="20"/>
              </w:rPr>
            </w:pPr>
            <w:r>
              <w:rPr>
                <w:b/>
                <w:sz w:val="20"/>
              </w:rPr>
              <w:t>Proprietors.</w:t>
            </w:r>
          </w:p>
        </w:tc>
        <w:tc>
          <w:tcPr>
            <w:tcW w:w="1134" w:type="dxa"/>
            <w:tcBorders>
              <w:top w:val="single" w:sz="4" w:space="0" w:color="auto"/>
              <w:bottom w:val="single" w:sz="4" w:space="0" w:color="auto"/>
            </w:tcBorders>
          </w:tcPr>
          <w:p>
            <w:pPr>
              <w:pStyle w:val="yTable"/>
              <w:jc w:val="center"/>
              <w:rPr>
                <w:b/>
                <w:sz w:val="20"/>
              </w:rPr>
            </w:pPr>
            <w:r>
              <w:rPr>
                <w:b/>
                <w:sz w:val="20"/>
              </w:rPr>
              <w:t>Purpose of Grant.</w:t>
            </w:r>
          </w:p>
        </w:tc>
      </w:tr>
      <w:tr>
        <w:tc>
          <w:tcPr>
            <w:tcW w:w="1077" w:type="dxa"/>
          </w:tcPr>
          <w:p>
            <w:pPr>
              <w:pStyle w:val="yTable"/>
              <w:ind w:left="14"/>
              <w:rPr>
                <w:sz w:val="20"/>
              </w:rPr>
            </w:pPr>
            <w:r>
              <w:rPr>
                <w:sz w:val="20"/>
              </w:rPr>
              <w:t>Busselton Suburban Lot C.</w:t>
            </w:r>
          </w:p>
        </w:tc>
        <w:tc>
          <w:tcPr>
            <w:tcW w:w="2268" w:type="dxa"/>
          </w:tcPr>
          <w:p>
            <w:pPr>
              <w:pStyle w:val="yTable"/>
              <w:rPr>
                <w:sz w:val="20"/>
              </w:rPr>
            </w:pPr>
            <w:r>
              <w:rPr>
                <w:sz w:val="20"/>
              </w:rPr>
              <w:t>Registry of Deeds enrolment No. 2597 and memorial registered in Book XV., No. 641</w:t>
            </w:r>
          </w:p>
        </w:tc>
        <w:tc>
          <w:tcPr>
            <w:tcW w:w="2609" w:type="dxa"/>
          </w:tcPr>
          <w:p>
            <w:pPr>
              <w:pStyle w:val="yTable"/>
              <w:rPr>
                <w:sz w:val="20"/>
              </w:rPr>
            </w:pPr>
            <w:r>
              <w:rPr>
                <w:sz w:val="20"/>
              </w:rPr>
              <w:t>Granted to the Right Reverend Father in God, Mathew Blagden Hale, Lord Bishop of Perth, but now vested in the Diocesan Trustees of Bunbury, Incorporated</w:t>
            </w:r>
          </w:p>
        </w:tc>
        <w:tc>
          <w:tcPr>
            <w:tcW w:w="1134" w:type="dxa"/>
          </w:tcPr>
          <w:p>
            <w:pPr>
              <w:pStyle w:val="yTable"/>
              <w:rPr>
                <w:sz w:val="20"/>
              </w:rPr>
            </w:pPr>
            <w:r>
              <w:rPr>
                <w:sz w:val="20"/>
              </w:rPr>
              <w:t>Cemetery.</w:t>
            </w:r>
          </w:p>
        </w:tc>
      </w:tr>
      <w:tr>
        <w:tc>
          <w:tcPr>
            <w:tcW w:w="1077" w:type="dxa"/>
            <w:tcBorders>
              <w:bottom w:val="single" w:sz="4" w:space="0" w:color="auto"/>
            </w:tcBorders>
          </w:tcPr>
          <w:p>
            <w:pPr>
              <w:pStyle w:val="yTable"/>
              <w:ind w:left="14"/>
              <w:rPr>
                <w:sz w:val="20"/>
              </w:rPr>
            </w:pPr>
            <w:r>
              <w:rPr>
                <w:sz w:val="20"/>
              </w:rPr>
              <w:t>Busselton Suburban Lot C1.</w:t>
            </w:r>
          </w:p>
        </w:tc>
        <w:tc>
          <w:tcPr>
            <w:tcW w:w="2268" w:type="dxa"/>
            <w:tcBorders>
              <w:bottom w:val="single" w:sz="4" w:space="0" w:color="auto"/>
            </w:tcBorders>
          </w:tcPr>
          <w:p>
            <w:pPr>
              <w:pStyle w:val="yTable"/>
              <w:rPr>
                <w:sz w:val="20"/>
              </w:rPr>
            </w:pPr>
            <w:r>
              <w:rPr>
                <w:sz w:val="20"/>
              </w:rPr>
              <w:t>Registry of Deeds enrolment No. 2611</w:t>
            </w:r>
          </w:p>
        </w:tc>
        <w:tc>
          <w:tcPr>
            <w:tcW w:w="2609" w:type="dxa"/>
            <w:tcBorders>
              <w:bottom w:val="single" w:sz="4" w:space="0" w:color="auto"/>
            </w:tcBorders>
          </w:tcPr>
          <w:p>
            <w:pPr>
              <w:pStyle w:val="yTable"/>
              <w:rPr>
                <w:sz w:val="20"/>
              </w:rPr>
            </w:pPr>
            <w:r>
              <w:rPr>
                <w:sz w:val="20"/>
              </w:rPr>
              <w:t>Granted to the Reverend Martin Griver, a Roman Catholic Chaplain, but now vested in the Roman Catholic Archbishop of Perth</w:t>
            </w:r>
          </w:p>
        </w:tc>
        <w:tc>
          <w:tcPr>
            <w:tcW w:w="1134" w:type="dxa"/>
            <w:tcBorders>
              <w:bottom w:val="single" w:sz="4" w:space="0" w:color="auto"/>
            </w:tcBorders>
          </w:tcPr>
          <w:p>
            <w:pPr>
              <w:pStyle w:val="yTable"/>
              <w:rPr>
                <w:sz w:val="20"/>
              </w:rPr>
            </w:pPr>
            <w:r>
              <w:rPr>
                <w:sz w:val="20"/>
              </w:rPr>
              <w:t>Cemetery.</w:t>
            </w:r>
          </w:p>
        </w:tc>
      </w:tr>
    </w:tbl>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pPr>
      <w:bookmarkStart w:id="5" w:name="_Toc437383069"/>
      <w:r>
        <w:t>Notes</w:t>
      </w:r>
      <w:bookmarkEnd w:id="5"/>
    </w:p>
    <w:p>
      <w:pPr>
        <w:pStyle w:val="nSubsection"/>
        <w:rPr>
          <w:snapToGrid w:val="0"/>
        </w:rPr>
      </w:pPr>
      <w:r>
        <w:rPr>
          <w:snapToGrid w:val="0"/>
          <w:vertAlign w:val="superscript"/>
        </w:rPr>
        <w:t>1</w:t>
      </w:r>
      <w:r>
        <w:rPr>
          <w:snapToGrid w:val="0"/>
        </w:rPr>
        <w:tab/>
        <w:t xml:space="preserve">This is a compilation of the </w:t>
      </w:r>
      <w:r>
        <w:rPr>
          <w:i/>
          <w:noProof/>
          <w:snapToGrid w:val="0"/>
        </w:rPr>
        <w:t>Busselton Cemetery Act 1944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6" w:name="UpToHere"/>
      <w:bookmarkStart w:id="7" w:name="_Toc437383070"/>
      <w:bookmarkEnd w:id="6"/>
      <w:r>
        <w:rPr>
          <w:snapToGrid w:val="0"/>
        </w:rPr>
        <w:t>Compilation table</w:t>
      </w:r>
      <w:bookmarkEnd w:id="7"/>
    </w:p>
    <w:tbl>
      <w:tblPr>
        <w:tblW w:w="0" w:type="auto"/>
        <w:tblInd w:w="28" w:type="dxa"/>
        <w:tblLayout w:type="fixed"/>
        <w:tblCellMar>
          <w:left w:w="56" w:type="dxa"/>
          <w:right w:w="56" w:type="dxa"/>
        </w:tblCellMar>
        <w:tblLook w:val="0000" w:firstRow="0" w:lastRow="0" w:firstColumn="0" w:lastColumn="0" w:noHBand="0" w:noVBand="0"/>
      </w:tblPr>
      <w:tblGrid>
        <w:gridCol w:w="2268"/>
        <w:gridCol w:w="10"/>
        <w:gridCol w:w="1124"/>
        <w:gridCol w:w="15"/>
        <w:gridCol w:w="1119"/>
        <w:gridCol w:w="17"/>
        <w:gridCol w:w="2534"/>
        <w:gridCol w:w="20"/>
      </w:tblGrid>
      <w:tr>
        <w:trPr>
          <w:gridAfter w:val="1"/>
          <w:wAfter w:w="20" w:type="dxa"/>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4" w:type="dxa"/>
            <w:gridSpan w:val="2"/>
            <w:tcBorders>
              <w:top w:val="single" w:sz="8" w:space="0" w:color="auto"/>
              <w:bottom w:val="single" w:sz="8" w:space="0" w:color="auto"/>
            </w:tcBorders>
          </w:tcPr>
          <w:p>
            <w:pPr>
              <w:pStyle w:val="nTable"/>
              <w:spacing w:after="40"/>
              <w:rPr>
                <w:b/>
                <w:sz w:val="19"/>
              </w:rPr>
            </w:pPr>
            <w:r>
              <w:rPr>
                <w:b/>
                <w:sz w:val="19"/>
              </w:rPr>
              <w:t>Assent</w:t>
            </w:r>
          </w:p>
        </w:tc>
        <w:tc>
          <w:tcPr>
            <w:tcW w:w="2551"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20" w:type="dxa"/>
        </w:trPr>
        <w:tc>
          <w:tcPr>
            <w:tcW w:w="2268" w:type="dxa"/>
          </w:tcPr>
          <w:p>
            <w:pPr>
              <w:pStyle w:val="nTable"/>
              <w:spacing w:after="40"/>
              <w:rPr>
                <w:sz w:val="19"/>
              </w:rPr>
            </w:pPr>
            <w:r>
              <w:rPr>
                <w:i/>
                <w:sz w:val="19"/>
              </w:rPr>
              <w:t>Busselton Cemetery Act 1944</w:t>
            </w:r>
          </w:p>
        </w:tc>
        <w:tc>
          <w:tcPr>
            <w:tcW w:w="1134" w:type="dxa"/>
            <w:gridSpan w:val="2"/>
          </w:tcPr>
          <w:p>
            <w:pPr>
              <w:pStyle w:val="nTable"/>
              <w:spacing w:after="40"/>
              <w:rPr>
                <w:sz w:val="19"/>
              </w:rPr>
            </w:pPr>
            <w:r>
              <w:rPr>
                <w:sz w:val="19"/>
              </w:rPr>
              <w:t>19 of 1944</w:t>
            </w:r>
          </w:p>
        </w:tc>
        <w:tc>
          <w:tcPr>
            <w:tcW w:w="1134" w:type="dxa"/>
            <w:gridSpan w:val="2"/>
          </w:tcPr>
          <w:p>
            <w:pPr>
              <w:pStyle w:val="nTable"/>
              <w:spacing w:after="40"/>
              <w:rPr>
                <w:sz w:val="19"/>
              </w:rPr>
            </w:pPr>
            <w:r>
              <w:rPr>
                <w:sz w:val="19"/>
              </w:rPr>
              <w:t>23 Dec 1944</w:t>
            </w:r>
          </w:p>
        </w:tc>
        <w:tc>
          <w:tcPr>
            <w:tcW w:w="2551" w:type="dxa"/>
            <w:gridSpan w:val="2"/>
          </w:tcPr>
          <w:p>
            <w:pPr>
              <w:pStyle w:val="nTable"/>
              <w:spacing w:after="40"/>
              <w:rPr>
                <w:sz w:val="19"/>
              </w:rPr>
            </w:pPr>
            <w:r>
              <w:rPr>
                <w:sz w:val="19"/>
              </w:rPr>
              <w:t>23 Dec 1944</w:t>
            </w:r>
          </w:p>
        </w:tc>
      </w:tr>
      <w:tr>
        <w:trPr>
          <w:gridAfter w:val="1"/>
          <w:wAfter w:w="20" w:type="dxa"/>
        </w:trPr>
        <w:tc>
          <w:tcPr>
            <w:tcW w:w="2268" w:type="dxa"/>
          </w:tcPr>
          <w:p>
            <w:pPr>
              <w:pStyle w:val="nTable"/>
              <w:spacing w:after="40"/>
              <w:rPr>
                <w:sz w:val="19"/>
              </w:rPr>
            </w:pPr>
            <w:r>
              <w:rPr>
                <w:i/>
                <w:sz w:val="19"/>
              </w:rPr>
              <w:t>Local Government (Consequential Amendments) Act 1996</w:t>
            </w:r>
            <w:r>
              <w:rPr>
                <w:sz w:val="19"/>
              </w:rPr>
              <w:t xml:space="preserve"> s. 4</w:t>
            </w:r>
          </w:p>
        </w:tc>
        <w:tc>
          <w:tcPr>
            <w:tcW w:w="1134" w:type="dxa"/>
            <w:gridSpan w:val="2"/>
          </w:tcPr>
          <w:p>
            <w:pPr>
              <w:pStyle w:val="nTable"/>
              <w:spacing w:after="40"/>
              <w:rPr>
                <w:sz w:val="19"/>
              </w:rPr>
            </w:pPr>
            <w:r>
              <w:rPr>
                <w:sz w:val="19"/>
              </w:rPr>
              <w:t>14 of 1996</w:t>
            </w:r>
          </w:p>
        </w:tc>
        <w:tc>
          <w:tcPr>
            <w:tcW w:w="1134" w:type="dxa"/>
            <w:gridSpan w:val="2"/>
          </w:tcPr>
          <w:p>
            <w:pPr>
              <w:pStyle w:val="nTable"/>
              <w:spacing w:after="40"/>
              <w:rPr>
                <w:sz w:val="19"/>
              </w:rPr>
            </w:pPr>
            <w:r>
              <w:rPr>
                <w:sz w:val="19"/>
              </w:rPr>
              <w:t>28 Jun 1996</w:t>
            </w:r>
          </w:p>
        </w:tc>
        <w:tc>
          <w:tcPr>
            <w:tcW w:w="2551" w:type="dxa"/>
            <w:gridSpan w:val="2"/>
          </w:tcPr>
          <w:p>
            <w:pPr>
              <w:pStyle w:val="nTable"/>
              <w:spacing w:after="40"/>
              <w:rPr>
                <w:sz w:val="19"/>
              </w:rPr>
            </w:pPr>
            <w:r>
              <w:rPr>
                <w:sz w:val="19"/>
              </w:rPr>
              <w:t>1 Jul 1996 (see s. 2)</w:t>
            </w:r>
          </w:p>
        </w:tc>
      </w:tr>
      <w:tr>
        <w:trPr>
          <w:gridAfter w:val="1"/>
          <w:wAfter w:w="20" w:type="dxa"/>
          <w:cantSplit/>
        </w:trPr>
        <w:tc>
          <w:tcPr>
            <w:tcW w:w="7087" w:type="dxa"/>
            <w:gridSpan w:val="7"/>
          </w:tcPr>
          <w:p>
            <w:pPr>
              <w:pStyle w:val="nTable"/>
              <w:spacing w:after="40"/>
              <w:rPr>
                <w:sz w:val="19"/>
              </w:rPr>
            </w:pPr>
            <w:r>
              <w:rPr>
                <w:b/>
                <w:sz w:val="19"/>
              </w:rPr>
              <w:t xml:space="preserve">Reprint 1: The </w:t>
            </w:r>
            <w:r>
              <w:rPr>
                <w:b/>
                <w:i/>
                <w:sz w:val="19"/>
              </w:rPr>
              <w:t>Busselton Cemetery Act 1944</w:t>
            </w:r>
            <w:r>
              <w:rPr>
                <w:b/>
                <w:sz w:val="19"/>
              </w:rPr>
              <w:t xml:space="preserve"> as at 14 Feb 2003 </w:t>
            </w:r>
            <w:r>
              <w:rPr>
                <w:b/>
                <w:sz w:val="19"/>
              </w:rPr>
              <w:br/>
            </w:r>
            <w:r>
              <w:rPr>
                <w:sz w:val="19"/>
              </w:rPr>
              <w:t>(includes amendments listed above)</w:t>
            </w:r>
          </w:p>
        </w:tc>
      </w:tr>
      <w:tr>
        <w:trPr>
          <w:cantSplit/>
        </w:trPr>
        <w:tc>
          <w:tcPr>
            <w:tcW w:w="2278" w:type="dxa"/>
            <w:gridSpan w:val="2"/>
            <w:tcBorders>
              <w:bottom w:val="single" w:sz="4" w:space="0" w:color="auto"/>
            </w:tcBorders>
          </w:tcPr>
          <w:p>
            <w:pPr>
              <w:pStyle w:val="nTable"/>
              <w:spacing w:after="40"/>
              <w:ind w:right="113"/>
              <w:rPr>
                <w:iCs/>
                <w:snapToGrid w:val="0"/>
                <w:sz w:val="19"/>
              </w:rPr>
            </w:pPr>
            <w:r>
              <w:rPr>
                <w:i/>
                <w:snapToGrid w:val="0"/>
                <w:sz w:val="19"/>
              </w:rPr>
              <w:t>Standardisation of Formatting Act 2010</w:t>
            </w:r>
            <w:r>
              <w:rPr>
                <w:iCs/>
                <w:snapToGrid w:val="0"/>
                <w:sz w:val="19"/>
              </w:rPr>
              <w:t xml:space="preserve"> s. 4 and 51</w:t>
            </w:r>
          </w:p>
        </w:tc>
        <w:tc>
          <w:tcPr>
            <w:tcW w:w="1139" w:type="dxa"/>
            <w:gridSpan w:val="2"/>
            <w:tcBorders>
              <w:bottom w:val="single" w:sz="4" w:space="0" w:color="auto"/>
            </w:tcBorders>
          </w:tcPr>
          <w:p>
            <w:pPr>
              <w:pStyle w:val="nTable"/>
              <w:spacing w:after="40"/>
              <w:rPr>
                <w:snapToGrid w:val="0"/>
                <w:sz w:val="19"/>
              </w:rPr>
            </w:pPr>
            <w:r>
              <w:rPr>
                <w:snapToGrid w:val="0"/>
                <w:sz w:val="19"/>
              </w:rPr>
              <w:t>19 of 2010</w:t>
            </w:r>
          </w:p>
        </w:tc>
        <w:tc>
          <w:tcPr>
            <w:tcW w:w="1136" w:type="dxa"/>
            <w:gridSpan w:val="2"/>
            <w:tcBorders>
              <w:bottom w:val="single" w:sz="4" w:space="0" w:color="auto"/>
            </w:tcBorders>
          </w:tcPr>
          <w:p>
            <w:pPr>
              <w:pStyle w:val="nTable"/>
              <w:spacing w:after="40"/>
              <w:rPr>
                <w:snapToGrid w:val="0"/>
                <w:sz w:val="19"/>
              </w:rPr>
            </w:pPr>
            <w:r>
              <w:rPr>
                <w:snapToGrid w:val="0"/>
                <w:sz w:val="19"/>
              </w:rPr>
              <w:t>28 Jun 2010</w:t>
            </w:r>
          </w:p>
        </w:tc>
        <w:tc>
          <w:tcPr>
            <w:tcW w:w="2554" w:type="dxa"/>
            <w:gridSpan w:val="2"/>
            <w:tcBorders>
              <w:bottom w:val="single" w:sz="4" w:space="0" w:color="auto"/>
            </w:tcBorders>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bl>
    <w:p/>
    <w:p>
      <w:pPr>
        <w:sectPr>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sectPr>
      <w:headerReference w:type="even" r:id="rId33"/>
      <w:headerReference w:type="defaul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11 Sep 2010</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11 Sep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01-c0-03</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11 Sep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01-c0-03</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11 Sep 2010</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11 Sep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01-c0-03</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11 Sep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01-c0-03</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11 Sep 2010</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11 Sep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11 Sep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Busselton Cemetery Act 1944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 xml:space="preserve">Sch. </w:t>
          </w:r>
          <w:r>
            <w:fldChar w:fldCharType="begin"/>
          </w:r>
          <w:r>
            <w:instrText xml:space="preserve"> styleref CharSchNo</w:instrText>
          </w:r>
          <w:r>
            <w:fldChar w:fldCharType="end"/>
          </w:r>
        </w:p>
      </w:tc>
    </w:tr>
  </w:tbl>
  <w:p>
    <w:pPr>
      <w:pStyle w:val="HeaderNumberLeft"/>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Busselton Cemetery Act 1944</w:t>
            </w:r>
          </w:fldSimple>
        </w:p>
      </w:tc>
    </w:tr>
    <w:tr>
      <w:tc>
        <w:tcPr>
          <w:tcW w:w="5715" w:type="dxa"/>
          <w:vAlign w:val="bottom"/>
        </w:tcPr>
        <w:p>
          <w:pPr>
            <w:pStyle w:val="HeaderTextRight"/>
          </w:pPr>
          <w:fldSimple w:instr=" styleref CharSchText ">
            <w:r>
              <w:rPr>
                <w:noProof/>
              </w:rPr>
              <w:t>Cemetery land</w:t>
            </w:r>
          </w:fldSimple>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Busselton Cemetery Act 1944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Busselton Cemetery Act 1944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Busselton Cemetery Act 1944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Busselton Cemetery Act 1944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r>
            <w:rPr>
              <w:i w:val="0"/>
            </w:rPr>
            <w:fldChar w:fldCharType="begin"/>
          </w:r>
          <w:r>
            <w:rPr>
              <w:i w:val="0"/>
            </w:rPr>
            <w:instrText xml:space="preserve"> Styleref "Name of Act/Reg" </w:instrText>
          </w:r>
          <w:r>
            <w:rPr>
              <w:i w:val="0"/>
            </w:rPr>
            <w:fldChar w:fldCharType="separate"/>
          </w:r>
          <w:r>
            <w:rPr>
              <w:i w:val="0"/>
              <w:noProof/>
            </w:rPr>
            <w:t>Busselton Cemetery Act 1944</w:t>
          </w:r>
          <w:r>
            <w:rPr>
              <w:i w:val="0"/>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Busselton Cemetery Act 1944</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Busselton Cemetery Act 1944</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NumberLeft"/>
      <w:pBdr>
        <w:top w:val="single" w:sz="4" w:space="1" w:color="auto"/>
      </w:pBdr>
      <w:spacing w:befor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Busselton Cemetery Act 1944</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B36798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C04C3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4B84136"/>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BC6916"/>
    <w:lvl w:ilvl="0">
      <w:start w:val="1"/>
      <w:numFmt w:val="decimal"/>
      <w:pStyle w:val="ListNumber2"/>
      <w:lvlText w:val="%1."/>
      <w:lvlJc w:val="left"/>
      <w:pPr>
        <w:tabs>
          <w:tab w:val="num" w:pos="643"/>
        </w:tabs>
        <w:ind w:left="643" w:hanging="360"/>
      </w:pPr>
    </w:lvl>
  </w:abstractNum>
  <w:abstractNum w:abstractNumId="4">
    <w:nsid w:val="FFFFFF80"/>
    <w:multiLevelType w:val="singleLevel"/>
    <w:tmpl w:val="36966B4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B26E3F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518B5A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B40645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732ADDE"/>
    <w:lvl w:ilvl="0">
      <w:start w:val="1"/>
      <w:numFmt w:val="decimal"/>
      <w:pStyle w:val="ListNumber"/>
      <w:lvlText w:val="%1."/>
      <w:lvlJc w:val="left"/>
      <w:pPr>
        <w:tabs>
          <w:tab w:val="num" w:pos="360"/>
        </w:tabs>
        <w:ind w:left="360" w:hanging="360"/>
      </w:pPr>
    </w:lvl>
  </w:abstractNum>
  <w:abstractNum w:abstractNumId="9">
    <w:nsid w:val="FFFFFF89"/>
    <w:multiLevelType w:val="singleLevel"/>
    <w:tmpl w:val="6D4A192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922C057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C9F0B826"/>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3"/>
  </w:num>
  <w:num w:numId="14">
    <w:abstractNumId w:val="21"/>
  </w:num>
  <w:num w:numId="15">
    <w:abstractNumId w:val="17"/>
  </w:num>
  <w:num w:numId="16">
    <w:abstractNumId w:val="13"/>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7"/>
  </w:num>
  <w:num w:numId="28">
    <w:abstractNumId w:val="13"/>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5103"/>
    <w:docVar w:name="WAFER_20140121110229" w:val="RemoveTocBookmarks,RemoveUnusedBookmarks,RemoveLanguageTags,UsedStyles,ResetPageSize,UpdateArrangement"/>
    <w:docVar w:name="WAFER_20140121110229_GUID" w:val="d346efbe-3a85-442a-91ad-e793b46c5552"/>
    <w:docVar w:name="WAFER_20140121111108" w:val="RemoveTocBookmarks,RunningHeaders"/>
    <w:docVar w:name="WAFER_20140121111108_GUID" w:val="7b49ad1b-1334-4668-a2c7-d3926a3be14f"/>
    <w:docVar w:name="WAFER_20151207125103" w:val="RemoveTrackChanges"/>
    <w:docVar w:name="WAFER_20151207125103_GUID" w:val="6aed88d6-d9ea-4e4a-86c7-7f69372d189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8"/>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9"/>
      </w:numPr>
    </w:pPr>
  </w:style>
  <w:style w:type="paragraph" w:styleId="ListBullet2">
    <w:name w:val="List Bullet 2"/>
    <w:basedOn w:val="Normal"/>
    <w:autoRedefine/>
    <w:semiHidden/>
    <w:pPr>
      <w:numPr>
        <w:numId w:val="30"/>
      </w:numPr>
      <w:tabs>
        <w:tab w:val="clear" w:pos="643"/>
        <w:tab w:val="num" w:pos="720"/>
      </w:tabs>
      <w:ind w:left="720"/>
    </w:pPr>
  </w:style>
  <w:style w:type="paragraph" w:styleId="ListBullet3">
    <w:name w:val="List Bullet 3"/>
    <w:basedOn w:val="Normal"/>
    <w:autoRedefine/>
    <w:semiHidden/>
    <w:pPr>
      <w:numPr>
        <w:numId w:val="31"/>
      </w:numPr>
      <w:tabs>
        <w:tab w:val="clear" w:pos="926"/>
        <w:tab w:val="num" w:pos="1080"/>
      </w:tabs>
      <w:ind w:left="1080"/>
    </w:pPr>
  </w:style>
  <w:style w:type="paragraph" w:styleId="ListBullet4">
    <w:name w:val="List Bullet 4"/>
    <w:basedOn w:val="Normal"/>
    <w:autoRedefine/>
    <w:semiHidden/>
    <w:pPr>
      <w:numPr>
        <w:numId w:val="32"/>
      </w:numPr>
      <w:tabs>
        <w:tab w:val="clear" w:pos="1209"/>
        <w:tab w:val="num" w:pos="1440"/>
      </w:tabs>
      <w:ind w:left="1440"/>
    </w:pPr>
  </w:style>
  <w:style w:type="paragraph" w:styleId="ListBullet5">
    <w:name w:val="List Bullet 5"/>
    <w:basedOn w:val="Normal"/>
    <w:autoRedefine/>
    <w:semiHidden/>
    <w:pPr>
      <w:numPr>
        <w:numId w:val="33"/>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34"/>
      </w:numPr>
    </w:pPr>
  </w:style>
  <w:style w:type="paragraph" w:styleId="ListNumber2">
    <w:name w:val="List Number 2"/>
    <w:basedOn w:val="Normal"/>
    <w:semiHidden/>
    <w:pPr>
      <w:numPr>
        <w:numId w:val="35"/>
      </w:numPr>
      <w:tabs>
        <w:tab w:val="clear" w:pos="643"/>
        <w:tab w:val="num" w:pos="720"/>
      </w:tabs>
      <w:ind w:left="720"/>
    </w:pPr>
  </w:style>
  <w:style w:type="paragraph" w:styleId="ListNumber3">
    <w:name w:val="List Number 3"/>
    <w:basedOn w:val="Normal"/>
    <w:semiHidden/>
    <w:pPr>
      <w:numPr>
        <w:numId w:val="36"/>
      </w:numPr>
      <w:tabs>
        <w:tab w:val="clear" w:pos="926"/>
        <w:tab w:val="num" w:pos="1080"/>
      </w:tabs>
      <w:ind w:left="1080"/>
    </w:pPr>
  </w:style>
  <w:style w:type="paragraph" w:styleId="ListNumber4">
    <w:name w:val="List Number 4"/>
    <w:basedOn w:val="Normal"/>
    <w:semiHidden/>
    <w:pPr>
      <w:numPr>
        <w:numId w:val="37"/>
      </w:numPr>
      <w:tabs>
        <w:tab w:val="clear" w:pos="1209"/>
        <w:tab w:val="num" w:pos="1440"/>
      </w:tabs>
      <w:ind w:left="1440"/>
    </w:pPr>
  </w:style>
  <w:style w:type="paragraph" w:styleId="ListNumber5">
    <w:name w:val="List Number 5"/>
    <w:basedOn w:val="Normal"/>
    <w:semiHidden/>
    <w:pPr>
      <w:numPr>
        <w:numId w:val="38"/>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39"/>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8"/>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9"/>
      </w:numPr>
    </w:pPr>
  </w:style>
  <w:style w:type="paragraph" w:styleId="ListBullet2">
    <w:name w:val="List Bullet 2"/>
    <w:basedOn w:val="Normal"/>
    <w:autoRedefine/>
    <w:semiHidden/>
    <w:pPr>
      <w:numPr>
        <w:numId w:val="30"/>
      </w:numPr>
      <w:tabs>
        <w:tab w:val="clear" w:pos="643"/>
        <w:tab w:val="num" w:pos="720"/>
      </w:tabs>
      <w:ind w:left="720"/>
    </w:pPr>
  </w:style>
  <w:style w:type="paragraph" w:styleId="ListBullet3">
    <w:name w:val="List Bullet 3"/>
    <w:basedOn w:val="Normal"/>
    <w:autoRedefine/>
    <w:semiHidden/>
    <w:pPr>
      <w:numPr>
        <w:numId w:val="31"/>
      </w:numPr>
      <w:tabs>
        <w:tab w:val="clear" w:pos="926"/>
        <w:tab w:val="num" w:pos="1080"/>
      </w:tabs>
      <w:ind w:left="1080"/>
    </w:pPr>
  </w:style>
  <w:style w:type="paragraph" w:styleId="ListBullet4">
    <w:name w:val="List Bullet 4"/>
    <w:basedOn w:val="Normal"/>
    <w:autoRedefine/>
    <w:semiHidden/>
    <w:pPr>
      <w:numPr>
        <w:numId w:val="32"/>
      </w:numPr>
      <w:tabs>
        <w:tab w:val="clear" w:pos="1209"/>
        <w:tab w:val="num" w:pos="1440"/>
      </w:tabs>
      <w:ind w:left="1440"/>
    </w:pPr>
  </w:style>
  <w:style w:type="paragraph" w:styleId="ListBullet5">
    <w:name w:val="List Bullet 5"/>
    <w:basedOn w:val="Normal"/>
    <w:autoRedefine/>
    <w:semiHidden/>
    <w:pPr>
      <w:numPr>
        <w:numId w:val="33"/>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34"/>
      </w:numPr>
    </w:pPr>
  </w:style>
  <w:style w:type="paragraph" w:styleId="ListNumber2">
    <w:name w:val="List Number 2"/>
    <w:basedOn w:val="Normal"/>
    <w:semiHidden/>
    <w:pPr>
      <w:numPr>
        <w:numId w:val="35"/>
      </w:numPr>
      <w:tabs>
        <w:tab w:val="clear" w:pos="643"/>
        <w:tab w:val="num" w:pos="720"/>
      </w:tabs>
      <w:ind w:left="720"/>
    </w:pPr>
  </w:style>
  <w:style w:type="paragraph" w:styleId="ListNumber3">
    <w:name w:val="List Number 3"/>
    <w:basedOn w:val="Normal"/>
    <w:semiHidden/>
    <w:pPr>
      <w:numPr>
        <w:numId w:val="36"/>
      </w:numPr>
      <w:tabs>
        <w:tab w:val="clear" w:pos="926"/>
        <w:tab w:val="num" w:pos="1080"/>
      </w:tabs>
      <w:ind w:left="1080"/>
    </w:pPr>
  </w:style>
  <w:style w:type="paragraph" w:styleId="ListNumber4">
    <w:name w:val="List Number 4"/>
    <w:basedOn w:val="Normal"/>
    <w:semiHidden/>
    <w:pPr>
      <w:numPr>
        <w:numId w:val="37"/>
      </w:numPr>
      <w:tabs>
        <w:tab w:val="clear" w:pos="1209"/>
        <w:tab w:val="num" w:pos="1440"/>
      </w:tabs>
      <w:ind w:left="1440"/>
    </w:pPr>
  </w:style>
  <w:style w:type="paragraph" w:styleId="ListNumber5">
    <w:name w:val="List Number 5"/>
    <w:basedOn w:val="Normal"/>
    <w:semiHidden/>
    <w:pPr>
      <w:numPr>
        <w:numId w:val="38"/>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39"/>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855</Words>
  <Characters>3986</Characters>
  <Application>Microsoft Office Word</Application>
  <DocSecurity>0</DocSecurity>
  <Lines>153</Lines>
  <Paragraphs>80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4761</CharactersWithSpaces>
  <SharedDoc>false</SharedDoc>
  <HLinks>
    <vt:vector size="6" baseType="variant">
      <vt:variant>
        <vt:i4>65542</vt:i4>
      </vt:variant>
      <vt:variant>
        <vt:i4>-1</vt:i4>
      </vt:variant>
      <vt:variant>
        <vt:i4>1028</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Busselton Cemetery Act 1944 - 01-c0-03</dc:title>
  <dc:subject/>
  <dc:creator/>
  <cp:keywords/>
  <dc:description/>
  <cp:lastModifiedBy>svcMRProcess</cp:lastModifiedBy>
  <cp:revision>4</cp:revision>
  <cp:lastPrinted>2003-03-10T03:32:00Z</cp:lastPrinted>
  <dcterms:created xsi:type="dcterms:W3CDTF">2015-12-08T16:08:00Z</dcterms:created>
  <dcterms:modified xsi:type="dcterms:W3CDTF">2015-12-08T16:08:00Z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19 of 1944</vt:lpwstr>
  </property>
  <property fmtid="{D5CDD505-2E9C-101B-9397-08002B2CF9AE}" pid="3" name="CommencementDate">
    <vt:lpwstr>20100911</vt:lpwstr>
  </property>
  <property fmtid="{D5CDD505-2E9C-101B-9397-08002B2CF9AE}" pid="4" name="DocumentType">
    <vt:lpwstr>Act</vt:lpwstr>
  </property>
  <property fmtid="{D5CDD505-2E9C-101B-9397-08002B2CF9AE}" pid="5" name="AsAtDate">
    <vt:lpwstr>11 Sep 2010</vt:lpwstr>
  </property>
  <property fmtid="{D5CDD505-2E9C-101B-9397-08002B2CF9AE}" pid="6" name="Suffix">
    <vt:lpwstr>01-c0-03</vt:lpwstr>
  </property>
</Properties>
</file>