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Geraldton Sailors and Soldiers’ Memorial Institute Act 1929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Geraldton Sailors and Soldiers’ Memorial Institute Act 1929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_Toc272142193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_Toc272142194 \h </w:instrText>
      </w:r>
      <w:r>
        <w:fldChar w:fldCharType="separate"/>
      </w:r>
      <w:r>
        <w:t>2</w:t>
      </w:r>
      <w:r>
        <w:fldChar w:fldCharType="end"/>
      </w:r>
    </w:p>
    <w:p>
      <w:pPr>
        <w:pStyle w:val="TOC8"/>
        <w:rPr>
          <w:sz w:val="24"/>
          <w:szCs w:val="24"/>
        </w:rPr>
      </w:pPr>
      <w:r>
        <w:rPr>
          <w:szCs w:val="24"/>
        </w:rPr>
        <w:t>3.</w:t>
      </w:r>
      <w:r>
        <w:rPr>
          <w:szCs w:val="24"/>
        </w:rPr>
        <w:tab/>
        <w:t>Incorporation dissolved</w:t>
      </w:r>
      <w:r>
        <w:tab/>
      </w:r>
      <w:r>
        <w:fldChar w:fldCharType="begin"/>
      </w:r>
      <w:r>
        <w:instrText xml:space="preserve"> PAGEREF _Toc272142195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Trustees to be a corporate body</w:t>
      </w:r>
      <w:r>
        <w:tab/>
      </w:r>
      <w:r>
        <w:fldChar w:fldCharType="begin"/>
      </w:r>
      <w:r>
        <w:instrText xml:space="preserve"> PAGEREF _Toc272142196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Land, chattels and money vested in trustees</w:t>
      </w:r>
      <w:r>
        <w:tab/>
      </w:r>
      <w:r>
        <w:fldChar w:fldCharType="begin"/>
      </w:r>
      <w:r>
        <w:instrText xml:space="preserve"> PAGEREF _Toc272142197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Trustees’ powers</w:t>
      </w:r>
      <w:r>
        <w:tab/>
      </w:r>
      <w:r>
        <w:fldChar w:fldCharType="begin"/>
      </w:r>
      <w:r>
        <w:instrText xml:space="preserve"> PAGEREF _Toc272142198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Common seal, affixing of</w:t>
      </w:r>
      <w:r>
        <w:tab/>
      </w:r>
      <w:r>
        <w:fldChar w:fldCharType="begin"/>
      </w:r>
      <w:r>
        <w:instrText xml:space="preserve"> PAGEREF _Toc272142199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Registrar of Titles to register trustees as proprietors of land</w:t>
      </w:r>
      <w:r>
        <w:tab/>
      </w:r>
      <w:r>
        <w:fldChar w:fldCharType="begin"/>
      </w:r>
      <w:r>
        <w:instrText xml:space="preserve"> PAGEREF _Toc272142200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Trustees’ expenses to be reimbursed</w:t>
      </w:r>
      <w:r>
        <w:tab/>
      </w:r>
      <w:r>
        <w:fldChar w:fldCharType="begin"/>
      </w:r>
      <w:r>
        <w:instrText xml:space="preserve"> PAGEREF _Toc272142201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Protection of trustees</w:t>
      </w:r>
      <w:r>
        <w:tab/>
      </w:r>
      <w:r>
        <w:fldChar w:fldCharType="begin"/>
      </w:r>
      <w:r>
        <w:instrText xml:space="preserve"> PAGEREF _Toc272142202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Accounts, annual report, and financial statement</w:t>
      </w:r>
      <w:r>
        <w:tab/>
      </w:r>
      <w:r>
        <w:fldChar w:fldCharType="begin"/>
      </w:r>
      <w:r>
        <w:instrText xml:space="preserve"> PAGEREF _Toc272142203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_Toc272142205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Geraldton Sailors and Soldiers’ Memorial Institute Act 1929 </w:t>
      </w:r>
    </w:p>
    <w:p>
      <w:pPr>
        <w:pStyle w:val="LongTitle"/>
        <w:rPr>
          <w:snapToGrid w:val="0"/>
        </w:rPr>
      </w:pPr>
      <w:r>
        <w:rPr>
          <w:snapToGrid w:val="0"/>
        </w:rPr>
        <w:t xml:space="preserve">An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1" w:name="_Toc40256547"/>
      <w:bookmarkStart w:id="2" w:name="_Toc42423861"/>
      <w:bookmarkStart w:id="3" w:name="_Toc43174104"/>
      <w:bookmarkStart w:id="4" w:name="_Toc27214219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5" w:name="_Toc40256548"/>
      <w:bookmarkStart w:id="6" w:name="_Toc42423862"/>
      <w:bookmarkStart w:id="7" w:name="_Toc43174105"/>
      <w:bookmarkStart w:id="8" w:name="_Toc272142194"/>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“the Returned Sailors’ Soldiers’ and Airmen’s Imperial League of Australia”.</w:t>
      </w:r>
    </w:p>
    <w:p>
      <w:pPr>
        <w:pStyle w:val="Footnotesection"/>
      </w:pPr>
      <w:r>
        <w:tab/>
        <w:t xml:space="preserve">[Section 2 amended by No. 18 of 1956 s. 2.] </w:t>
      </w:r>
    </w:p>
    <w:p>
      <w:pPr>
        <w:pStyle w:val="Heading5"/>
      </w:pPr>
      <w:bookmarkStart w:id="9" w:name="_Toc40256549"/>
      <w:bookmarkStart w:id="10" w:name="_Toc42423863"/>
      <w:bookmarkStart w:id="11" w:name="_Toc43174106"/>
      <w:bookmarkStart w:id="12" w:name="_Toc272142195"/>
      <w:r>
        <w:rPr>
          <w:rStyle w:val="CharSectno"/>
        </w:rPr>
        <w:t>3</w:t>
      </w:r>
      <w:r>
        <w:t>.</w:t>
      </w:r>
      <w:r>
        <w:tab/>
        <w:t>Incorporation dissolved</w:t>
      </w:r>
      <w:bookmarkEnd w:id="9"/>
      <w:bookmarkEnd w:id="10"/>
      <w:bookmarkEnd w:id="11"/>
      <w:bookmarkEnd w:id="12"/>
    </w:p>
    <w:p>
      <w:pPr>
        <w:pStyle w:val="Subsection"/>
      </w:pPr>
      <w:r>
        <w:tab/>
        <w:t>(1)</w:t>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p>
    <w:p>
      <w:pPr>
        <w:pStyle w:val="Subsection"/>
      </w:pPr>
      <w:r>
        <w:tab/>
        <w:t>(2)</w:t>
      </w:r>
      <w:r>
        <w:tab/>
        <w:t>Any and every deed, contract, agreement, act, matter, or thing heretofore executed or done by such association shall have and take effect as if such corporation had been regular and in accordance with the said Act.</w:t>
      </w:r>
    </w:p>
    <w:p>
      <w:pPr>
        <w:pStyle w:val="Footnotesection"/>
      </w:pPr>
      <w:r>
        <w:tab/>
        <w:t>[Section 3 amended by No. 19 of 2010 s. 51.]</w:t>
      </w:r>
    </w:p>
    <w:p>
      <w:pPr>
        <w:pStyle w:val="Heading5"/>
        <w:rPr>
          <w:snapToGrid w:val="0"/>
        </w:rPr>
      </w:pPr>
      <w:bookmarkStart w:id="13" w:name="_Toc40256550"/>
      <w:bookmarkStart w:id="14" w:name="_Toc42423864"/>
      <w:bookmarkStart w:id="15" w:name="_Toc43174107"/>
      <w:bookmarkStart w:id="16" w:name="_Toc272142196"/>
      <w:r>
        <w:rPr>
          <w:rStyle w:val="CharSectno"/>
        </w:rPr>
        <w:t>4</w:t>
      </w:r>
      <w:r>
        <w:rPr>
          <w:snapToGrid w:val="0"/>
        </w:rPr>
        <w:t>.</w:t>
      </w:r>
      <w:r>
        <w:rPr>
          <w:snapToGrid w:val="0"/>
        </w:rPr>
        <w:tab/>
        <w:t>Trustees to be a corporate body</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Geraldton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Two of the trustees shall be ratepayers from Geraldton elected by the City of Geraldton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 the Returned Sailors’ Soldiers’ and Airmen’s Imperial League of Australia, which on any vacancy, from any cause occurring in the trustees appointed by it shall, fill such vacancy by the appointment of another person or other persons.</w:t>
      </w:r>
    </w:p>
    <w:p>
      <w:pPr>
        <w:pStyle w:val="Subsection"/>
        <w:rPr>
          <w:snapToGrid w:val="0"/>
        </w:rPr>
      </w:pPr>
      <w:r>
        <w:rPr>
          <w:snapToGrid w:val="0"/>
        </w:rPr>
        <w:tab/>
        <w:t>(4A)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Subsection"/>
        <w:rPr>
          <w:snapToGrid w:val="0"/>
        </w:rPr>
      </w:pPr>
      <w:r>
        <w:rPr>
          <w:snapToGrid w:val="0"/>
        </w:rPr>
        <w:tab/>
        <w:t>(4B)</w:t>
      </w:r>
      <w:r>
        <w:rPr>
          <w:snapToGrid w:val="0"/>
        </w:rPr>
        <w:tab/>
        <w:t>Subject to subsection (4A),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Subsection"/>
        <w:rPr>
          <w:snapToGrid w:val="0"/>
        </w:rPr>
      </w:pPr>
      <w:r>
        <w:rPr>
          <w:snapToGrid w:val="0"/>
        </w:rPr>
        <w:tab/>
        <w:t>(4C)</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 xml:space="preserve">[Section 4 amended by No. 18 of 1956 s. 3; No. 14 of 1996 s. 4; No. 19 of 2010 s. 51.] </w:t>
      </w:r>
    </w:p>
    <w:p>
      <w:pPr>
        <w:pStyle w:val="Heading5"/>
        <w:rPr>
          <w:snapToGrid w:val="0"/>
        </w:rPr>
      </w:pPr>
      <w:bookmarkStart w:id="17" w:name="_Toc40256551"/>
      <w:bookmarkStart w:id="18" w:name="_Toc42423865"/>
      <w:bookmarkStart w:id="19" w:name="_Toc43174108"/>
      <w:bookmarkStart w:id="20" w:name="_Toc272142197"/>
      <w:r>
        <w:rPr>
          <w:rStyle w:val="CharSectno"/>
        </w:rPr>
        <w:t>5</w:t>
      </w:r>
      <w:r>
        <w:rPr>
          <w:snapToGrid w:val="0"/>
        </w:rPr>
        <w:t>.</w:t>
      </w:r>
      <w:r>
        <w:rPr>
          <w:snapToGrid w:val="0"/>
        </w:rPr>
        <w:tab/>
        <w:t>Land, chattels and money vested in trustees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 xml:space="preserve">[Section 5 amended by No. 1 of 1997 s. 18.] </w:t>
      </w:r>
    </w:p>
    <w:p>
      <w:pPr>
        <w:pStyle w:val="Heading5"/>
        <w:rPr>
          <w:snapToGrid w:val="0"/>
        </w:rPr>
      </w:pPr>
      <w:bookmarkStart w:id="21" w:name="_Toc40256552"/>
      <w:bookmarkStart w:id="22" w:name="_Toc42423866"/>
      <w:bookmarkStart w:id="23" w:name="_Toc43174109"/>
      <w:bookmarkStart w:id="24" w:name="_Toc272142198"/>
      <w:r>
        <w:rPr>
          <w:rStyle w:val="CharSectno"/>
        </w:rPr>
        <w:t>6</w:t>
      </w:r>
      <w:r>
        <w:rPr>
          <w:snapToGrid w:val="0"/>
        </w:rPr>
        <w:t>.</w:t>
      </w:r>
      <w:r>
        <w:rPr>
          <w:snapToGrid w:val="0"/>
        </w:rPr>
        <w:tab/>
        <w:t>Trustees’ powers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p>
    <w:p>
      <w:pPr>
        <w:pStyle w:val="Subsection"/>
        <w:rPr>
          <w:snapToGrid w:val="0"/>
        </w:rPr>
      </w:pPr>
      <w:r>
        <w:rPr>
          <w:snapToGrid w:val="0"/>
        </w:rPr>
        <w:tab/>
        <w:t>(2)</w:t>
      </w:r>
      <w:r>
        <w:rPr>
          <w:snapToGrid w:val="0"/>
        </w:rPr>
        <w:tab/>
        <w:t>The trustees may, without the approval of the Governor, lease for a term of not longer than 3 years the said land and buildings, and the said chattels to the said Geraldton sub</w:t>
      </w:r>
      <w:r>
        <w:rPr>
          <w:snapToGrid w:val="0"/>
        </w:rPr>
        <w:noBreakHyphen/>
        <w:t xml:space="preserve">branch of the Returned Sailors’ Soldiers’ and Airmen’s Imperial League of </w:t>
      </w:r>
      <w:r>
        <w:t>Australia and, if it does so, the</w:t>
      </w:r>
      <w:r>
        <w:rPr>
          <w:snapToGrid w:val="0"/>
        </w:rPr>
        <w:t xml:space="preserve"> sub</w:t>
      </w:r>
      <w:r>
        <w:rPr>
          <w:snapToGrid w:val="0"/>
        </w:rPr>
        <w:noBreakHyphen/>
        <w:t>branch shall use such land, buildings, and chattels as a club for returned soldiers.</w:t>
      </w:r>
    </w:p>
    <w:p>
      <w:pPr>
        <w:pStyle w:val="Footnotesection"/>
      </w:pPr>
      <w:r>
        <w:tab/>
        <w:t xml:space="preserve">[Section 6 amended by No. 18 of 1956 s. 4; No. 19 of 2010 s. 51.] </w:t>
      </w:r>
    </w:p>
    <w:p>
      <w:pPr>
        <w:pStyle w:val="Heading5"/>
        <w:rPr>
          <w:snapToGrid w:val="0"/>
        </w:rPr>
      </w:pPr>
      <w:bookmarkStart w:id="25" w:name="_Toc40256553"/>
      <w:bookmarkStart w:id="26" w:name="_Toc42423867"/>
      <w:bookmarkStart w:id="27" w:name="_Toc43174110"/>
      <w:bookmarkStart w:id="28" w:name="_Toc272142199"/>
      <w:r>
        <w:rPr>
          <w:rStyle w:val="CharSectno"/>
        </w:rPr>
        <w:t>7</w:t>
      </w:r>
      <w:r>
        <w:rPr>
          <w:snapToGrid w:val="0"/>
        </w:rPr>
        <w:t>.</w:t>
      </w:r>
      <w:r>
        <w:rPr>
          <w:snapToGrid w:val="0"/>
        </w:rPr>
        <w:tab/>
        <w:t>Common seal, affixing of</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29" w:name="_Toc40256554"/>
      <w:bookmarkStart w:id="30" w:name="_Toc42423868"/>
      <w:bookmarkStart w:id="31" w:name="_Toc43174111"/>
      <w:bookmarkStart w:id="32" w:name="_Toc272142200"/>
      <w:r>
        <w:rPr>
          <w:rStyle w:val="CharSectno"/>
        </w:rPr>
        <w:t>8</w:t>
      </w:r>
      <w:r>
        <w:rPr>
          <w:snapToGrid w:val="0"/>
        </w:rPr>
        <w:t>.</w:t>
      </w:r>
      <w:r>
        <w:rPr>
          <w:snapToGrid w:val="0"/>
        </w:rPr>
        <w:tab/>
        <w:t>Registrar of Titles to register trustees as proprietors of land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33" w:name="_Toc40256555"/>
      <w:bookmarkStart w:id="34" w:name="_Toc42423869"/>
      <w:bookmarkStart w:id="35" w:name="_Toc43174112"/>
      <w:bookmarkStart w:id="36" w:name="_Toc272142201"/>
      <w:r>
        <w:rPr>
          <w:rStyle w:val="CharSectno"/>
        </w:rPr>
        <w:t>9</w:t>
      </w:r>
      <w:r>
        <w:rPr>
          <w:snapToGrid w:val="0"/>
        </w:rPr>
        <w:t>.</w:t>
      </w:r>
      <w:r>
        <w:rPr>
          <w:snapToGrid w:val="0"/>
        </w:rPr>
        <w:tab/>
        <w:t>Trustees’ expenses to be reimbursed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37" w:name="_Toc40256556"/>
      <w:bookmarkStart w:id="38" w:name="_Toc42423870"/>
      <w:bookmarkStart w:id="39" w:name="_Toc43174113"/>
      <w:bookmarkStart w:id="40" w:name="_Toc272142202"/>
      <w:r>
        <w:rPr>
          <w:rStyle w:val="CharSectno"/>
        </w:rPr>
        <w:t>10</w:t>
      </w:r>
      <w:r>
        <w:rPr>
          <w:snapToGrid w:val="0"/>
        </w:rPr>
        <w:t>.</w:t>
      </w:r>
      <w:r>
        <w:rPr>
          <w:snapToGrid w:val="0"/>
        </w:rPr>
        <w:tab/>
        <w:t>Protection of trustees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41" w:name="_Toc40256557"/>
      <w:bookmarkStart w:id="42" w:name="_Toc42423871"/>
      <w:bookmarkStart w:id="43" w:name="_Toc43174114"/>
      <w:bookmarkStart w:id="44" w:name="_Toc272142203"/>
      <w:r>
        <w:rPr>
          <w:rStyle w:val="CharSectno"/>
        </w:rPr>
        <w:t>11</w:t>
      </w:r>
      <w:r>
        <w:rPr>
          <w:snapToGrid w:val="0"/>
        </w:rPr>
        <w:t>.</w:t>
      </w:r>
      <w:r>
        <w:rPr>
          <w:snapToGrid w:val="0"/>
        </w:rPr>
        <w:tab/>
        <w:t>Accounts, annual report, and financial statement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 xml:space="preserve">[Section 11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5" w:name="_Toc267479540"/>
      <w:bookmarkStart w:id="46" w:name="_Toc268246883"/>
      <w:bookmarkStart w:id="47" w:name="_Toc272142204"/>
      <w:r>
        <w:t>Notes</w:t>
      </w:r>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48" w:name="UpToHere"/>
      <w:bookmarkStart w:id="49" w:name="_Toc42423872"/>
      <w:bookmarkStart w:id="50" w:name="_Toc43174115"/>
      <w:bookmarkStart w:id="51" w:name="_Toc272142205"/>
      <w:bookmarkEnd w:id="48"/>
      <w:r>
        <w:rPr>
          <w:snapToGrid w:val="0"/>
        </w:rPr>
        <w:t>Compilation table</w:t>
      </w:r>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Geraldton Sailors and Soldiers’ Memorial Institute Act 1929</w:t>
            </w:r>
          </w:p>
        </w:tc>
        <w:tc>
          <w:tcPr>
            <w:tcW w:w="1134" w:type="dxa"/>
          </w:tcPr>
          <w:p>
            <w:pPr>
              <w:pStyle w:val="nTable"/>
              <w:rPr>
                <w:sz w:val="19"/>
              </w:rPr>
            </w:pPr>
            <w:r>
              <w:rPr>
                <w:sz w:val="19"/>
              </w:rPr>
              <w:t>38 of 1929</w:t>
            </w:r>
          </w:p>
        </w:tc>
        <w:tc>
          <w:tcPr>
            <w:tcW w:w="1134" w:type="dxa"/>
          </w:tcPr>
          <w:p>
            <w:pPr>
              <w:pStyle w:val="nTable"/>
              <w:rPr>
                <w:sz w:val="19"/>
              </w:rPr>
            </w:pPr>
            <w:r>
              <w:rPr>
                <w:sz w:val="19"/>
              </w:rPr>
              <w:t>31 Dec 1929</w:t>
            </w:r>
          </w:p>
        </w:tc>
        <w:tc>
          <w:tcPr>
            <w:tcW w:w="2551" w:type="dxa"/>
          </w:tcPr>
          <w:p>
            <w:pPr>
              <w:pStyle w:val="nTable"/>
              <w:rPr>
                <w:sz w:val="19"/>
              </w:rPr>
            </w:pPr>
            <w:r>
              <w:rPr>
                <w:sz w:val="19"/>
              </w:rPr>
              <w:t>31 Dec 1929</w:t>
            </w:r>
          </w:p>
        </w:tc>
      </w:tr>
      <w:tr>
        <w:tc>
          <w:tcPr>
            <w:tcW w:w="2268" w:type="dxa"/>
          </w:tcPr>
          <w:p>
            <w:pPr>
              <w:pStyle w:val="nTable"/>
              <w:rPr>
                <w:sz w:val="19"/>
              </w:rPr>
            </w:pPr>
            <w:r>
              <w:rPr>
                <w:i/>
                <w:sz w:val="19"/>
              </w:rPr>
              <w:t>Geraldton Sailors and Soldiers’ Memorial Institute Act Amendment Act 1956</w:t>
            </w:r>
          </w:p>
        </w:tc>
        <w:tc>
          <w:tcPr>
            <w:tcW w:w="1134" w:type="dxa"/>
          </w:tcPr>
          <w:p>
            <w:pPr>
              <w:pStyle w:val="nTable"/>
              <w:rPr>
                <w:sz w:val="19"/>
              </w:rPr>
            </w:pPr>
            <w:r>
              <w:rPr>
                <w:sz w:val="19"/>
              </w:rPr>
              <w:t>18 of 1956</w:t>
            </w:r>
          </w:p>
        </w:tc>
        <w:tc>
          <w:tcPr>
            <w:tcW w:w="1134" w:type="dxa"/>
          </w:tcPr>
          <w:p>
            <w:pPr>
              <w:pStyle w:val="nTable"/>
              <w:rPr>
                <w:sz w:val="19"/>
              </w:rPr>
            </w:pPr>
            <w:r>
              <w:rPr>
                <w:sz w:val="19"/>
              </w:rPr>
              <w:t>2 Nov 1956</w:t>
            </w:r>
          </w:p>
        </w:tc>
        <w:tc>
          <w:tcPr>
            <w:tcW w:w="2551" w:type="dxa"/>
          </w:tcPr>
          <w:p>
            <w:pPr>
              <w:pStyle w:val="nTable"/>
              <w:rPr>
                <w:sz w:val="19"/>
              </w:rPr>
            </w:pPr>
            <w:r>
              <w:rPr>
                <w:sz w:val="19"/>
              </w:rPr>
              <w:t>2 Nov 1956</w:t>
            </w:r>
          </w:p>
        </w:tc>
      </w:tr>
      <w:tr>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c>
          <w:tcPr>
            <w:tcW w:w="2268" w:type="dxa"/>
          </w:tcPr>
          <w:p>
            <w:pPr>
              <w:pStyle w:val="nTable"/>
              <w:rPr>
                <w:sz w:val="19"/>
              </w:rPr>
            </w:pPr>
            <w:r>
              <w:rPr>
                <w:i/>
                <w:sz w:val="19"/>
              </w:rPr>
              <w:t xml:space="preserve">Trustees Amendment Act 1997 </w:t>
            </w:r>
            <w:r>
              <w:rPr>
                <w:sz w:val="19"/>
              </w:rPr>
              <w:t>s. 18</w:t>
            </w:r>
          </w:p>
        </w:tc>
        <w:tc>
          <w:tcPr>
            <w:tcW w:w="1134" w:type="dxa"/>
          </w:tcPr>
          <w:p>
            <w:pPr>
              <w:pStyle w:val="nTable"/>
              <w:rPr>
                <w:sz w:val="19"/>
              </w:rPr>
            </w:pPr>
            <w:r>
              <w:rPr>
                <w:sz w:val="19"/>
              </w:rPr>
              <w:t>1 of 1997</w:t>
            </w:r>
          </w:p>
        </w:tc>
        <w:tc>
          <w:tcPr>
            <w:tcW w:w="1134" w:type="dxa"/>
          </w:tcPr>
          <w:p>
            <w:pPr>
              <w:pStyle w:val="nTable"/>
              <w:rPr>
                <w:sz w:val="19"/>
              </w:rPr>
            </w:pPr>
            <w:r>
              <w:rPr>
                <w:sz w:val="19"/>
              </w:rPr>
              <w:t>6 May 1997</w:t>
            </w:r>
          </w:p>
        </w:tc>
        <w:tc>
          <w:tcPr>
            <w:tcW w:w="2551" w:type="dxa"/>
          </w:tcPr>
          <w:p>
            <w:pPr>
              <w:pStyle w:val="nTable"/>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4"/>
          </w:tcPr>
          <w:p>
            <w:pPr>
              <w:pStyle w:val="nTable"/>
              <w:spacing w:after="60"/>
              <w:rPr>
                <w:sz w:val="19"/>
              </w:rPr>
            </w:pPr>
            <w:r>
              <w:rPr>
                <w:b/>
                <w:sz w:val="19"/>
              </w:rPr>
              <w:t xml:space="preserve">Reprint 1: The </w:t>
            </w:r>
            <w:r>
              <w:rPr>
                <w:b/>
                <w:i/>
                <w:sz w:val="19"/>
              </w:rPr>
              <w:t xml:space="preserve">Geraldton Sailors and Soldiers’ Memorial Institute Act 1929 </w:t>
            </w:r>
            <w:r>
              <w:rPr>
                <w:b/>
                <w:sz w:val="19"/>
              </w:rPr>
              <w:t>as at 9 May  2003</w:t>
            </w:r>
            <w:r>
              <w:rPr>
                <w:sz w:val="19"/>
              </w:rPr>
              <w:t xml:space="preserve"> (includes amendments listed above)</w:t>
            </w:r>
          </w:p>
        </w:tc>
      </w:tr>
      <w:tr>
        <w:tc>
          <w:tcPr>
            <w:tcW w:w="2268" w:type="dxa"/>
            <w:tcBorders>
              <w:bottom w:val="single" w:sz="4" w:space="0" w:color="auto"/>
            </w:tcBorders>
          </w:tcPr>
          <w:p>
            <w:pPr>
              <w:pStyle w:val="nTable"/>
              <w:rPr>
                <w:sz w:val="19"/>
              </w:rPr>
            </w:pPr>
            <w:r>
              <w:rPr>
                <w:i/>
                <w:snapToGrid w:val="0"/>
                <w:sz w:val="19"/>
                <w:lang w:val="en-US"/>
              </w:rPr>
              <w:t>Standardisation of Formatting Act 2010</w:t>
            </w:r>
            <w:r>
              <w:rPr>
                <w:iCs/>
                <w:snapToGrid w:val="0"/>
                <w:sz w:val="19"/>
                <w:lang w:val="en-US"/>
              </w:rPr>
              <w:t xml:space="preserve"> s. 51</w:t>
            </w:r>
          </w:p>
        </w:tc>
        <w:tc>
          <w:tcPr>
            <w:tcW w:w="1134" w:type="dxa"/>
            <w:tcBorders>
              <w:bottom w:val="single" w:sz="4" w:space="0" w:color="auto"/>
            </w:tcBorders>
          </w:tcPr>
          <w:p>
            <w:pPr>
              <w:pStyle w:val="nTable"/>
              <w:rPr>
                <w:sz w:val="19"/>
              </w:rPr>
            </w:pPr>
            <w:r>
              <w:rPr>
                <w:snapToGrid w:val="0"/>
                <w:sz w:val="19"/>
                <w:lang w:val="en-US"/>
              </w:rPr>
              <w:t>19 of 2010</w:t>
            </w:r>
          </w:p>
        </w:tc>
        <w:tc>
          <w:tcPr>
            <w:tcW w:w="1134" w:type="dxa"/>
            <w:tcBorders>
              <w:bottom w:val="single" w:sz="4" w:space="0" w:color="auto"/>
            </w:tcBorders>
          </w:tcPr>
          <w:p>
            <w:pPr>
              <w:pStyle w:val="nTable"/>
              <w:rPr>
                <w:sz w:val="19"/>
              </w:rPr>
            </w:pPr>
            <w:r>
              <w:rPr>
                <w:snapToGrid w:val="0"/>
                <w:sz w:val="19"/>
                <w:lang w:val="en-US"/>
              </w:rPr>
              <w:t>28 Jun 2010</w:t>
            </w:r>
          </w:p>
        </w:tc>
        <w:tc>
          <w:tcPr>
            <w:tcW w:w="2551" w:type="dxa"/>
            <w:tcBorders>
              <w:bottom w:val="single" w:sz="4" w:space="0" w:color="auto"/>
            </w:tcBorders>
          </w:tcPr>
          <w:p>
            <w:pPr>
              <w:pStyle w:val="nTable"/>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Geraldton Sailors and Soldiers’ Memorial Institute Lands Vesting Act 1933</w:t>
      </w: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Geraldton Sailors and Soldiers’ Memorial Institute Act 1929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Sailors and Soldiers’ Memorial Institute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Act 1929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52"/>
    <w:docVar w:name="WAFER_20151211132952" w:val="RemoveTrackChanges"/>
    <w:docVar w:name="WAFER_20151211132952_GUID" w:val="b197808f-85a8-470c-9d90-cf9d24c55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1871</Words>
  <Characters>8985</Characters>
  <Application>Microsoft Office Word</Application>
  <DocSecurity>0</DocSecurity>
  <Lines>249</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1929 - 01-c0-02</dc:title>
  <dc:subject/>
  <dc:creator/>
  <cp:keywords/>
  <dc:description/>
  <cp:lastModifiedBy>svcMRProcess</cp:lastModifiedBy>
  <cp:revision>4</cp:revision>
  <cp:lastPrinted>2003-06-04T02:12:00Z</cp:lastPrinted>
  <dcterms:created xsi:type="dcterms:W3CDTF">2015-12-13T07:09:00Z</dcterms:created>
  <dcterms:modified xsi:type="dcterms:W3CDTF">2015-12-13T07:09:00Z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01-c0-02</vt:lpwstr>
  </property>
</Properties>
</file>