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Greyhound Racing Association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_Toc536188619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_Toc536188620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_Toc536188621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Greyhound Racing Association</w:t>
      </w:r>
    </w:p>
    <w:p>
      <w:pPr>
        <w:pStyle w:val="TOC8"/>
        <w:rPr>
          <w:rFonts w:asciiTheme="minorHAnsi" w:eastAsiaTheme="minorEastAsia" w:hAnsiTheme="minorHAnsi" w:cstheme="minorBidi"/>
          <w:szCs w:val="22"/>
        </w:rPr>
      </w:pPr>
      <w:r>
        <w:t>5</w:t>
      </w:r>
      <w:r>
        <w:rPr>
          <w:snapToGrid w:val="0"/>
        </w:rPr>
        <w:t>.</w:t>
      </w:r>
      <w:r>
        <w:rPr>
          <w:snapToGrid w:val="0"/>
        </w:rPr>
        <w:tab/>
        <w:t xml:space="preserve">Establishment of </w:t>
      </w:r>
      <w:r>
        <w:t>Association</w:t>
      </w:r>
      <w:r>
        <w:tab/>
      </w:r>
      <w:r>
        <w:fldChar w:fldCharType="begin"/>
      </w:r>
      <w:r>
        <w:instrText xml:space="preserve"> PAGEREF _Toc536188623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 xml:space="preserve">Association </w:t>
      </w:r>
      <w:r>
        <w:rPr>
          <w:snapToGrid w:val="0"/>
        </w:rPr>
        <w:t>does not represent the Crown</w:t>
      </w:r>
      <w:r>
        <w:tab/>
      </w:r>
      <w:r>
        <w:fldChar w:fldCharType="begin"/>
      </w:r>
      <w:r>
        <w:instrText xml:space="preserve"> PAGEREF _Toc536188624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w:t>
      </w:r>
      <w:r>
        <w:t>Association</w:t>
      </w:r>
      <w:r>
        <w:tab/>
      </w:r>
      <w:r>
        <w:fldChar w:fldCharType="begin"/>
      </w:r>
      <w:r>
        <w:instrText xml:space="preserve"> PAGEREF _Toc536188625 \h </w:instrText>
      </w:r>
      <w:r>
        <w:fldChar w:fldCharType="separate"/>
      </w:r>
      <w:r>
        <w:t>5</w:t>
      </w:r>
      <w:r>
        <w:fldChar w:fldCharType="end"/>
      </w:r>
    </w:p>
    <w:p>
      <w:pPr>
        <w:pStyle w:val="TOC8"/>
        <w:rPr>
          <w:rFonts w:asciiTheme="minorHAnsi" w:eastAsiaTheme="minorEastAsia" w:hAnsiTheme="minorHAnsi" w:cstheme="minorBidi"/>
          <w:szCs w:val="22"/>
        </w:rPr>
      </w:pPr>
      <w:r>
        <w:t>7A.</w:t>
      </w:r>
      <w:r>
        <w:tab/>
        <w:t>Powers of the Association</w:t>
      </w:r>
      <w:r>
        <w:tab/>
      </w:r>
      <w:r>
        <w:fldChar w:fldCharType="begin"/>
      </w:r>
      <w:r>
        <w:instrText xml:space="preserve"> PAGEREF _Toc536188626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Delegation</w:t>
      </w:r>
      <w:r>
        <w:tab/>
      </w:r>
      <w:r>
        <w:fldChar w:fldCharType="begin"/>
      </w:r>
      <w:r>
        <w:instrText xml:space="preserve"> PAGEREF _Toc536188627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The board, Chairman, Deputy Chairman and staff of the Association</w:t>
      </w:r>
    </w:p>
    <w:p>
      <w:pPr>
        <w:pStyle w:val="TOC8"/>
        <w:rPr>
          <w:rFonts w:asciiTheme="minorHAnsi" w:eastAsiaTheme="minorEastAsia" w:hAnsiTheme="minorHAnsi" w:cstheme="minorBidi"/>
          <w:szCs w:val="22"/>
        </w:rPr>
      </w:pPr>
      <w:r>
        <w:t>9</w:t>
      </w:r>
      <w:r>
        <w:rPr>
          <w:snapToGrid w:val="0"/>
        </w:rPr>
        <w:t>.</w:t>
      </w:r>
      <w:r>
        <w:rPr>
          <w:snapToGrid w:val="0"/>
        </w:rPr>
        <w:tab/>
        <w:t>The board</w:t>
      </w:r>
      <w:r>
        <w:tab/>
      </w:r>
      <w:r>
        <w:fldChar w:fldCharType="begin"/>
      </w:r>
      <w:r>
        <w:instrText xml:space="preserve"> PAGEREF _Toc536188629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duties and powers</w:t>
      </w:r>
      <w:r>
        <w:tab/>
      </w:r>
      <w:r>
        <w:fldChar w:fldCharType="begin"/>
      </w:r>
      <w:r>
        <w:instrText xml:space="preserve"> PAGEREF _Toc536188630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subject to Minister</w:t>
      </w:r>
      <w:r>
        <w:tab/>
      </w:r>
      <w:r>
        <w:fldChar w:fldCharType="begin"/>
      </w:r>
      <w:r>
        <w:instrText xml:space="preserve"> PAGEREF _Toc536188631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Composition of board</w:t>
      </w:r>
      <w:r>
        <w:tab/>
      </w:r>
      <w:r>
        <w:fldChar w:fldCharType="begin"/>
      </w:r>
      <w:r>
        <w:instrText xml:space="preserve"> PAGEREF _Toc536188632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Chairman and Deputy Chairman of </w:t>
      </w:r>
      <w:r>
        <w:t>Association</w:t>
      </w:r>
      <w:r>
        <w:tab/>
      </w:r>
      <w:r>
        <w:fldChar w:fldCharType="begin"/>
      </w:r>
      <w:r>
        <w:instrText xml:space="preserve"> PAGEREF _Toc536188633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Schedule 1 applicable to board</w:t>
      </w:r>
      <w:r>
        <w:tab/>
      </w:r>
      <w:r>
        <w:fldChar w:fldCharType="begin"/>
      </w:r>
      <w:r>
        <w:instrText xml:space="preserve"> PAGEREF _Toc536188634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Staff of </w:t>
      </w:r>
      <w:r>
        <w:t>Association</w:t>
      </w:r>
      <w:r>
        <w:tab/>
      </w:r>
      <w:r>
        <w:fldChar w:fldCharType="begin"/>
      </w:r>
      <w:r>
        <w:instrText xml:space="preserve"> PAGEREF _Toc536188635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Finance</w:t>
      </w:r>
    </w:p>
    <w:p>
      <w:pPr>
        <w:pStyle w:val="TOC8"/>
        <w:rPr>
          <w:rFonts w:asciiTheme="minorHAnsi" w:eastAsiaTheme="minorEastAsia" w:hAnsiTheme="minorHAnsi" w:cstheme="minorBidi"/>
          <w:szCs w:val="22"/>
        </w:rPr>
      </w:pPr>
      <w:r>
        <w:t>16</w:t>
      </w:r>
      <w:r>
        <w:rPr>
          <w:snapToGrid w:val="0"/>
        </w:rPr>
        <w:t>.</w:t>
      </w:r>
      <w:r>
        <w:rPr>
          <w:snapToGrid w:val="0"/>
        </w:rPr>
        <w:tab/>
        <w:t>The Fund</w:t>
      </w:r>
      <w:r>
        <w:tab/>
      </w:r>
      <w:r>
        <w:fldChar w:fldCharType="begin"/>
      </w:r>
      <w:r>
        <w:instrText xml:space="preserve"> PAGEREF _Toc536188637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Investment</w:t>
      </w:r>
      <w:r>
        <w:tab/>
      </w:r>
      <w:r>
        <w:fldChar w:fldCharType="begin"/>
      </w:r>
      <w:r>
        <w:instrText xml:space="preserve"> PAGEREF _Toc536188638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of</w:t>
      </w:r>
      <w:r>
        <w:rPr>
          <w:i/>
        </w:rPr>
        <w:t xml:space="preserve"> Financial Management Act 2006</w:t>
      </w:r>
      <w:r>
        <w:t xml:space="preserve"> and the </w:t>
      </w:r>
      <w:r>
        <w:rPr>
          <w:i/>
        </w:rPr>
        <w:t>Auditor General Act 2006</w:t>
      </w:r>
      <w:r>
        <w:tab/>
      </w:r>
      <w:r>
        <w:fldChar w:fldCharType="begin"/>
      </w:r>
      <w:r>
        <w:instrText xml:space="preserve"> PAGEREF _Toc536188639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enforcement</w:t>
      </w:r>
    </w:p>
    <w:p>
      <w:pPr>
        <w:pStyle w:val="TOC8"/>
        <w:rPr>
          <w:rFonts w:asciiTheme="minorHAnsi" w:eastAsiaTheme="minorEastAsia" w:hAnsiTheme="minorHAnsi" w:cstheme="minorBidi"/>
          <w:szCs w:val="22"/>
        </w:rPr>
      </w:pPr>
      <w:r>
        <w:t>21.</w:t>
      </w:r>
      <w:r>
        <w:tab/>
        <w:t>Preventing performance of powers and functions</w:t>
      </w:r>
      <w:r>
        <w:tab/>
      </w:r>
      <w:r>
        <w:fldChar w:fldCharType="begin"/>
      </w:r>
      <w:r>
        <w:instrText xml:space="preserve"> PAGEREF _Toc536188641 \h </w:instrText>
      </w:r>
      <w:r>
        <w:fldChar w:fldCharType="separate"/>
      </w:r>
      <w:r>
        <w:t>12</w:t>
      </w:r>
      <w:r>
        <w:fldChar w:fldCharType="end"/>
      </w:r>
    </w:p>
    <w:p>
      <w:pPr>
        <w:pStyle w:val="TOC8"/>
        <w:rPr>
          <w:rFonts w:asciiTheme="minorHAnsi" w:eastAsiaTheme="minorEastAsia" w:hAnsiTheme="minorHAnsi" w:cstheme="minorBidi"/>
          <w:szCs w:val="22"/>
        </w:rPr>
      </w:pPr>
      <w:r>
        <w:t>22.</w:t>
      </w:r>
      <w:r>
        <w:tab/>
        <w:t>False or misleading statements</w:t>
      </w:r>
      <w:r>
        <w:tab/>
      </w:r>
      <w:r>
        <w:fldChar w:fldCharType="begin"/>
      </w:r>
      <w:r>
        <w:instrText xml:space="preserve"> PAGEREF _Toc536188642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32</w:t>
      </w:r>
      <w:r>
        <w:rPr>
          <w:snapToGrid w:val="0"/>
        </w:rPr>
        <w:t>.</w:t>
      </w:r>
      <w:r>
        <w:rPr>
          <w:snapToGrid w:val="0"/>
        </w:rPr>
        <w:tab/>
        <w:t>Information and annual report</w:t>
      </w:r>
      <w:r>
        <w:tab/>
      </w:r>
      <w:r>
        <w:fldChar w:fldCharType="begin"/>
      </w:r>
      <w:r>
        <w:instrText xml:space="preserve"> PAGEREF _Toc536188644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Recovery of money</w:t>
      </w:r>
      <w:r>
        <w:tab/>
      </w:r>
      <w:r>
        <w:fldChar w:fldCharType="begin"/>
      </w:r>
      <w:r>
        <w:instrText xml:space="preserve"> PAGEREF _Toc536188645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How legal proceedings taken</w:t>
      </w:r>
      <w:r>
        <w:tab/>
      </w:r>
      <w:r>
        <w:fldChar w:fldCharType="begin"/>
      </w:r>
      <w:r>
        <w:instrText xml:space="preserve"> PAGEREF _Toc536188646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Protection from liability etc.</w:t>
      </w:r>
      <w:r>
        <w:tab/>
      </w:r>
      <w:r>
        <w:fldChar w:fldCharType="begin"/>
      </w:r>
      <w:r>
        <w:instrText xml:space="preserve"> PAGEREF _Toc536188647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Publication of proceedings, etc., of greyhound racing inquiries privileged</w:t>
      </w:r>
      <w:r>
        <w:tab/>
      </w:r>
      <w:r>
        <w:fldChar w:fldCharType="begin"/>
      </w:r>
      <w:r>
        <w:instrText xml:space="preserve"> PAGEREF _Toc536188648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_Toc536188649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VIII — Repeal, transitional and saving</w:t>
      </w:r>
    </w:p>
    <w:p>
      <w:pPr>
        <w:pStyle w:val="TOC8"/>
        <w:rPr>
          <w:rFonts w:asciiTheme="minorHAnsi" w:eastAsiaTheme="minorEastAsia" w:hAnsiTheme="minorHAnsi" w:cstheme="minorBidi"/>
          <w:szCs w:val="22"/>
        </w:rPr>
      </w:pPr>
      <w:r>
        <w:t>40</w:t>
      </w:r>
      <w:r>
        <w:rPr>
          <w:snapToGrid w:val="0"/>
        </w:rPr>
        <w:t>.</w:t>
      </w:r>
      <w:r>
        <w:rPr>
          <w:snapToGrid w:val="0"/>
        </w:rPr>
        <w:tab/>
        <w:t>Conduct of greyhound racing at Cannington race course</w:t>
      </w:r>
      <w:r>
        <w:tab/>
      </w:r>
      <w:r>
        <w:fldChar w:fldCharType="begin"/>
      </w:r>
      <w:r>
        <w:instrText xml:space="preserve"> PAGEREF _Toc536188651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board</w:t>
      </w:r>
    </w:p>
    <w:p>
      <w:pPr>
        <w:pStyle w:val="TOC8"/>
        <w:rPr>
          <w:rFonts w:asciiTheme="minorHAnsi" w:eastAsiaTheme="minorEastAsia" w:hAnsiTheme="minorHAnsi" w:cstheme="minorBidi"/>
          <w:szCs w:val="22"/>
        </w:rPr>
      </w:pPr>
      <w:r>
        <w:t>1.</w:t>
      </w:r>
      <w:r>
        <w:tab/>
        <w:t>Term of office of member</w:t>
      </w:r>
      <w:r>
        <w:tab/>
      </w:r>
      <w:r>
        <w:fldChar w:fldCharType="begin"/>
      </w:r>
      <w:r>
        <w:instrText xml:space="preserve"> PAGEREF _Toc536188653 \h </w:instrText>
      </w:r>
      <w:r>
        <w:fldChar w:fldCharType="separate"/>
      </w:r>
      <w:r>
        <w:t>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Chairman and Deputy Chairman</w:t>
      </w:r>
      <w:r>
        <w:tab/>
      </w:r>
      <w:r>
        <w:fldChar w:fldCharType="begin"/>
      </w:r>
      <w:r>
        <w:instrText xml:space="preserve"> PAGEREF _Toc536188654 \h </w:instrText>
      </w:r>
      <w:r>
        <w:fldChar w:fldCharType="separate"/>
      </w:r>
      <w:r>
        <w:t>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Meetings of the board</w:t>
      </w:r>
      <w:r>
        <w:tab/>
      </w:r>
      <w:r>
        <w:fldChar w:fldCharType="begin"/>
      </w:r>
      <w:r>
        <w:instrText xml:space="preserve"> PAGEREF _Toc536188655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w:t>
      </w:r>
      <w:r>
        <w:tab/>
      </w:r>
      <w:r>
        <w:fldChar w:fldCharType="begin"/>
      </w:r>
      <w:r>
        <w:instrText xml:space="preserve"> PAGEREF _Toc536188656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acts</w:t>
      </w:r>
      <w:r>
        <w:tab/>
      </w:r>
      <w:r>
        <w:fldChar w:fldCharType="begin"/>
      </w:r>
      <w:r>
        <w:instrText xml:space="preserve"> PAGEREF _Toc536188657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as to take</w:t>
      </w:r>
      <w:r>
        <w:noBreakHyphen/>
        <w:t>over by Association of conduct of operations at Cannington race course</w:t>
      </w:r>
    </w:p>
    <w:p>
      <w:pPr>
        <w:pStyle w:val="TOC8"/>
        <w:rPr>
          <w:rFonts w:asciiTheme="minorHAnsi" w:eastAsiaTheme="minorEastAsia" w:hAnsiTheme="minorHAnsi" w:cstheme="minorBidi"/>
          <w:szCs w:val="22"/>
        </w:rPr>
      </w:pPr>
      <w:r>
        <w:t>1</w:t>
      </w:r>
      <w:r>
        <w:rPr>
          <w:snapToGrid w:val="0"/>
        </w:rPr>
        <w:t>.</w:t>
      </w:r>
      <w:r>
        <w:rPr>
          <w:snapToGrid w:val="0"/>
        </w:rPr>
        <w:tab/>
        <w:t>Definitions of terms in this Schedule</w:t>
      </w:r>
      <w:r>
        <w:tab/>
      </w:r>
      <w:r>
        <w:fldChar w:fldCharType="begin"/>
      </w:r>
      <w:r>
        <w:instrText xml:space="preserve"> PAGEREF _Toc536188659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Lease of Cannington race course</w:t>
      </w:r>
      <w:r>
        <w:tab/>
      </w:r>
      <w:r>
        <w:fldChar w:fldCharType="begin"/>
      </w:r>
      <w:r>
        <w:instrText xml:space="preserve"> PAGEREF _Toc536188660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Termination of licence and permit</w:t>
      </w:r>
      <w:r>
        <w:tab/>
      </w:r>
      <w:r>
        <w:fldChar w:fldCharType="begin"/>
      </w:r>
      <w:r>
        <w:instrText xml:space="preserve"> PAGEREF _Toc536188661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Transfer of assets, liabilities, obligations and staff of club</w:t>
      </w:r>
      <w:r>
        <w:tab/>
      </w:r>
      <w:r>
        <w:fldChar w:fldCharType="begin"/>
      </w:r>
      <w:r>
        <w:instrText xml:space="preserve"> PAGEREF _Toc536188662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Staff</w:t>
      </w:r>
      <w:r>
        <w:tab/>
      </w:r>
      <w:r>
        <w:fldChar w:fldCharType="begin"/>
      </w:r>
      <w:r>
        <w:instrText xml:space="preserve"> PAGEREF _Toc536188663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_Toc536188665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pPr>
      <w:r>
        <w:t>Western Australian Greyhound Racing Association Act 1981</w:t>
      </w:r>
    </w:p>
    <w:p>
      <w:pPr>
        <w:pStyle w:val="LongTitle"/>
        <w:rPr>
          <w:snapToGrid w:val="0"/>
        </w:rPr>
      </w:pPr>
      <w:r>
        <w:rPr>
          <w:snapToGrid w:val="0"/>
        </w:rPr>
        <w:t>An Act relating to greyhound racing; establishing the Western Australian Greyhound Racing Association; and for incidental and other purposes.</w:t>
      </w:r>
    </w:p>
    <w:p>
      <w:pPr>
        <w:pStyle w:val="Footnotesection"/>
      </w:pPr>
      <w:r>
        <w:tab/>
        <w:t>[Long title amended: No. 23 of 1998 s. 16(1); No. 35 of 2003 s. 196.]</w:t>
      </w:r>
    </w:p>
    <w:p>
      <w:pPr>
        <w:pStyle w:val="Heading2"/>
      </w:pPr>
      <w:bookmarkStart w:id="3" w:name="_Toc379280688"/>
      <w:bookmarkStart w:id="4" w:name="_Toc424568220"/>
      <w:bookmarkStart w:id="5" w:name="_Toc53618861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80689"/>
      <w:bookmarkStart w:id="7" w:name="_Toc53618861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pPr>
        <w:pStyle w:val="Footnotesection"/>
      </w:pPr>
      <w:r>
        <w:tab/>
        <w:t>[Section 1 amended: No. 23 of 1998 s. 16(1); No. 35 of 2003 s. 197.]</w:t>
      </w:r>
    </w:p>
    <w:p>
      <w:pPr>
        <w:pStyle w:val="Heading5"/>
        <w:rPr>
          <w:snapToGrid w:val="0"/>
        </w:rPr>
      </w:pPr>
      <w:bookmarkStart w:id="8" w:name="_Toc379280690"/>
      <w:bookmarkStart w:id="9" w:name="_Toc53618862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t>Deleted: No. 35 of 2003 s. 198.]</w:t>
      </w:r>
    </w:p>
    <w:p>
      <w:pPr>
        <w:pStyle w:val="Heading5"/>
        <w:rPr>
          <w:snapToGrid w:val="0"/>
        </w:rPr>
      </w:pPr>
      <w:bookmarkStart w:id="10" w:name="_Toc379280691"/>
      <w:bookmarkStart w:id="11" w:name="_Toc536188621"/>
      <w:r>
        <w:rPr>
          <w:rStyle w:val="CharSectno"/>
        </w:rPr>
        <w:t>4</w:t>
      </w:r>
      <w:r>
        <w:rPr>
          <w:snapToGrid w:val="0"/>
        </w:rPr>
        <w:t>.</w:t>
      </w:r>
      <w:r>
        <w:rPr>
          <w:snapToGrid w:val="0"/>
        </w:rPr>
        <w:tab/>
        <w:t>Interpretation</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 No. 23 of 1998 s. 4, 16(1) and 17(1); No. 35 of 2003 s. 199 and 218.]</w:t>
      </w:r>
    </w:p>
    <w:p>
      <w:pPr>
        <w:pStyle w:val="Heading2"/>
      </w:pPr>
      <w:bookmarkStart w:id="12" w:name="_Toc379280692"/>
      <w:bookmarkStart w:id="13" w:name="_Toc424568224"/>
      <w:bookmarkStart w:id="14" w:name="_Toc536188622"/>
      <w:r>
        <w:rPr>
          <w:rStyle w:val="CharPartNo"/>
        </w:rPr>
        <w:t>Part II</w:t>
      </w:r>
      <w:r>
        <w:rPr>
          <w:rStyle w:val="CharDivNo"/>
        </w:rPr>
        <w:t> </w:t>
      </w:r>
      <w:r>
        <w:t>—</w:t>
      </w:r>
      <w:r>
        <w:rPr>
          <w:rStyle w:val="CharDivText"/>
        </w:rPr>
        <w:t> </w:t>
      </w:r>
      <w:r>
        <w:rPr>
          <w:rStyle w:val="CharPartText"/>
        </w:rPr>
        <w:t>Western Australian Greyhound Racing Association</w:t>
      </w:r>
      <w:bookmarkEnd w:id="12"/>
      <w:bookmarkEnd w:id="13"/>
      <w:bookmarkEnd w:id="14"/>
    </w:p>
    <w:p>
      <w:pPr>
        <w:pStyle w:val="Footnoteheading"/>
      </w:pPr>
      <w:r>
        <w:tab/>
        <w:t>[Heading amended: No. 23 of 1998 s. 16(1); No. 35 of 2003 s. 200.]</w:t>
      </w:r>
    </w:p>
    <w:p>
      <w:pPr>
        <w:pStyle w:val="Heading5"/>
        <w:spacing w:before="260"/>
        <w:rPr>
          <w:snapToGrid w:val="0"/>
        </w:rPr>
      </w:pPr>
      <w:bookmarkStart w:id="15" w:name="_Toc379280693"/>
      <w:bookmarkStart w:id="16" w:name="_Toc536188623"/>
      <w:r>
        <w:rPr>
          <w:rStyle w:val="CharSectno"/>
        </w:rPr>
        <w:t>5</w:t>
      </w:r>
      <w:r>
        <w:rPr>
          <w:snapToGrid w:val="0"/>
        </w:rPr>
        <w:t>.</w:t>
      </w:r>
      <w:r>
        <w:rPr>
          <w:snapToGrid w:val="0"/>
        </w:rPr>
        <w:tab/>
        <w:t xml:space="preserve">Establishment of </w:t>
      </w:r>
      <w:r>
        <w:t>Association</w:t>
      </w:r>
      <w:bookmarkEnd w:id="15"/>
      <w:bookmarkEnd w:id="16"/>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No. 23 of 1998 s. 16(1); No. 35 of 2003 s. 201 and 218.]</w:t>
      </w:r>
    </w:p>
    <w:p>
      <w:pPr>
        <w:pStyle w:val="Heading5"/>
        <w:rPr>
          <w:snapToGrid w:val="0"/>
        </w:rPr>
      </w:pPr>
      <w:bookmarkStart w:id="17" w:name="_Toc379280694"/>
      <w:bookmarkStart w:id="18" w:name="_Toc536188624"/>
      <w:r>
        <w:rPr>
          <w:rStyle w:val="CharSectno"/>
        </w:rPr>
        <w:t>6</w:t>
      </w:r>
      <w:r>
        <w:rPr>
          <w:snapToGrid w:val="0"/>
        </w:rPr>
        <w:t>.</w:t>
      </w:r>
      <w:r>
        <w:rPr>
          <w:snapToGrid w:val="0"/>
        </w:rPr>
        <w:tab/>
      </w:r>
      <w:r>
        <w:t xml:space="preserve">Association </w:t>
      </w:r>
      <w:r>
        <w:rPr>
          <w:snapToGrid w:val="0"/>
        </w:rPr>
        <w:t>does not represent the Crown</w:t>
      </w:r>
      <w:bookmarkEnd w:id="17"/>
      <w:bookmarkEnd w:id="18"/>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No. 23 of 1998 s. 16(1); No. 35 of 2003 s. 218.]</w:t>
      </w:r>
    </w:p>
    <w:p>
      <w:pPr>
        <w:pStyle w:val="Heading5"/>
        <w:rPr>
          <w:snapToGrid w:val="0"/>
        </w:rPr>
      </w:pPr>
      <w:bookmarkStart w:id="19" w:name="_Toc379280695"/>
      <w:bookmarkStart w:id="20" w:name="_Toc536188625"/>
      <w:r>
        <w:rPr>
          <w:rStyle w:val="CharSectno"/>
        </w:rPr>
        <w:t>7</w:t>
      </w:r>
      <w:r>
        <w:rPr>
          <w:snapToGrid w:val="0"/>
        </w:rPr>
        <w:t>.</w:t>
      </w:r>
      <w:r>
        <w:rPr>
          <w:snapToGrid w:val="0"/>
        </w:rPr>
        <w:tab/>
        <w:t>Functions of </w:t>
      </w:r>
      <w:r>
        <w:t>Association</w:t>
      </w:r>
      <w:bookmarkEnd w:id="19"/>
      <w:bookmarkEnd w:id="20"/>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No. 23 of 1998 s. 5 and 16(1); No. 35 of 2003 s. 202 and 218.]</w:t>
      </w:r>
    </w:p>
    <w:p>
      <w:pPr>
        <w:pStyle w:val="Heading5"/>
        <w:rPr>
          <w:b w:val="0"/>
        </w:rPr>
      </w:pPr>
      <w:bookmarkStart w:id="21" w:name="_Toc379280696"/>
      <w:bookmarkStart w:id="22" w:name="_Toc536188626"/>
      <w:r>
        <w:rPr>
          <w:rStyle w:val="CharSectno"/>
        </w:rPr>
        <w:t>7A</w:t>
      </w:r>
      <w:r>
        <w:t>.</w:t>
      </w:r>
      <w:r>
        <w:tab/>
        <w:t>Powers of the Association</w:t>
      </w:r>
      <w:bookmarkEnd w:id="21"/>
      <w:bookmarkEnd w:id="22"/>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 No. 23 of 1998 s. 6; amended: No. 35 of 2003 s. 203 and 218.]</w:t>
      </w:r>
    </w:p>
    <w:p>
      <w:pPr>
        <w:pStyle w:val="Ednotesection"/>
      </w:pPr>
      <w:r>
        <w:t>[</w:t>
      </w:r>
      <w:r>
        <w:rPr>
          <w:b/>
        </w:rPr>
        <w:t>7B.</w:t>
      </w:r>
      <w:r>
        <w:rPr>
          <w:b/>
        </w:rPr>
        <w:tab/>
      </w:r>
      <w:r>
        <w:t>Deleted: No. 35 of 2003 s. 204.]</w:t>
      </w:r>
    </w:p>
    <w:p>
      <w:pPr>
        <w:pStyle w:val="Heading5"/>
        <w:rPr>
          <w:snapToGrid w:val="0"/>
        </w:rPr>
      </w:pPr>
      <w:bookmarkStart w:id="23" w:name="_Toc379280697"/>
      <w:bookmarkStart w:id="24" w:name="_Toc536188627"/>
      <w:r>
        <w:rPr>
          <w:rStyle w:val="CharSectno"/>
        </w:rPr>
        <w:t>8</w:t>
      </w:r>
      <w:r>
        <w:rPr>
          <w:snapToGrid w:val="0"/>
        </w:rPr>
        <w:t>.</w:t>
      </w:r>
      <w:r>
        <w:rPr>
          <w:snapToGrid w:val="0"/>
        </w:rPr>
        <w:tab/>
        <w:t>Delegation</w:t>
      </w:r>
      <w:bookmarkEnd w:id="23"/>
      <w:bookmarkEnd w:id="24"/>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No. 23 of 1998 s. 7, 16(1) and 17(1); No. 35 of 2003 s. 205 and 218.]</w:t>
      </w:r>
    </w:p>
    <w:p>
      <w:pPr>
        <w:pStyle w:val="Heading2"/>
      </w:pPr>
      <w:bookmarkStart w:id="25" w:name="_Toc379280698"/>
      <w:bookmarkStart w:id="26" w:name="_Toc424568230"/>
      <w:bookmarkStart w:id="27" w:name="_Toc536188628"/>
      <w:r>
        <w:rPr>
          <w:rStyle w:val="CharPartNo"/>
        </w:rPr>
        <w:t>Part III</w:t>
      </w:r>
      <w:r>
        <w:rPr>
          <w:rStyle w:val="CharDivNo"/>
        </w:rPr>
        <w:t> </w:t>
      </w:r>
      <w:r>
        <w:t>—</w:t>
      </w:r>
      <w:r>
        <w:rPr>
          <w:rStyle w:val="CharDivText"/>
        </w:rPr>
        <w:t> </w:t>
      </w:r>
      <w:r>
        <w:rPr>
          <w:rStyle w:val="CharPartText"/>
        </w:rPr>
        <w:t>The board, Chairman, Deputy Chairman and staff of the Association</w:t>
      </w:r>
      <w:bookmarkEnd w:id="25"/>
      <w:bookmarkEnd w:id="26"/>
      <w:bookmarkEnd w:id="27"/>
    </w:p>
    <w:p>
      <w:pPr>
        <w:pStyle w:val="Footnoteheading"/>
      </w:pPr>
      <w:r>
        <w:tab/>
        <w:t>[Heading amended: No. 23 of 1998 s. 16(1) and 17(1); No. 35 of 2003 s. 200.]</w:t>
      </w:r>
    </w:p>
    <w:p>
      <w:pPr>
        <w:pStyle w:val="Heading5"/>
        <w:rPr>
          <w:snapToGrid w:val="0"/>
        </w:rPr>
      </w:pPr>
      <w:bookmarkStart w:id="28" w:name="_Toc379280699"/>
      <w:bookmarkStart w:id="29" w:name="_Toc536188629"/>
      <w:r>
        <w:rPr>
          <w:rStyle w:val="CharSectno"/>
        </w:rPr>
        <w:t>9</w:t>
      </w:r>
      <w:r>
        <w:rPr>
          <w:snapToGrid w:val="0"/>
        </w:rPr>
        <w:t>.</w:t>
      </w:r>
      <w:r>
        <w:rPr>
          <w:snapToGrid w:val="0"/>
        </w:rPr>
        <w:tab/>
        <w:t>The board</w:t>
      </w:r>
      <w:bookmarkEnd w:id="28"/>
      <w:bookmarkEnd w:id="29"/>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No. 23 of 1998 s. 16(1) and 17(1); No. 35 of 2003 s. 218.]</w:t>
      </w:r>
    </w:p>
    <w:p>
      <w:pPr>
        <w:pStyle w:val="Heading5"/>
        <w:rPr>
          <w:snapToGrid w:val="0"/>
        </w:rPr>
      </w:pPr>
      <w:bookmarkStart w:id="30" w:name="_Toc379280700"/>
      <w:bookmarkStart w:id="31" w:name="_Toc536188630"/>
      <w:r>
        <w:rPr>
          <w:rStyle w:val="CharSectno"/>
        </w:rPr>
        <w:t>10</w:t>
      </w:r>
      <w:r>
        <w:rPr>
          <w:snapToGrid w:val="0"/>
        </w:rPr>
        <w:t>.</w:t>
      </w:r>
      <w:r>
        <w:rPr>
          <w:snapToGrid w:val="0"/>
        </w:rPr>
        <w:tab/>
        <w:t>Functions, duties and powers</w:t>
      </w:r>
      <w:bookmarkEnd w:id="30"/>
      <w:bookmarkEnd w:id="31"/>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No. 23 of 1998 s. 16(1) and 17(1); No. 35 of 2003 s. 218.]</w:t>
      </w:r>
    </w:p>
    <w:p>
      <w:pPr>
        <w:pStyle w:val="Heading5"/>
        <w:rPr>
          <w:snapToGrid w:val="0"/>
        </w:rPr>
      </w:pPr>
      <w:bookmarkStart w:id="32" w:name="_Toc379280701"/>
      <w:bookmarkStart w:id="33" w:name="_Toc536188631"/>
      <w:r>
        <w:rPr>
          <w:rStyle w:val="CharSectno"/>
        </w:rPr>
        <w:t>11</w:t>
      </w:r>
      <w:r>
        <w:rPr>
          <w:snapToGrid w:val="0"/>
        </w:rPr>
        <w:t>.</w:t>
      </w:r>
      <w:r>
        <w:rPr>
          <w:snapToGrid w:val="0"/>
        </w:rPr>
        <w:tab/>
        <w:t>Board subject to Minister</w:t>
      </w:r>
      <w:bookmarkEnd w:id="32"/>
      <w:bookmarkEnd w:id="33"/>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No. 23 of 1998 s. 17(1).]</w:t>
      </w:r>
    </w:p>
    <w:p>
      <w:pPr>
        <w:pStyle w:val="Heading5"/>
        <w:rPr>
          <w:snapToGrid w:val="0"/>
        </w:rPr>
      </w:pPr>
      <w:bookmarkStart w:id="34" w:name="_Toc379280702"/>
      <w:bookmarkStart w:id="35" w:name="_Toc536188632"/>
      <w:r>
        <w:rPr>
          <w:rStyle w:val="CharSectno"/>
        </w:rPr>
        <w:t>12</w:t>
      </w:r>
      <w:r>
        <w:rPr>
          <w:snapToGrid w:val="0"/>
        </w:rPr>
        <w:t>.</w:t>
      </w:r>
      <w:r>
        <w:rPr>
          <w:snapToGrid w:val="0"/>
        </w:rPr>
        <w:tab/>
        <w:t>Composition of board</w:t>
      </w:r>
      <w:bookmarkEnd w:id="34"/>
      <w:bookmarkEnd w:id="35"/>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No. 23 of 1998 s. 17(1); No. 35 of 2003 s. 206.]</w:t>
      </w:r>
    </w:p>
    <w:p>
      <w:pPr>
        <w:pStyle w:val="Heading5"/>
        <w:rPr>
          <w:snapToGrid w:val="0"/>
        </w:rPr>
      </w:pPr>
      <w:bookmarkStart w:id="36" w:name="_Toc379280703"/>
      <w:bookmarkStart w:id="37" w:name="_Toc536188633"/>
      <w:r>
        <w:rPr>
          <w:rStyle w:val="CharSectno"/>
        </w:rPr>
        <w:t>13</w:t>
      </w:r>
      <w:r>
        <w:rPr>
          <w:snapToGrid w:val="0"/>
        </w:rPr>
        <w:t>.</w:t>
      </w:r>
      <w:r>
        <w:rPr>
          <w:snapToGrid w:val="0"/>
        </w:rPr>
        <w:tab/>
        <w:t xml:space="preserve">Chairman and Deputy Chairman of </w:t>
      </w:r>
      <w:r>
        <w:t>Association</w:t>
      </w:r>
      <w:bookmarkEnd w:id="36"/>
      <w:bookmarkEnd w:id="37"/>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No. 23 of 1998 s. 16(1) and 17(1); No. 35 of 2003 s. 207 and 218.]</w:t>
      </w:r>
    </w:p>
    <w:p>
      <w:pPr>
        <w:pStyle w:val="Heading5"/>
        <w:rPr>
          <w:snapToGrid w:val="0"/>
        </w:rPr>
      </w:pPr>
      <w:bookmarkStart w:id="38" w:name="_Toc379280704"/>
      <w:bookmarkStart w:id="39" w:name="_Toc536188634"/>
      <w:r>
        <w:rPr>
          <w:rStyle w:val="CharSectno"/>
        </w:rPr>
        <w:t>14</w:t>
      </w:r>
      <w:r>
        <w:rPr>
          <w:snapToGrid w:val="0"/>
        </w:rPr>
        <w:t>.</w:t>
      </w:r>
      <w:r>
        <w:rPr>
          <w:snapToGrid w:val="0"/>
        </w:rPr>
        <w:tab/>
        <w:t>Schedule 1 applicable to board</w:t>
      </w:r>
      <w:bookmarkEnd w:id="38"/>
      <w:bookmarkEnd w:id="39"/>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No. 23 of 1998 s. 17(1)].</w:t>
      </w:r>
    </w:p>
    <w:p>
      <w:pPr>
        <w:pStyle w:val="Heading5"/>
        <w:rPr>
          <w:snapToGrid w:val="0"/>
        </w:rPr>
      </w:pPr>
      <w:bookmarkStart w:id="40" w:name="_Toc379280705"/>
      <w:bookmarkStart w:id="41" w:name="_Toc536188635"/>
      <w:r>
        <w:rPr>
          <w:rStyle w:val="CharSectno"/>
        </w:rPr>
        <w:t>15</w:t>
      </w:r>
      <w:r>
        <w:rPr>
          <w:snapToGrid w:val="0"/>
        </w:rPr>
        <w:t>.</w:t>
      </w:r>
      <w:r>
        <w:rPr>
          <w:snapToGrid w:val="0"/>
        </w:rPr>
        <w:tab/>
        <w:t xml:space="preserve">Staff of </w:t>
      </w:r>
      <w:r>
        <w:t>Association</w:t>
      </w:r>
      <w:bookmarkEnd w:id="40"/>
      <w:bookmarkEnd w:id="41"/>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No. 32 of 1994 s. 3(2); No. 23 of 1998 s. 8 and 16(1); No. 35 of 2003 s. 208 and 218.]</w:t>
      </w:r>
    </w:p>
    <w:p>
      <w:pPr>
        <w:pStyle w:val="Heading2"/>
      </w:pPr>
      <w:bookmarkStart w:id="42" w:name="_Toc379280706"/>
      <w:bookmarkStart w:id="43" w:name="_Toc424568238"/>
      <w:bookmarkStart w:id="44" w:name="_Toc536188636"/>
      <w:r>
        <w:rPr>
          <w:rStyle w:val="CharPartNo"/>
        </w:rPr>
        <w:t>Part IV</w:t>
      </w:r>
      <w:r>
        <w:rPr>
          <w:rStyle w:val="CharDivNo"/>
        </w:rPr>
        <w:t> </w:t>
      </w:r>
      <w:r>
        <w:t>—</w:t>
      </w:r>
      <w:r>
        <w:rPr>
          <w:rStyle w:val="CharDivText"/>
        </w:rPr>
        <w:t> </w:t>
      </w:r>
      <w:r>
        <w:rPr>
          <w:rStyle w:val="CharPartText"/>
        </w:rPr>
        <w:t>Finance</w:t>
      </w:r>
      <w:bookmarkEnd w:id="42"/>
      <w:bookmarkEnd w:id="43"/>
      <w:bookmarkEnd w:id="44"/>
    </w:p>
    <w:p>
      <w:pPr>
        <w:pStyle w:val="Heading5"/>
        <w:spacing w:before="260"/>
        <w:rPr>
          <w:snapToGrid w:val="0"/>
        </w:rPr>
      </w:pPr>
      <w:bookmarkStart w:id="45" w:name="_Toc379280707"/>
      <w:bookmarkStart w:id="46" w:name="_Toc536188637"/>
      <w:r>
        <w:rPr>
          <w:rStyle w:val="CharSectno"/>
        </w:rPr>
        <w:t>16</w:t>
      </w:r>
      <w:r>
        <w:rPr>
          <w:snapToGrid w:val="0"/>
        </w:rPr>
        <w:t>.</w:t>
      </w:r>
      <w:r>
        <w:rPr>
          <w:snapToGrid w:val="0"/>
        </w:rPr>
        <w:tab/>
        <w:t>The Fund</w:t>
      </w:r>
      <w:bookmarkEnd w:id="45"/>
      <w:bookmarkEnd w:id="46"/>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No. 23 of 1998 s. 9, 16(1) and 17(1); No. 35 of 2003 s. 209 and 218.]</w:t>
      </w:r>
    </w:p>
    <w:p>
      <w:pPr>
        <w:pStyle w:val="Ednotesection"/>
        <w:spacing w:before="260"/>
        <w:ind w:left="890" w:hanging="890"/>
      </w:pPr>
      <w:r>
        <w:t>[</w:t>
      </w:r>
      <w:r>
        <w:rPr>
          <w:b/>
        </w:rPr>
        <w:t>17.</w:t>
      </w:r>
      <w:r>
        <w:rPr>
          <w:b/>
        </w:rPr>
        <w:tab/>
      </w:r>
      <w:r>
        <w:t>Deleted: No. 35 of 2003 s. 210.]</w:t>
      </w:r>
    </w:p>
    <w:p>
      <w:pPr>
        <w:pStyle w:val="Heading5"/>
        <w:spacing w:before="260"/>
        <w:rPr>
          <w:snapToGrid w:val="0"/>
        </w:rPr>
      </w:pPr>
      <w:bookmarkStart w:id="47" w:name="_Toc379280708"/>
      <w:bookmarkStart w:id="48" w:name="_Toc536188638"/>
      <w:r>
        <w:rPr>
          <w:rStyle w:val="CharSectno"/>
        </w:rPr>
        <w:t>18</w:t>
      </w:r>
      <w:r>
        <w:rPr>
          <w:snapToGrid w:val="0"/>
        </w:rPr>
        <w:t>.</w:t>
      </w:r>
      <w:r>
        <w:rPr>
          <w:snapToGrid w:val="0"/>
        </w:rPr>
        <w:tab/>
        <w:t>Investment</w:t>
      </w:r>
      <w:bookmarkEnd w:id="47"/>
      <w:bookmarkEnd w:id="48"/>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No. 23 of 1998 s. 16(1); No. 35 of 2003 s. 218.]</w:t>
      </w:r>
    </w:p>
    <w:p>
      <w:pPr>
        <w:pStyle w:val="Heading5"/>
        <w:rPr>
          <w:snapToGrid w:val="0"/>
        </w:rPr>
      </w:pPr>
      <w:bookmarkStart w:id="49" w:name="_Toc379280709"/>
      <w:bookmarkStart w:id="50" w:name="_Toc536188639"/>
      <w:r>
        <w:rPr>
          <w:rStyle w:val="CharSectno"/>
        </w:rPr>
        <w:t>19</w:t>
      </w:r>
      <w:r>
        <w:rPr>
          <w:snapToGrid w:val="0"/>
        </w:rPr>
        <w:t>.</w:t>
      </w:r>
      <w:r>
        <w:rPr>
          <w:snapToGrid w:val="0"/>
        </w:rPr>
        <w:tab/>
        <w:t>Application of</w:t>
      </w:r>
      <w:r>
        <w:rPr>
          <w:i/>
        </w:rPr>
        <w:t xml:space="preserve"> Financial Management Act 2006</w:t>
      </w:r>
      <w:r>
        <w:t xml:space="preserve"> and the </w:t>
      </w:r>
      <w:r>
        <w:rPr>
          <w:i/>
        </w:rPr>
        <w:t>Auditor General Act 2006</w:t>
      </w:r>
      <w:bookmarkEnd w:id="49"/>
      <w:bookmarkEnd w:id="50"/>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 No. 98 of 1985 s. 3; amended: No. 23 of 1998 s. 16(1); No. 35 of 2003 s. 218; No. 77 of 2006 s. 17.]</w:t>
      </w:r>
    </w:p>
    <w:p>
      <w:pPr>
        <w:pStyle w:val="Ednotesection"/>
      </w:pPr>
      <w:r>
        <w:t>[</w:t>
      </w:r>
      <w:r>
        <w:rPr>
          <w:b/>
        </w:rPr>
        <w:t>20.</w:t>
      </w:r>
      <w:r>
        <w:t xml:space="preserve"> </w:t>
      </w:r>
      <w:r>
        <w:tab/>
        <w:t>Deleted: No. 98 of 1985 s. 3.]</w:t>
      </w:r>
    </w:p>
    <w:p>
      <w:pPr>
        <w:pStyle w:val="Heading2"/>
      </w:pPr>
      <w:bookmarkStart w:id="51" w:name="_Toc379280710"/>
      <w:bookmarkStart w:id="52" w:name="_Toc424568242"/>
      <w:bookmarkStart w:id="53" w:name="_Toc536188640"/>
      <w:r>
        <w:rPr>
          <w:rStyle w:val="CharPartNo"/>
        </w:rPr>
        <w:t>Part V</w:t>
      </w:r>
      <w:r>
        <w:t xml:space="preserve"> — </w:t>
      </w:r>
      <w:r>
        <w:rPr>
          <w:rStyle w:val="CharPartText"/>
        </w:rPr>
        <w:t>Offences and enforcement</w:t>
      </w:r>
      <w:bookmarkEnd w:id="51"/>
      <w:bookmarkEnd w:id="52"/>
      <w:bookmarkEnd w:id="53"/>
    </w:p>
    <w:p>
      <w:pPr>
        <w:pStyle w:val="Footnoteheading"/>
      </w:pPr>
      <w:r>
        <w:tab/>
        <w:t>[Heading inserted: No. 23 of 1998 s. 11.]</w:t>
      </w:r>
    </w:p>
    <w:p>
      <w:pPr>
        <w:pStyle w:val="Heading5"/>
      </w:pPr>
      <w:bookmarkStart w:id="54" w:name="_Toc379280711"/>
      <w:bookmarkStart w:id="55" w:name="_Toc536188641"/>
      <w:r>
        <w:rPr>
          <w:rStyle w:val="CharSectno"/>
        </w:rPr>
        <w:t>21</w:t>
      </w:r>
      <w:r>
        <w:t>.</w:t>
      </w:r>
      <w:r>
        <w:tab/>
        <w:t>Preventing performance of powers and functions</w:t>
      </w:r>
      <w:bookmarkEnd w:id="54"/>
      <w:bookmarkEnd w:id="55"/>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No. 35 of 2003 s. 211.]</w:t>
      </w:r>
    </w:p>
    <w:p>
      <w:pPr>
        <w:pStyle w:val="Heading5"/>
      </w:pPr>
      <w:bookmarkStart w:id="56" w:name="_Toc379280712"/>
      <w:bookmarkStart w:id="57" w:name="_Toc536188642"/>
      <w:r>
        <w:rPr>
          <w:rStyle w:val="CharSectno"/>
        </w:rPr>
        <w:t>22</w:t>
      </w:r>
      <w:r>
        <w:t>.</w:t>
      </w:r>
      <w:r>
        <w:tab/>
        <w:t>False or misleading statements</w:t>
      </w:r>
      <w:bookmarkEnd w:id="56"/>
      <w:bookmarkEnd w:id="57"/>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No. 23 of 1998 s. 11; amended: No. 35 of 2003 s. 212.]</w:t>
      </w:r>
    </w:p>
    <w:p>
      <w:pPr>
        <w:pStyle w:val="Ednotesection"/>
      </w:pPr>
      <w:r>
        <w:t>[</w:t>
      </w:r>
      <w:r>
        <w:rPr>
          <w:b/>
        </w:rPr>
        <w:t>23.</w:t>
      </w:r>
      <w:r>
        <w:tab/>
        <w:t>Deleted: No. 35 of 2003 s. 213.]</w:t>
      </w:r>
    </w:p>
    <w:p>
      <w:pPr>
        <w:pStyle w:val="Ednotesection"/>
      </w:pPr>
      <w:r>
        <w:t>[</w:t>
      </w:r>
      <w:r>
        <w:rPr>
          <w:b/>
        </w:rPr>
        <w:t>24</w:t>
      </w:r>
      <w:r>
        <w:rPr>
          <w:b/>
        </w:rPr>
        <w:noBreakHyphen/>
        <w:t>26.</w:t>
      </w:r>
      <w:r>
        <w:tab/>
        <w:t>Deleted: No. 23 of 1998 s. 11.]</w:t>
      </w:r>
    </w:p>
    <w:p>
      <w:pPr>
        <w:pStyle w:val="Ednotepart"/>
      </w:pPr>
      <w:r>
        <w:t>[Part VI (s. 27</w:t>
      </w:r>
      <w:r>
        <w:noBreakHyphen/>
        <w:t>31) deleted: No. 35 of 2003 s. 214.]</w:t>
      </w:r>
    </w:p>
    <w:p>
      <w:pPr>
        <w:pStyle w:val="Heading2"/>
      </w:pPr>
      <w:bookmarkStart w:id="58" w:name="_Toc379280713"/>
      <w:bookmarkStart w:id="59" w:name="_Toc424568245"/>
      <w:bookmarkStart w:id="60" w:name="_Toc536188643"/>
      <w:r>
        <w:rPr>
          <w:rStyle w:val="CharPartNo"/>
        </w:rPr>
        <w:t>Part VII</w:t>
      </w:r>
      <w:r>
        <w:rPr>
          <w:rStyle w:val="CharDivNo"/>
        </w:rPr>
        <w:t> </w:t>
      </w:r>
      <w:r>
        <w:t>—</w:t>
      </w:r>
      <w:r>
        <w:rPr>
          <w:rStyle w:val="CharDivText"/>
        </w:rPr>
        <w:t> </w:t>
      </w:r>
      <w:r>
        <w:rPr>
          <w:rStyle w:val="CharPartText"/>
        </w:rPr>
        <w:t>Miscellaneous</w:t>
      </w:r>
      <w:bookmarkEnd w:id="58"/>
      <w:bookmarkEnd w:id="59"/>
      <w:bookmarkEnd w:id="60"/>
    </w:p>
    <w:p>
      <w:pPr>
        <w:pStyle w:val="Heading5"/>
        <w:rPr>
          <w:snapToGrid w:val="0"/>
        </w:rPr>
      </w:pPr>
      <w:bookmarkStart w:id="61" w:name="_Toc379280714"/>
      <w:bookmarkStart w:id="62" w:name="_Toc536188644"/>
      <w:r>
        <w:rPr>
          <w:rStyle w:val="CharSectno"/>
        </w:rPr>
        <w:t>32</w:t>
      </w:r>
      <w:r>
        <w:rPr>
          <w:snapToGrid w:val="0"/>
        </w:rPr>
        <w:t>.</w:t>
      </w:r>
      <w:r>
        <w:rPr>
          <w:snapToGrid w:val="0"/>
        </w:rPr>
        <w:tab/>
        <w:t>Information and annual report</w:t>
      </w:r>
      <w:bookmarkEnd w:id="61"/>
      <w:bookmarkEnd w:id="62"/>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 No. 98 of 1985 s. 3; No. 23 of 1998 s. 16(1) and 17(1); No. 35 of 2003 s. 218.]</w:t>
      </w:r>
    </w:p>
    <w:p>
      <w:pPr>
        <w:pStyle w:val="Heading5"/>
        <w:rPr>
          <w:snapToGrid w:val="0"/>
        </w:rPr>
      </w:pPr>
      <w:bookmarkStart w:id="63" w:name="_Toc379280715"/>
      <w:bookmarkStart w:id="64" w:name="_Toc536188645"/>
      <w:r>
        <w:rPr>
          <w:rStyle w:val="CharSectno"/>
        </w:rPr>
        <w:t>33</w:t>
      </w:r>
      <w:r>
        <w:rPr>
          <w:snapToGrid w:val="0"/>
        </w:rPr>
        <w:t>.</w:t>
      </w:r>
      <w:r>
        <w:rPr>
          <w:snapToGrid w:val="0"/>
        </w:rPr>
        <w:tab/>
        <w:t>Recovery of money</w:t>
      </w:r>
      <w:bookmarkEnd w:id="63"/>
      <w:bookmarkEnd w:id="64"/>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No. 23 of 1998 s. 16(1); No. 35 of 2003 s. 218.]</w:t>
      </w:r>
    </w:p>
    <w:p>
      <w:pPr>
        <w:pStyle w:val="Heading5"/>
        <w:rPr>
          <w:snapToGrid w:val="0"/>
        </w:rPr>
      </w:pPr>
      <w:bookmarkStart w:id="65" w:name="_Toc379280716"/>
      <w:bookmarkStart w:id="66" w:name="_Toc536188646"/>
      <w:r>
        <w:rPr>
          <w:rStyle w:val="CharSectno"/>
        </w:rPr>
        <w:t>34</w:t>
      </w:r>
      <w:r>
        <w:rPr>
          <w:snapToGrid w:val="0"/>
        </w:rPr>
        <w:t>.</w:t>
      </w:r>
      <w:r>
        <w:rPr>
          <w:snapToGrid w:val="0"/>
        </w:rPr>
        <w:tab/>
        <w:t>How legal proceedings taken</w:t>
      </w:r>
      <w:bookmarkEnd w:id="65"/>
      <w:bookmarkEnd w:id="66"/>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No. 23 of 1998 s. 16(1) and 17(1); No. 35 of 2003 s. 218.]</w:t>
      </w:r>
    </w:p>
    <w:p>
      <w:pPr>
        <w:pStyle w:val="Heading5"/>
        <w:rPr>
          <w:snapToGrid w:val="0"/>
        </w:rPr>
      </w:pPr>
      <w:bookmarkStart w:id="67" w:name="_Toc379280717"/>
      <w:bookmarkStart w:id="68" w:name="_Toc536188647"/>
      <w:r>
        <w:rPr>
          <w:rStyle w:val="CharSectno"/>
        </w:rPr>
        <w:t>35</w:t>
      </w:r>
      <w:r>
        <w:rPr>
          <w:snapToGrid w:val="0"/>
        </w:rPr>
        <w:t>.</w:t>
      </w:r>
      <w:r>
        <w:rPr>
          <w:snapToGrid w:val="0"/>
        </w:rPr>
        <w:tab/>
        <w:t>Protection from liability etc.</w:t>
      </w:r>
      <w:bookmarkEnd w:id="67"/>
      <w:bookmarkEnd w:id="68"/>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No. 23 of 1998 s. 12; amended: No. 35 of 2003 s. 215 and 218.]</w:t>
      </w:r>
    </w:p>
    <w:p>
      <w:pPr>
        <w:pStyle w:val="Heading5"/>
        <w:rPr>
          <w:snapToGrid w:val="0"/>
        </w:rPr>
      </w:pPr>
      <w:bookmarkStart w:id="69" w:name="_Toc379280718"/>
      <w:bookmarkStart w:id="70" w:name="_Toc536188648"/>
      <w:r>
        <w:rPr>
          <w:rStyle w:val="CharSectno"/>
        </w:rPr>
        <w:t>36</w:t>
      </w:r>
      <w:r>
        <w:rPr>
          <w:snapToGrid w:val="0"/>
        </w:rPr>
        <w:t>.</w:t>
      </w:r>
      <w:r>
        <w:rPr>
          <w:snapToGrid w:val="0"/>
        </w:rPr>
        <w:tab/>
        <w:t>Publication of proceedings, etc., of greyhound racing inquiries privileged</w:t>
      </w:r>
      <w:bookmarkEnd w:id="69"/>
      <w:bookmarkEnd w:id="70"/>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No. 23 of 1998 s. 13, 16(1), 17(1) and (2); No. 35 of 2003 s. 216.]</w:t>
      </w:r>
    </w:p>
    <w:p>
      <w:pPr>
        <w:pStyle w:val="Heading5"/>
        <w:rPr>
          <w:snapToGrid w:val="0"/>
        </w:rPr>
      </w:pPr>
      <w:bookmarkStart w:id="71" w:name="_Toc379280719"/>
      <w:bookmarkStart w:id="72" w:name="_Toc536188649"/>
      <w:r>
        <w:rPr>
          <w:rStyle w:val="CharSectno"/>
        </w:rPr>
        <w:t>37</w:t>
      </w:r>
      <w:r>
        <w:rPr>
          <w:snapToGrid w:val="0"/>
        </w:rPr>
        <w:t>.</w:t>
      </w:r>
      <w:r>
        <w:rPr>
          <w:snapToGrid w:val="0"/>
        </w:rPr>
        <w:tab/>
        <w:t>Regulations</w:t>
      </w:r>
      <w:bookmarkEnd w:id="71"/>
      <w:bookmarkEnd w:id="72"/>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 No. 23 of 1998 s. 14.]</w:t>
      </w:r>
    </w:p>
    <w:p>
      <w:pPr>
        <w:pStyle w:val="Heading2"/>
      </w:pPr>
      <w:bookmarkStart w:id="73" w:name="_Toc379280720"/>
      <w:bookmarkStart w:id="74" w:name="_Toc424568252"/>
      <w:bookmarkStart w:id="75" w:name="_Toc536188650"/>
      <w:r>
        <w:rPr>
          <w:rStyle w:val="CharPartNo"/>
        </w:rPr>
        <w:t>Part VIII</w:t>
      </w:r>
      <w:r>
        <w:rPr>
          <w:rStyle w:val="CharDivNo"/>
        </w:rPr>
        <w:t> </w:t>
      </w:r>
      <w:r>
        <w:t>—</w:t>
      </w:r>
      <w:r>
        <w:rPr>
          <w:rStyle w:val="CharDivText"/>
        </w:rPr>
        <w:t> </w:t>
      </w:r>
      <w:r>
        <w:rPr>
          <w:rStyle w:val="CharPartText"/>
        </w:rPr>
        <w:t>Repeal, transitional and saving</w:t>
      </w:r>
      <w:bookmarkEnd w:id="73"/>
      <w:bookmarkEnd w:id="74"/>
      <w:bookmarkEnd w:id="75"/>
    </w:p>
    <w:p>
      <w:pPr>
        <w:pStyle w:val="Ednotesection"/>
      </w:pPr>
      <w:r>
        <w:t>[</w:t>
      </w:r>
      <w:r>
        <w:rPr>
          <w:b/>
        </w:rPr>
        <w:t>39.</w:t>
      </w:r>
      <w:r>
        <w:tab/>
        <w:t>Omitted under the Reprints Act 1984 s. 7(4)(f).]</w:t>
      </w:r>
    </w:p>
    <w:p>
      <w:pPr>
        <w:pStyle w:val="Heading5"/>
        <w:rPr>
          <w:snapToGrid w:val="0"/>
        </w:rPr>
      </w:pPr>
      <w:bookmarkStart w:id="76" w:name="_Toc379280721"/>
      <w:bookmarkStart w:id="77" w:name="_Toc536188651"/>
      <w:r>
        <w:rPr>
          <w:rStyle w:val="CharSectno"/>
        </w:rPr>
        <w:t>40</w:t>
      </w:r>
      <w:r>
        <w:rPr>
          <w:snapToGrid w:val="0"/>
        </w:rPr>
        <w:t>.</w:t>
      </w:r>
      <w:r>
        <w:rPr>
          <w:snapToGrid w:val="0"/>
        </w:rPr>
        <w:tab/>
        <w:t>Conduct of greyhound racing at Cannington race course</w:t>
      </w:r>
      <w:bookmarkEnd w:id="76"/>
      <w:bookmarkEnd w:id="77"/>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No. 23 of 1998 s. 16(1); No. 35 of 2003 s. 218.]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8" w:name="_Toc379280722"/>
      <w:bookmarkStart w:id="79" w:name="_Toc424568254"/>
      <w:bookmarkStart w:id="80" w:name="_Toc536188652"/>
      <w:r>
        <w:rPr>
          <w:rStyle w:val="CharSchNo"/>
        </w:rPr>
        <w:t>Schedule 1</w:t>
      </w:r>
      <w:r>
        <w:t> — </w:t>
      </w:r>
      <w:r>
        <w:rPr>
          <w:rStyle w:val="CharSchText"/>
        </w:rPr>
        <w:t>Provisions as to board</w:t>
      </w:r>
      <w:bookmarkEnd w:id="78"/>
      <w:bookmarkEnd w:id="79"/>
      <w:bookmarkEnd w:id="80"/>
    </w:p>
    <w:p>
      <w:pPr>
        <w:pStyle w:val="yShoulderClause"/>
        <w:rPr>
          <w:snapToGrid w:val="0"/>
        </w:rPr>
      </w:pPr>
      <w:r>
        <w:rPr>
          <w:snapToGrid w:val="0"/>
        </w:rPr>
        <w:t>[s. 14]</w:t>
      </w:r>
    </w:p>
    <w:p>
      <w:pPr>
        <w:pStyle w:val="yFootnoteheading"/>
        <w:rPr>
          <w:snapToGrid w:val="0"/>
        </w:rPr>
      </w:pPr>
      <w:r>
        <w:rPr>
          <w:snapToGrid w:val="0"/>
        </w:rPr>
        <w:tab/>
        <w:t>[Heading amended: No. 23 of 1998 s. 17(1); No. 19 of 2010 s. 4.]</w:t>
      </w:r>
    </w:p>
    <w:p>
      <w:pPr>
        <w:pStyle w:val="yHeading5"/>
      </w:pPr>
      <w:bookmarkStart w:id="81" w:name="_Toc379280723"/>
      <w:bookmarkStart w:id="82" w:name="_Toc536188653"/>
      <w:r>
        <w:rPr>
          <w:rStyle w:val="CharSClsNo"/>
        </w:rPr>
        <w:t>1</w:t>
      </w:r>
      <w:r>
        <w:t>.</w:t>
      </w:r>
      <w:r>
        <w:tab/>
        <w:t>Term of office of member</w:t>
      </w:r>
      <w:bookmarkEnd w:id="81"/>
      <w:bookmarkEnd w:id="82"/>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 or</w:t>
      </w:r>
    </w:p>
    <w:p>
      <w:pPr>
        <w:pStyle w:val="yIndenta"/>
        <w:rPr>
          <w:snapToGrid w:val="0"/>
        </w:rPr>
      </w:pPr>
      <w:r>
        <w:rPr>
          <w:snapToGrid w:val="0"/>
        </w:rPr>
        <w:tab/>
        <w:t>(b)</w:t>
      </w:r>
      <w:r>
        <w:rPr>
          <w:snapToGrid w:val="0"/>
        </w:rPr>
        <w:tab/>
        <w:t>his appointment is terminated pursuant to subclause (3); or</w:t>
      </w:r>
    </w:p>
    <w:p>
      <w:pPr>
        <w:pStyle w:val="yIndenta"/>
      </w:pPr>
      <w:r>
        <w:tab/>
        <w:t>(c)</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he becomes permanently incapable of performing his duties as a member; or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No. 42 of 1997 s. 8; No. 23 of 1998 s. 17(1); No. 35 of 2003 s. 217(1); No. 18 of 2009 s. 91.]</w:t>
      </w:r>
    </w:p>
    <w:p>
      <w:pPr>
        <w:pStyle w:val="yHeading5"/>
        <w:rPr>
          <w:snapToGrid w:val="0"/>
        </w:rPr>
      </w:pPr>
      <w:bookmarkStart w:id="83" w:name="_Toc379280724"/>
      <w:bookmarkStart w:id="84" w:name="_Toc536188654"/>
      <w:r>
        <w:rPr>
          <w:rStyle w:val="CharSClsNo"/>
        </w:rPr>
        <w:t>2</w:t>
      </w:r>
      <w:r>
        <w:rPr>
          <w:snapToGrid w:val="0"/>
        </w:rPr>
        <w:t>.</w:t>
      </w:r>
      <w:r>
        <w:rPr>
          <w:snapToGrid w:val="0"/>
        </w:rPr>
        <w:tab/>
        <w:t>Term of office of Chairman and Deputy Chairman</w:t>
      </w:r>
      <w:bookmarkEnd w:id="83"/>
      <w:bookmarkEnd w:id="84"/>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85" w:name="_Toc379280725"/>
      <w:bookmarkStart w:id="86" w:name="_Toc536188655"/>
      <w:r>
        <w:rPr>
          <w:rStyle w:val="CharSClsNo"/>
        </w:rPr>
        <w:t>3</w:t>
      </w:r>
      <w:r>
        <w:rPr>
          <w:snapToGrid w:val="0"/>
        </w:rPr>
        <w:t>.</w:t>
      </w:r>
      <w:r>
        <w:rPr>
          <w:snapToGrid w:val="0"/>
        </w:rPr>
        <w:tab/>
        <w:t>Meetings of the board</w:t>
      </w:r>
      <w:bookmarkEnd w:id="85"/>
      <w:bookmarkEnd w:id="86"/>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r>
        <w:tab/>
        <w:t>[Clause 3 amended: No. 23 of 1998 s. 15 and 17(1).]</w:t>
      </w:r>
    </w:p>
    <w:p>
      <w:pPr>
        <w:pStyle w:val="yHeading5"/>
        <w:rPr>
          <w:snapToGrid w:val="0"/>
        </w:rPr>
      </w:pPr>
      <w:bookmarkStart w:id="87" w:name="_Toc379280726"/>
      <w:bookmarkStart w:id="88" w:name="_Toc536188656"/>
      <w:r>
        <w:rPr>
          <w:rStyle w:val="CharSClsNo"/>
        </w:rPr>
        <w:t>4</w:t>
      </w:r>
      <w:r>
        <w:rPr>
          <w:snapToGrid w:val="0"/>
        </w:rPr>
        <w:t>.</w:t>
      </w:r>
      <w:r>
        <w:rPr>
          <w:snapToGrid w:val="0"/>
        </w:rPr>
        <w:tab/>
        <w:t>Remuneration</w:t>
      </w:r>
      <w:bookmarkEnd w:id="87"/>
      <w:bookmarkEnd w:id="88"/>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r>
        <w:tab/>
        <w:t>[Clause 4 amended: No. 32 of 1994 s. 3; No. 35 of 2003 s. 217(2).]</w:t>
      </w:r>
    </w:p>
    <w:p>
      <w:pPr>
        <w:pStyle w:val="yHeading5"/>
        <w:rPr>
          <w:snapToGrid w:val="0"/>
        </w:rPr>
      </w:pPr>
      <w:bookmarkStart w:id="89" w:name="_Toc379280727"/>
      <w:bookmarkStart w:id="90" w:name="_Toc536188657"/>
      <w:r>
        <w:rPr>
          <w:rStyle w:val="CharSClsNo"/>
        </w:rPr>
        <w:t>5</w:t>
      </w:r>
      <w:r>
        <w:rPr>
          <w:snapToGrid w:val="0"/>
        </w:rPr>
        <w:t>.</w:t>
      </w:r>
      <w:r>
        <w:rPr>
          <w:snapToGrid w:val="0"/>
        </w:rPr>
        <w:tab/>
        <w:t>Validity of acts</w:t>
      </w:r>
      <w:bookmarkEnd w:id="89"/>
      <w:bookmarkEnd w:id="90"/>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No. 23 of 1998 s. 17(1).]</w:t>
      </w:r>
    </w:p>
    <w:p>
      <w:pPr>
        <w:pStyle w:val="yEdnotesection"/>
      </w:pPr>
      <w:r>
        <w:t>[Schedule 2 omitted under the Reprints Act 1984 s. 7(4)(e).]</w:t>
      </w:r>
    </w:p>
    <w:p>
      <w:pPr>
        <w:pStyle w:val="yScheduleHeading"/>
      </w:pPr>
      <w:bookmarkStart w:id="91" w:name="_Toc379280728"/>
      <w:bookmarkStart w:id="92" w:name="_Toc424568260"/>
      <w:bookmarkStart w:id="93" w:name="_Toc536188658"/>
      <w:r>
        <w:rPr>
          <w:rStyle w:val="CharSchNo"/>
        </w:rPr>
        <w:t>Schedule 3</w:t>
      </w:r>
      <w:r>
        <w:t> — </w:t>
      </w:r>
      <w:r>
        <w:rPr>
          <w:rStyle w:val="CharSchText"/>
        </w:rPr>
        <w:t>Provisions as to take</w:t>
      </w:r>
      <w:r>
        <w:rPr>
          <w:rStyle w:val="CharSchText"/>
        </w:rPr>
        <w:noBreakHyphen/>
        <w:t>over by Association of conduct of operations at Cannington race course</w:t>
      </w:r>
      <w:bookmarkEnd w:id="91"/>
      <w:bookmarkEnd w:id="92"/>
      <w:bookmarkEnd w:id="93"/>
    </w:p>
    <w:p>
      <w:pPr>
        <w:pStyle w:val="yShoulderClause"/>
        <w:rPr>
          <w:snapToGrid w:val="0"/>
        </w:rPr>
      </w:pPr>
      <w:r>
        <w:rPr>
          <w:snapToGrid w:val="0"/>
        </w:rPr>
        <w:t>[s. 40]</w:t>
      </w:r>
    </w:p>
    <w:p>
      <w:pPr>
        <w:pStyle w:val="yFootnoteheading"/>
        <w:rPr>
          <w:rStyle w:val="CharSClsNo"/>
        </w:rPr>
      </w:pPr>
      <w:r>
        <w:tab/>
        <w:t>[Heading amended: No. 19 of 2010 s. 4.]</w:t>
      </w:r>
    </w:p>
    <w:p>
      <w:pPr>
        <w:pStyle w:val="yHeading5"/>
        <w:rPr>
          <w:snapToGrid w:val="0"/>
        </w:rPr>
      </w:pPr>
      <w:bookmarkStart w:id="94" w:name="_Toc379280729"/>
      <w:bookmarkStart w:id="95" w:name="_Toc536188659"/>
      <w:r>
        <w:rPr>
          <w:rStyle w:val="CharSClsNo"/>
        </w:rPr>
        <w:t>1</w:t>
      </w:r>
      <w:r>
        <w:rPr>
          <w:snapToGrid w:val="0"/>
        </w:rPr>
        <w:t>.</w:t>
      </w:r>
      <w:r>
        <w:rPr>
          <w:snapToGrid w:val="0"/>
        </w:rPr>
        <w:tab/>
        <w:t>Definitions of terms in this Schedule</w:t>
      </w:r>
      <w:bookmarkEnd w:id="94"/>
      <w:bookmarkEnd w:id="95"/>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96" w:name="_Toc379280730"/>
      <w:bookmarkStart w:id="97" w:name="_Toc536188660"/>
      <w:r>
        <w:rPr>
          <w:rStyle w:val="CharSClsNo"/>
        </w:rPr>
        <w:t>2</w:t>
      </w:r>
      <w:r>
        <w:rPr>
          <w:snapToGrid w:val="0"/>
        </w:rPr>
        <w:t>.</w:t>
      </w:r>
      <w:r>
        <w:rPr>
          <w:snapToGrid w:val="0"/>
        </w:rPr>
        <w:tab/>
        <w:t>Lease of Cannington race course</w:t>
      </w:r>
      <w:bookmarkEnd w:id="96"/>
      <w:bookmarkEnd w:id="97"/>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98" w:name="_Toc379280731"/>
      <w:bookmarkStart w:id="99" w:name="_Toc536188661"/>
      <w:r>
        <w:rPr>
          <w:rStyle w:val="CharSClsNo"/>
        </w:rPr>
        <w:t>3</w:t>
      </w:r>
      <w:r>
        <w:rPr>
          <w:snapToGrid w:val="0"/>
        </w:rPr>
        <w:t>.</w:t>
      </w:r>
      <w:r>
        <w:rPr>
          <w:snapToGrid w:val="0"/>
        </w:rPr>
        <w:tab/>
        <w:t>Termination of licence and permit</w:t>
      </w:r>
      <w:bookmarkEnd w:id="98"/>
      <w:bookmarkEnd w:id="99"/>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100" w:name="_Toc379280732"/>
      <w:bookmarkStart w:id="101" w:name="_Toc536188662"/>
      <w:r>
        <w:rPr>
          <w:rStyle w:val="CharSClsNo"/>
        </w:rPr>
        <w:t>4</w:t>
      </w:r>
      <w:r>
        <w:rPr>
          <w:snapToGrid w:val="0"/>
        </w:rPr>
        <w:t>.</w:t>
      </w:r>
      <w:r>
        <w:rPr>
          <w:snapToGrid w:val="0"/>
        </w:rPr>
        <w:tab/>
        <w:t>Transfer of assets, liabilities, obligations and staff of club</w:t>
      </w:r>
      <w:bookmarkEnd w:id="100"/>
      <w:bookmarkEnd w:id="101"/>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102" w:name="_Toc379280733"/>
      <w:bookmarkStart w:id="103" w:name="_Toc536188663"/>
      <w:r>
        <w:rPr>
          <w:rStyle w:val="CharSClsNo"/>
        </w:rPr>
        <w:t>5</w:t>
      </w:r>
      <w:r>
        <w:rPr>
          <w:snapToGrid w:val="0"/>
        </w:rPr>
        <w:t>.</w:t>
      </w:r>
      <w:r>
        <w:rPr>
          <w:snapToGrid w:val="0"/>
        </w:rPr>
        <w:tab/>
        <w:t>Staff</w:t>
      </w:r>
      <w:bookmarkEnd w:id="102"/>
      <w:bookmarkEnd w:id="103"/>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05" w:name="_Toc379280734"/>
      <w:bookmarkStart w:id="106" w:name="_Toc424568266"/>
      <w:bookmarkStart w:id="107" w:name="_Toc536188664"/>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pPr>
        <w:pStyle w:val="nHeading3"/>
      </w:pPr>
      <w:bookmarkStart w:id="108" w:name="_Toc379280735"/>
      <w:bookmarkStart w:id="109" w:name="_Toc536188665"/>
      <w:r>
        <w:t>Compilation table</w:t>
      </w:r>
      <w:bookmarkEnd w:id="108"/>
      <w:bookmarkEnd w:id="109"/>
    </w:p>
    <w:tbl>
      <w:tblPr>
        <w:tblW w:w="0" w:type="auto"/>
        <w:tblInd w:w="56" w:type="dxa"/>
        <w:tblLayout w:type="fixed"/>
        <w:tblCellMar>
          <w:left w:w="56" w:type="dxa"/>
          <w:right w:w="56" w:type="dxa"/>
        </w:tblCellMar>
        <w:tblLook w:val="0000" w:firstRow="0" w:lastRow="0" w:firstColumn="0" w:lastColumn="0" w:noHBand="0" w:noVBand="0"/>
      </w:tblPr>
      <w:tblGrid>
        <w:gridCol w:w="2269"/>
        <w:gridCol w:w="13"/>
        <w:gridCol w:w="1106"/>
        <w:gridCol w:w="15"/>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2269" w:type="dxa"/>
            <w:tcBorders>
              <w:top w:val="single" w:sz="8" w:space="0" w:color="auto"/>
            </w:tcBorders>
          </w:tcPr>
          <w:p>
            <w:pPr>
              <w:pStyle w:val="nTable"/>
              <w:spacing w:after="40"/>
              <w:rPr>
                <w:iCs/>
              </w:rPr>
            </w:pPr>
            <w:r>
              <w:rPr>
                <w:i/>
              </w:rPr>
              <w:t>Western Australian Greyhound Racing Association Act 1981</w:t>
            </w:r>
            <w:r>
              <w:rPr>
                <w:iCs/>
                <w:vertAlign w:val="superscript"/>
              </w:rPr>
              <w:t> 6</w:t>
            </w:r>
          </w:p>
        </w:tc>
        <w:tc>
          <w:tcPr>
            <w:tcW w:w="1134" w:type="dxa"/>
            <w:gridSpan w:val="3"/>
            <w:tcBorders>
              <w:top w:val="single" w:sz="8" w:space="0" w:color="auto"/>
            </w:tcBorders>
          </w:tcPr>
          <w:p>
            <w:pPr>
              <w:pStyle w:val="nTable"/>
              <w:spacing w:after="40"/>
            </w:pPr>
            <w:r>
              <w:t>10 of 1981</w:t>
            </w:r>
          </w:p>
        </w:tc>
        <w:tc>
          <w:tcPr>
            <w:tcW w:w="1134" w:type="dxa"/>
            <w:tcBorders>
              <w:top w:val="single" w:sz="8" w:space="0" w:color="auto"/>
            </w:tcBorders>
          </w:tcPr>
          <w:p>
            <w:pPr>
              <w:pStyle w:val="nTable"/>
              <w:spacing w:after="40"/>
            </w:pPr>
            <w:r>
              <w:t>22 May 1981</w:t>
            </w:r>
          </w:p>
        </w:tc>
        <w:tc>
          <w:tcPr>
            <w:tcW w:w="2551" w:type="dxa"/>
            <w:tcBorders>
              <w:top w:val="single" w:sz="8" w:space="0" w:color="auto"/>
            </w:tcBorders>
          </w:tcPr>
          <w:p>
            <w:pPr>
              <w:pStyle w:val="nTable"/>
              <w:spacing w:after="40"/>
            </w:pPr>
            <w:r>
              <w:t xml:space="preserve">15 Jun 1981 (see s. 2 and </w:t>
            </w:r>
            <w:r>
              <w:rPr>
                <w:i/>
              </w:rPr>
              <w:t xml:space="preserve">Gazette </w:t>
            </w:r>
            <w:r>
              <w:t>12 Jun 1981 p. 2048)</w:t>
            </w:r>
          </w:p>
        </w:tc>
      </w:tr>
      <w:tr>
        <w:trPr>
          <w:gridAfter w:val="1"/>
          <w:wAfter w:w="9" w:type="dxa"/>
          <w:cantSplit/>
        </w:trPr>
        <w:tc>
          <w:tcPr>
            <w:tcW w:w="2269" w:type="dxa"/>
          </w:tcPr>
          <w:p>
            <w:pPr>
              <w:pStyle w:val="nTable"/>
              <w:spacing w:after="40"/>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After w:val="1"/>
          <w:wAfter w:w="9" w:type="dxa"/>
          <w:cantSplit/>
        </w:trPr>
        <w:tc>
          <w:tcPr>
            <w:tcW w:w="2269" w:type="dxa"/>
          </w:tcPr>
          <w:p>
            <w:pPr>
              <w:pStyle w:val="nTable"/>
              <w:spacing w:after="40"/>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9" w:type="dxa"/>
          <w:cantSplit/>
        </w:trPr>
        <w:tc>
          <w:tcPr>
            <w:tcW w:w="2269" w:type="dxa"/>
          </w:tcPr>
          <w:p>
            <w:pPr>
              <w:pStyle w:val="nTable"/>
              <w:spacing w:after="40"/>
            </w:pPr>
            <w:r>
              <w:rPr>
                <w:i/>
              </w:rPr>
              <w:t>Equal Opportunity Amendment Act (No. 3) 1997</w:t>
            </w:r>
            <w:r>
              <w:t xml:space="preserve"> s. 8</w:t>
            </w:r>
          </w:p>
        </w:tc>
        <w:tc>
          <w:tcPr>
            <w:tcW w:w="1134" w:type="dxa"/>
            <w:gridSpan w:val="3"/>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 2(1))</w:t>
            </w:r>
          </w:p>
        </w:tc>
      </w:tr>
      <w:tr>
        <w:trPr>
          <w:gridAfter w:val="1"/>
          <w:wAfter w:w="9" w:type="dxa"/>
          <w:cantSplit/>
        </w:trPr>
        <w:tc>
          <w:tcPr>
            <w:tcW w:w="2269" w:type="dxa"/>
          </w:tcPr>
          <w:p>
            <w:pPr>
              <w:pStyle w:val="nTable"/>
              <w:spacing w:after="40"/>
            </w:pPr>
            <w:r>
              <w:rPr>
                <w:i/>
              </w:rPr>
              <w:t>Western Australian Greyhound Racing Association Amendment Act 1998</w:t>
            </w:r>
            <w:r>
              <w:t xml:space="preserve"> </w:t>
            </w:r>
            <w:r>
              <w:rPr>
                <w:vertAlign w:val="superscript"/>
              </w:rPr>
              <w:t>2, 3, 4</w:t>
            </w:r>
          </w:p>
        </w:tc>
        <w:tc>
          <w:tcPr>
            <w:tcW w:w="1134" w:type="dxa"/>
            <w:gridSpan w:val="3"/>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gridAfter w:val="1"/>
          <w:wAfter w:w="9" w:type="dxa"/>
          <w:cantSplit/>
        </w:trPr>
        <w:tc>
          <w:tcPr>
            <w:tcW w:w="7088" w:type="dxa"/>
            <w:gridSpan w:val="6"/>
          </w:tcPr>
          <w:p>
            <w:pPr>
              <w:pStyle w:val="nTable"/>
              <w:spacing w:after="40"/>
            </w:pPr>
            <w:r>
              <w:rPr>
                <w:b/>
              </w:rPr>
              <w:t xml:space="preserve">Reprint of the </w:t>
            </w:r>
            <w:r>
              <w:rPr>
                <w:b/>
                <w:i/>
              </w:rPr>
              <w:t xml:space="preserve">Western Australian Greyhound Racing Authority Act 1981 </w:t>
            </w:r>
            <w:r>
              <w:rPr>
                <w:b/>
              </w:rPr>
              <w:t>as at 1 Jan 1999</w:t>
            </w:r>
            <w:r>
              <w:t xml:space="preserve"> (includes amendments listed above)</w:t>
            </w:r>
          </w:p>
        </w:tc>
      </w:tr>
      <w:tr>
        <w:trPr>
          <w:gridAfter w:val="1"/>
          <w:wAfter w:w="9" w:type="dxa"/>
          <w:cantSplit/>
        </w:trPr>
        <w:tc>
          <w:tcPr>
            <w:tcW w:w="2269" w:type="dxa"/>
          </w:tcPr>
          <w:p>
            <w:pPr>
              <w:pStyle w:val="nTable"/>
              <w:spacing w:after="40"/>
              <w:rPr>
                <w:i/>
              </w:rPr>
            </w:pPr>
            <w:r>
              <w:rPr>
                <w:i/>
              </w:rPr>
              <w:t>Statutes (Repeals and Minor Amendments) Act 2000</w:t>
            </w:r>
            <w:r>
              <w:t xml:space="preserve"> s. 46</w:t>
            </w:r>
          </w:p>
        </w:tc>
        <w:tc>
          <w:tcPr>
            <w:tcW w:w="1134" w:type="dxa"/>
            <w:gridSpan w:val="3"/>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gridAfter w:val="1"/>
          <w:wAfter w:w="9" w:type="dxa"/>
          <w:cantSplit/>
        </w:trPr>
        <w:tc>
          <w:tcPr>
            <w:tcW w:w="2269" w:type="dxa"/>
          </w:tcPr>
          <w:p>
            <w:pPr>
              <w:pStyle w:val="nTable"/>
              <w:spacing w:after="40"/>
              <w:rPr>
                <w:i/>
              </w:rPr>
            </w:pPr>
            <w:r>
              <w:rPr>
                <w:i/>
              </w:rPr>
              <w:t>Racing and Gambling Legislation Amendment and Repeal Act 2003</w:t>
            </w:r>
            <w:r>
              <w:t xml:space="preserve"> Pt. 12 Div. 1</w:t>
            </w:r>
            <w:r>
              <w:rPr>
                <w:vertAlign w:val="superscript"/>
              </w:rPr>
              <w:t> 5</w:t>
            </w:r>
          </w:p>
        </w:tc>
        <w:tc>
          <w:tcPr>
            <w:tcW w:w="1134" w:type="dxa"/>
            <w:gridSpan w:val="3"/>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195</w:t>
            </w:r>
            <w:r>
              <w:noBreakHyphen/>
              <w:t>206, 207(1)(a) and (2), 208</w:t>
            </w:r>
            <w:r>
              <w:noBreakHyphen/>
              <w:t xml:space="preserve">218: 1 Aug 2003 (see s. 2 and </w:t>
            </w:r>
            <w:r>
              <w:rPr>
                <w:i/>
              </w:rPr>
              <w:t>Gazette</w:t>
            </w:r>
            <w:r>
              <w:t xml:space="preserve"> 29 Jul 2003 p. 3259);</w:t>
            </w:r>
            <w:r>
              <w:br/>
              <w:t xml:space="preserve">s. 207(1)(b): 30 Jan 2004 (see s. 2 and </w:t>
            </w:r>
            <w:r>
              <w:rPr>
                <w:i/>
              </w:rPr>
              <w:t>Gazette</w:t>
            </w:r>
            <w:r>
              <w:t xml:space="preserve"> 30 Jan 2004 p. 397)</w:t>
            </w:r>
          </w:p>
        </w:tc>
      </w:tr>
      <w:tr>
        <w:trPr>
          <w:gridAfter w:val="1"/>
          <w:wAfter w:w="9" w:type="dxa"/>
          <w:cantSplit/>
        </w:trPr>
        <w:tc>
          <w:tcPr>
            <w:tcW w:w="7088" w:type="dxa"/>
            <w:gridSpan w:val="6"/>
          </w:tcPr>
          <w:p>
            <w:pPr>
              <w:pStyle w:val="nTable"/>
              <w:spacing w:after="40"/>
            </w:pPr>
            <w:r>
              <w:rPr>
                <w:b/>
              </w:rPr>
              <w:t xml:space="preserve">Reprint 2: The </w:t>
            </w:r>
            <w:r>
              <w:rPr>
                <w:b/>
                <w:i/>
              </w:rPr>
              <w:t xml:space="preserve">Western Australian Greyhound Racing Association Act 1981 </w:t>
            </w:r>
            <w:r>
              <w:rPr>
                <w:b/>
              </w:rPr>
              <w:t>as at 10 Feb 2006</w:t>
            </w:r>
            <w:r>
              <w:t xml:space="preserve"> (includes amendments listed above)</w:t>
            </w:r>
          </w:p>
        </w:tc>
      </w:tr>
      <w:tr>
        <w:trPr>
          <w:gridAfter w:val="1"/>
          <w:wAfter w:w="9" w:type="dxa"/>
          <w:cantSplit/>
        </w:trPr>
        <w:tc>
          <w:tcPr>
            <w:tcW w:w="2269" w:type="dxa"/>
          </w:tcPr>
          <w:p>
            <w:pPr>
              <w:pStyle w:val="nTable"/>
              <w:spacing w:after="40"/>
              <w:rPr>
                <w:i/>
              </w:rPr>
            </w:pPr>
            <w:r>
              <w:rPr>
                <w:i/>
              </w:rPr>
              <w:t>Financial Legislation Amendment and Repeal Act 2006</w:t>
            </w:r>
            <w:r>
              <w:t xml:space="preserve"> s. 17</w:t>
            </w:r>
          </w:p>
        </w:tc>
        <w:tc>
          <w:tcPr>
            <w:tcW w:w="1134" w:type="dxa"/>
            <w:gridSpan w:val="3"/>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91</w:t>
            </w:r>
          </w:p>
        </w:tc>
        <w:tc>
          <w:tcPr>
            <w:tcW w:w="1134" w:type="dxa"/>
            <w:gridSpan w:val="3"/>
          </w:tcPr>
          <w:p>
            <w:pPr>
              <w:pStyle w:val="nTable"/>
              <w:spacing w:after="40"/>
            </w:pPr>
            <w:r>
              <w:t>18 of 2009</w:t>
            </w:r>
          </w:p>
        </w:tc>
        <w:tc>
          <w:tcPr>
            <w:tcW w:w="1134" w:type="dxa"/>
          </w:tcPr>
          <w:p>
            <w:pPr>
              <w:pStyle w:val="nTable"/>
              <w:spacing w:after="40"/>
            </w:pPr>
            <w:r>
              <w:t>16 Sep 2009</w:t>
            </w:r>
          </w:p>
        </w:tc>
        <w:tc>
          <w:tcPr>
            <w:tcW w:w="2560" w:type="dxa"/>
            <w:gridSpan w:val="2"/>
          </w:tcPr>
          <w:p>
            <w:pPr>
              <w:pStyle w:val="nTable"/>
              <w:spacing w:after="40"/>
            </w:pPr>
            <w:r>
              <w:t>17 Sep 2009 (see s. 2(b))</w:t>
            </w:r>
          </w:p>
        </w:tc>
      </w:tr>
      <w:tr>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06" w:type="dxa"/>
            <w:tcBorders>
              <w:bottom w:val="single" w:sz="4" w:space="0" w:color="auto"/>
            </w:tcBorders>
          </w:tcPr>
          <w:p>
            <w:pPr>
              <w:pStyle w:val="nTable"/>
              <w:spacing w:after="40"/>
              <w:rPr>
                <w:snapToGrid w:val="0"/>
              </w:rPr>
            </w:pPr>
            <w:r>
              <w:rPr>
                <w:snapToGrid w:val="0"/>
              </w:rPr>
              <w:t>19 of 2010</w:t>
            </w:r>
          </w:p>
        </w:tc>
        <w:tc>
          <w:tcPr>
            <w:tcW w:w="1149" w:type="dxa"/>
            <w:gridSpan w:val="2"/>
            <w:tcBorders>
              <w:bottom w:val="single" w:sz="4" w:space="0" w:color="auto"/>
            </w:tcBorders>
          </w:tcPr>
          <w:p>
            <w:pPr>
              <w:pStyle w:val="nTable"/>
              <w:spacing w:after="40"/>
              <w:rPr>
                <w:snapToGrid w:val="0"/>
              </w:rPr>
            </w:pPr>
            <w:r>
              <w:rPr>
                <w:snapToGrid w:val="0"/>
              </w:rPr>
              <w:t>28 Jun 2010</w:t>
            </w:r>
          </w:p>
        </w:tc>
        <w:tc>
          <w:tcPr>
            <w:tcW w:w="2560"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r>
        <w:rPr>
          <w:rStyle w:val="CharSectno"/>
        </w:rPr>
        <w:t>3</w:t>
      </w:r>
      <w:r>
        <w:t>.</w:t>
      </w:r>
      <w:r>
        <w:tab/>
        <w:t>Definitions</w:t>
      </w:r>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r>
        <w:rPr>
          <w:rStyle w:val="CharSectno"/>
        </w:rPr>
        <w:t>4</w:t>
      </w:r>
      <w:r>
        <w:t>.</w:t>
      </w:r>
      <w:r>
        <w:tab/>
        <w:t>Definitions</w:t>
      </w:r>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r>
        <w:rPr>
          <w:rStyle w:val="CharSectno"/>
        </w:rPr>
        <w:t>5</w:t>
      </w:r>
      <w:r>
        <w:t>.</w:t>
      </w:r>
      <w:r>
        <w:tab/>
        <w:t>First appointments to the board</w:t>
      </w:r>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r>
        <w:rPr>
          <w:rStyle w:val="CharSectno"/>
        </w:rPr>
        <w:t>6</w:t>
      </w:r>
      <w:r>
        <w:t>.</w:t>
      </w:r>
      <w:r>
        <w:tab/>
        <w:t>Acting CEO</w:t>
      </w:r>
    </w:p>
    <w:p>
      <w:pPr>
        <w:pStyle w:val="nzSubsection"/>
      </w:pPr>
      <w:r>
        <w:tab/>
      </w:r>
      <w:r>
        <w:tab/>
        <w:t>The Minister may appoint a person to act in the office of CEO under section 20 of the RWWA Act during the period before the board first appoints a CEO under that section.</w:t>
      </w:r>
    </w:p>
    <w:p>
      <w:pPr>
        <w:pStyle w:val="nzHeading5"/>
      </w:pPr>
      <w:r>
        <w:rPr>
          <w:rStyle w:val="CharSectno"/>
        </w:rPr>
        <w:t>7</w:t>
      </w:r>
      <w:r>
        <w:t>.</w:t>
      </w:r>
      <w:r>
        <w:tab/>
        <w:t>RWWA not to exercise gambling functions until appointed day</w:t>
      </w:r>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r>
        <w:rPr>
          <w:rStyle w:val="CharSectno"/>
        </w:rPr>
        <w:t>8</w:t>
      </w:r>
      <w:r>
        <w:t>.</w:t>
      </w:r>
      <w:r>
        <w:tab/>
        <w:t>Strategic development plan</w:t>
      </w:r>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r>
        <w:rPr>
          <w:rStyle w:val="CharSectno"/>
        </w:rPr>
        <w:t>9</w:t>
      </w:r>
      <w:r>
        <w:t>.</w:t>
      </w:r>
      <w:r>
        <w:tab/>
        <w:t>Statement of corporate intent</w:t>
      </w:r>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r>
        <w:rPr>
          <w:rStyle w:val="CharSectno"/>
        </w:rPr>
        <w:t>10</w:t>
      </w:r>
      <w:r>
        <w:t>.</w:t>
      </w:r>
      <w:r>
        <w:tab/>
        <w:t>Borrowing limits</w:t>
      </w:r>
    </w:p>
    <w:p>
      <w:pPr>
        <w:pStyle w:val="nzSubsection"/>
      </w:pPr>
      <w:r>
        <w:tab/>
      </w:r>
      <w:r>
        <w:tab/>
        <w:t>The first monetary limits under section 98 of the RWWA Act are to be determined in relation to the first financial year of RWWA to start on or after commencement day.</w:t>
      </w:r>
    </w:p>
    <w:p>
      <w:pPr>
        <w:pStyle w:val="nzHeading5"/>
      </w:pPr>
      <w:r>
        <w:rPr>
          <w:rStyle w:val="CharSectno"/>
        </w:rPr>
        <w:t>11</w:t>
      </w:r>
      <w:r>
        <w:t>.</w:t>
      </w:r>
      <w:r>
        <w:tab/>
        <w:t>Rules of racing — continuation and expiry</w:t>
      </w:r>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r>
        <w:rPr>
          <w:rStyle w:val="CharSectno"/>
        </w:rPr>
        <w:t>12</w:t>
      </w:r>
      <w:r>
        <w:t>.</w:t>
      </w:r>
      <w:r>
        <w:tab/>
        <w:t>Licences, permits, approvals and registrations</w:t>
      </w:r>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r>
        <w:rPr>
          <w:rStyle w:val="CharSectno"/>
        </w:rPr>
        <w:t>13</w:t>
      </w:r>
      <w:r>
        <w:t>.</w:t>
      </w:r>
      <w:r>
        <w:tab/>
        <w:t>Appointment of stewards and other officials</w:t>
      </w:r>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r>
        <w:rPr>
          <w:rStyle w:val="CharSectno"/>
        </w:rPr>
        <w:t>14</w:t>
      </w:r>
      <w:r>
        <w:t>.</w:t>
      </w:r>
      <w:r>
        <w:tab/>
        <w:t>Race meetings</w:t>
      </w:r>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r>
        <w:rPr>
          <w:rStyle w:val="CharSectno"/>
        </w:rPr>
        <w:t>15</w:t>
      </w:r>
      <w:r>
        <w:t>.</w:t>
      </w:r>
      <w:r>
        <w:tab/>
        <w:t>Appeals</w:t>
      </w:r>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r>
        <w:rPr>
          <w:rStyle w:val="CharSectno"/>
        </w:rPr>
        <w:t>16</w:t>
      </w:r>
      <w:r>
        <w:t>.</w:t>
      </w:r>
      <w:r>
        <w:tab/>
        <w:t>TAB Sports Betting Account</w:t>
      </w:r>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r>
        <w:rPr>
          <w:rStyle w:val="CharSectno"/>
        </w:rPr>
        <w:t>17</w:t>
      </w:r>
      <w:r>
        <w:t>.</w:t>
      </w:r>
      <w:r>
        <w:tab/>
        <w:t>Sports Betting Promotion Account</w:t>
      </w:r>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r>
        <w:rPr>
          <w:rStyle w:val="CharSectno"/>
        </w:rPr>
        <w:t>18</w:t>
      </w:r>
      <w:r>
        <w:t>.</w:t>
      </w:r>
      <w:r>
        <w:tab/>
        <w:t>Further transitional provisions may be made</w:t>
      </w:r>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r>
        <w:rPr>
          <w:rStyle w:val="CharSectno"/>
        </w:rPr>
        <w:t>219</w:t>
      </w:r>
      <w:r>
        <w:t>.</w:t>
      </w:r>
      <w:r>
        <w:tab/>
        <w:t>Renamed body is same body</w:t>
      </w:r>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p>
    <w:p>
      <w:pPr>
        <w:pStyle w:val="MiscClose"/>
      </w:pPr>
      <w:r>
        <w:t>”.</w:t>
      </w:r>
    </w:p>
    <w:p>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11" w:name="_Toc536188666"/>
      <w:r>
        <w:rPr>
          <w:sz w:val="28"/>
        </w:rP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Sch. 3 cl. 1</w:t>
      </w:r>
    </w:p>
    <w:p>
      <w:pPr>
        <w:pStyle w:val="DefinedTerms"/>
      </w:pPr>
      <w:r>
        <w:t>Association</w:t>
      </w:r>
      <w:r>
        <w:tab/>
        <w:t>4</w:t>
      </w:r>
    </w:p>
    <w:p>
      <w:pPr>
        <w:pStyle w:val="DefinedTerms"/>
      </w:pPr>
      <w:r>
        <w:t>Cannington race course</w:t>
      </w:r>
      <w:r>
        <w:tab/>
        <w:t>Sch. 3 cl. 1</w:t>
      </w:r>
    </w:p>
    <w:p>
      <w:pPr>
        <w:pStyle w:val="DefinedTerms"/>
      </w:pPr>
      <w:r>
        <w:t>Chairman</w:t>
      </w:r>
      <w:r>
        <w:tab/>
        <w:t>4</w:t>
      </w:r>
    </w:p>
    <w:p>
      <w:pPr>
        <w:pStyle w:val="DefinedTerms"/>
      </w:pPr>
      <w:r>
        <w:t>Chief Executive Officer</w:t>
      </w:r>
      <w:r>
        <w:tab/>
        <w:t>4</w:t>
      </w:r>
    </w:p>
    <w:p>
      <w:pPr>
        <w:pStyle w:val="DefinedTerms"/>
      </w:pPr>
      <w:r>
        <w:t>Deputy Chairman</w:t>
      </w:r>
      <w:r>
        <w:tab/>
        <w:t>4</w:t>
      </w:r>
    </w:p>
    <w:p>
      <w:pPr>
        <w:pStyle w:val="DefinedTerms"/>
      </w:pPr>
      <w:r>
        <w:t>Fund</w:t>
      </w:r>
      <w:r>
        <w:tab/>
        <w:t>4</w:t>
      </w:r>
    </w:p>
    <w:p>
      <w:pPr>
        <w:pStyle w:val="DefinedTerms"/>
      </w:pPr>
      <w:r>
        <w:t>greyhound racing</w:t>
      </w:r>
      <w:r>
        <w:tab/>
        <w:t>4</w:t>
      </w:r>
    </w:p>
    <w:p>
      <w:pPr>
        <w:pStyle w:val="DefinedTerms"/>
      </w:pPr>
      <w:r>
        <w:t>greyhound racing club</w:t>
      </w:r>
      <w:r>
        <w:tab/>
        <w:t>4</w:t>
      </w:r>
    </w:p>
    <w:p>
      <w:pPr>
        <w:pStyle w:val="DefinedTerms"/>
      </w:pPr>
      <w:r>
        <w:t>greyhound trial track</w:t>
      </w:r>
      <w:r>
        <w:tab/>
        <w:t>4</w:t>
      </w:r>
    </w:p>
    <w:p>
      <w:pPr>
        <w:pStyle w:val="DefinedTerms"/>
      </w:pPr>
      <w:r>
        <w:t>lessee</w:t>
      </w:r>
      <w:r>
        <w:tab/>
        <w:t>4</w:t>
      </w:r>
    </w:p>
    <w:p>
      <w:pPr>
        <w:pStyle w:val="DefinedTerms"/>
      </w:pPr>
      <w:r>
        <w:t>licensed</w:t>
      </w:r>
      <w:r>
        <w:tab/>
        <w:t>4</w:t>
      </w:r>
    </w:p>
    <w:p>
      <w:pPr>
        <w:pStyle w:val="DefinedTerms"/>
      </w:pPr>
      <w:r>
        <w:t>member</w:t>
      </w:r>
      <w:r>
        <w:tab/>
        <w:t>4</w:t>
      </w:r>
    </w:p>
    <w:p>
      <w:pPr>
        <w:pStyle w:val="DefinedTerms"/>
      </w:pPr>
      <w:r>
        <w:t>owner</w:t>
      </w:r>
      <w:r>
        <w:tab/>
        <w:t>4</w:t>
      </w:r>
    </w:p>
    <w:p>
      <w:pPr>
        <w:pStyle w:val="DefinedTerms"/>
      </w:pPr>
      <w:r>
        <w:t>race course</w:t>
      </w:r>
      <w:r>
        <w:tab/>
        <w:t>4</w:t>
      </w:r>
    </w:p>
    <w:p>
      <w:pPr>
        <w:pStyle w:val="DefinedTerms"/>
      </w:pPr>
      <w:r>
        <w:t>race meeting</w:t>
      </w:r>
      <w:r>
        <w:tab/>
        <w:t>4</w:t>
      </w:r>
    </w:p>
    <w:p>
      <w:pPr>
        <w:pStyle w:val="DefinedTerms"/>
      </w:pPr>
      <w:r>
        <w:t>registered</w:t>
      </w:r>
      <w:r>
        <w:tab/>
        <w:t>4</w:t>
      </w:r>
    </w:p>
    <w:p>
      <w:pPr>
        <w:pStyle w:val="DefinedTerms"/>
      </w:pPr>
      <w:r>
        <w:t>rules of racing</w:t>
      </w:r>
      <w:r>
        <w:tab/>
        <w:t>4</w:t>
      </w:r>
    </w:p>
    <w:p>
      <w:pPr>
        <w:pStyle w:val="DefinedTerms"/>
      </w:pPr>
      <w:r>
        <w:t>RWWA</w:t>
      </w:r>
      <w:r>
        <w:tab/>
        <w:t>4</w:t>
      </w:r>
    </w:p>
    <w:p>
      <w:pPr>
        <w:pStyle w:val="DefinedTerms"/>
      </w:pPr>
      <w:r>
        <w:t>RWWA Act</w:t>
      </w:r>
      <w:r>
        <w:tab/>
        <w:t>4</w:t>
      </w:r>
    </w:p>
    <w:p>
      <w:pPr>
        <w:pStyle w:val="DefinedTerms"/>
      </w:pPr>
      <w:r>
        <w:t>the club</w:t>
      </w:r>
      <w:r>
        <w:tab/>
        <w:t>Sch. 3 cl. 1</w:t>
      </w:r>
    </w:p>
    <w:p>
      <w:pPr>
        <w:pStyle w:val="DefinedTerms"/>
      </w:pPr>
      <w:r>
        <w:t>the Society</w:t>
      </w:r>
      <w:r>
        <w:tab/>
        <w:t>Sch. 3 cl. 1</w:t>
      </w:r>
    </w:p>
    <w:p>
      <w:pPr>
        <w:pStyle w:val="DefinedTerms"/>
      </w:pPr>
      <w:r>
        <w:t>trainer</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651"/>
    <w:docVar w:name="WAFER_20140204120407" w:val="RemoveTocBookmarks,RemoveUnusedBookmarks,RemoveLanguageTags,UsedStyles,ResetPageSize,UpdateArrangement"/>
    <w:docVar w:name="WAFER_20140204120407_GUID" w:val="d483a3a8-e73a-4374-8a67-55689daf2ac7"/>
    <w:docVar w:name="WAFER_20140204122654" w:val="RemoveTocBookmarks,RunningHeaders"/>
    <w:docVar w:name="WAFER_20140204122654_GUID" w:val="7c7d3027-0f84-4b5e-9a77-be2659f11cca"/>
    <w:docVar w:name="WAFER_20150713160256" w:val="ResetPageSize,UpdateArrangement,UpdateNTable"/>
    <w:docVar w:name="WAFER_20150713160256_GUID" w:val="31f277f8-ab47-4e55-9a45-77d2c4daa7fe"/>
    <w:docVar w:name="WAFER_20151110121651" w:val="UpdateStyles,UsedStyles"/>
    <w:docVar w:name="WAFER_20151110121651_GUID" w:val="b3c51295-5c2d-4f7d-92bc-c253e0b9e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8906</Words>
  <Characters>42126</Characters>
  <Application>Microsoft Office Word</Application>
  <DocSecurity>0</DocSecurity>
  <Lines>1203</Lines>
  <Paragraphs>708</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50324</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1981 - 02-e0-05</dc:title>
  <dc:subject/>
  <dc:creator/>
  <cp:keywords/>
  <dc:description/>
  <cp:lastModifiedBy>svcMRProcess</cp:lastModifiedBy>
  <cp:revision>4</cp:revision>
  <cp:lastPrinted>2006-02-20T00:59:00Z</cp:lastPrinted>
  <dcterms:created xsi:type="dcterms:W3CDTF">2019-01-25T06:59:00Z</dcterms:created>
  <dcterms:modified xsi:type="dcterms:W3CDTF">2019-01-25T06:59:00Z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02-e0-05</vt:lpwstr>
  </property>
</Properties>
</file>