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(Third Party Insurance)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_Toc272307748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_Toc272307749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_Toc272307750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_Toc272307751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_Toc272307752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_Toc272307753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_Toc272307754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_Toc272307755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_Toc272307756 \h </w:instrText>
      </w:r>
      <w:r>
        <w:fldChar w:fldCharType="separate"/>
      </w:r>
      <w:r>
        <w:t>11</w:t>
      </w:r>
      <w:r>
        <w:fldChar w:fldCharType="end"/>
      </w:r>
    </w:p>
    <w:p>
      <w:pPr>
        <w:pStyle w:val="TOC8"/>
        <w:rPr>
          <w:sz w:val="24"/>
          <w:szCs w:val="24"/>
        </w:rPr>
      </w:pPr>
      <w:r>
        <w:rPr>
          <w:szCs w:val="24"/>
        </w:rPr>
        <w:t>3G.</w:t>
      </w:r>
      <w:r>
        <w:rPr>
          <w:szCs w:val="24"/>
        </w:rPr>
        <w:tab/>
        <w:t>Liability of employers</w:t>
      </w:r>
      <w:r>
        <w:tab/>
      </w:r>
      <w:r>
        <w:fldChar w:fldCharType="begin"/>
      </w:r>
      <w:r>
        <w:instrText xml:space="preserve"> PAGEREF _Toc272307757 \h </w:instrText>
      </w:r>
      <w:r>
        <w:fldChar w:fldCharType="separate"/>
      </w:r>
      <w:r>
        <w:t>12</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_Toc272307758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_Toc272307759 \h </w:instrText>
      </w:r>
      <w:r>
        <w:fldChar w:fldCharType="separate"/>
      </w:r>
      <w:r>
        <w:t>13</w:t>
      </w:r>
      <w:r>
        <w:fldChar w:fldCharType="end"/>
      </w:r>
    </w:p>
    <w:p>
      <w:pPr>
        <w:pStyle w:val="TOC8"/>
        <w:rPr>
          <w:sz w:val="24"/>
          <w:szCs w:val="24"/>
        </w:rPr>
      </w:pPr>
      <w:r>
        <w:rPr>
          <w:szCs w:val="24"/>
        </w:rPr>
        <w:t>3QB.</w:t>
      </w:r>
      <w:r>
        <w:rPr>
          <w:szCs w:val="24"/>
        </w:rPr>
        <w:tab/>
        <w:t>Delegation</w:t>
      </w:r>
      <w:r>
        <w:tab/>
      </w:r>
      <w:r>
        <w:fldChar w:fldCharType="begin"/>
      </w:r>
      <w:r>
        <w:instrText xml:space="preserve"> PAGEREF _Toc272307760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_Toc272307761 \h </w:instrText>
      </w:r>
      <w:r>
        <w:fldChar w:fldCharType="separate"/>
      </w:r>
      <w:r>
        <w:t>14</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_Toc272307762 \h </w:instrText>
      </w:r>
      <w:r>
        <w:fldChar w:fldCharType="separate"/>
      </w:r>
      <w:r>
        <w:t>15</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_Toc272307763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_Toc272307764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_Toc272307765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_Toc272307766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_Toc272307767 \h </w:instrText>
      </w:r>
      <w:r>
        <w:fldChar w:fldCharType="separate"/>
      </w:r>
      <w:r>
        <w:t>23</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_Toc272307768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_Toc272307769 \h </w:instrText>
      </w:r>
      <w:r>
        <w:fldChar w:fldCharType="separate"/>
      </w:r>
      <w:r>
        <w:t>27</w:t>
      </w:r>
      <w:r>
        <w:fldChar w:fldCharType="end"/>
      </w:r>
    </w:p>
    <w:p>
      <w:pPr>
        <w:pStyle w:val="TOC8"/>
        <w:rPr>
          <w:sz w:val="24"/>
          <w:szCs w:val="24"/>
        </w:rPr>
      </w:pPr>
      <w:r>
        <w:rPr>
          <w:szCs w:val="24"/>
        </w:rPr>
        <w:lastRenderedPageBreak/>
        <w:t>12</w:t>
      </w:r>
      <w:r>
        <w:rPr>
          <w:snapToGrid w:val="0"/>
          <w:szCs w:val="24"/>
        </w:rPr>
        <w:t>.</w:t>
      </w:r>
      <w:r>
        <w:rPr>
          <w:snapToGrid w:val="0"/>
          <w:szCs w:val="24"/>
        </w:rPr>
        <w:tab/>
        <w:t>Emergency treatment</w:t>
      </w:r>
      <w:r>
        <w:tab/>
      </w:r>
      <w:r>
        <w:fldChar w:fldCharType="begin"/>
      </w:r>
      <w:r>
        <w:instrText xml:space="preserve"> PAGEREF _Toc272307770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Recovery of payment for emergency treatment</w:t>
      </w:r>
      <w:r>
        <w:tab/>
      </w:r>
      <w:r>
        <w:fldChar w:fldCharType="begin"/>
      </w:r>
      <w:r>
        <w:instrText xml:space="preserve"> PAGEREF _Toc272307771 \h </w:instrText>
      </w:r>
      <w:r>
        <w:fldChar w:fldCharType="separate"/>
      </w:r>
      <w:r>
        <w:t>31</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_Toc272307772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_Toc272307773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_Toc272307774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_Toc272307775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_Toc272307776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_Toc272307777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_Toc272307778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_Toc272307779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_Toc272307780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_Toc272307781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_Toc272307782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_Toc272307783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_Toc272307784 \h </w:instrText>
      </w:r>
      <w:r>
        <w:fldChar w:fldCharType="separate"/>
      </w:r>
      <w:r>
        <w:t>38</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_Toc272307785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_Toc272307786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_Toc272307787 \h </w:instrText>
      </w:r>
      <w:r>
        <w:fldChar w:fldCharType="separate"/>
      </w:r>
      <w:r>
        <w:t>40</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_Toc272307788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_Toc272307789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_Toc272307790 \h </w:instrText>
      </w:r>
      <w:r>
        <w:fldChar w:fldCharType="separate"/>
      </w:r>
      <w:r>
        <w:t>44</w:t>
      </w:r>
      <w:r>
        <w:fldChar w:fldCharType="end"/>
      </w:r>
    </w:p>
    <w:p>
      <w:pPr>
        <w:pStyle w:val="TOC2"/>
        <w:tabs>
          <w:tab w:val="right" w:leader="dot" w:pos="7086"/>
        </w:tabs>
        <w:rPr>
          <w:b w:val="0"/>
          <w:sz w:val="24"/>
          <w:szCs w:val="24"/>
        </w:rPr>
      </w:pPr>
      <w:r>
        <w:rPr>
          <w:szCs w:val="28"/>
        </w:rPr>
        <w:t>Schedule</w:t>
      </w:r>
      <w:r>
        <w:rPr>
          <w:sz w:val="24"/>
          <w:szCs w:val="28"/>
        </w:rPr>
        <w:t> </w:t>
      </w:r>
      <w:r>
        <w:rPr>
          <w:szCs w:val="28"/>
        </w:rPr>
        <w:t>—</w:t>
      </w:r>
      <w:r>
        <w:rPr>
          <w:sz w:val="24"/>
          <w:szCs w:val="28"/>
        </w:rPr>
        <w:t> </w:t>
      </w:r>
      <w:r>
        <w:rPr>
          <w:szCs w:val="28"/>
        </w:rPr>
        <w:t>Form of insurance policy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_Toc272307793 \h </w:instrText>
      </w:r>
      <w:r>
        <w:fldChar w:fldCharType="separate"/>
      </w:r>
      <w:r>
        <w:t>47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272307748"/>
      <w:r>
        <w:rPr>
          <w:rStyle w:val="CharSectno"/>
        </w:rPr>
        <w:t>1</w:t>
      </w:r>
      <w:r>
        <w:rPr>
          <w:snapToGrid w:val="0"/>
        </w:rPr>
        <w:t>.</w:t>
      </w:r>
      <w:r>
        <w:rPr>
          <w:snapToGrid w:val="0"/>
        </w:rPr>
        <w:tab/>
        <w:t>Short title and commencement</w:t>
      </w:r>
      <w:bookmarkEnd w:id="1"/>
      <w:bookmarkEnd w:id="2"/>
      <w:bookmarkEnd w:id="3"/>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4" w:name="_Toc61156055"/>
      <w:bookmarkStart w:id="5" w:name="_Toc122761291"/>
      <w:bookmarkStart w:id="6" w:name="_Toc272307749"/>
      <w:r>
        <w:rPr>
          <w:rStyle w:val="CharSectno"/>
        </w:rPr>
        <w:t>2</w:t>
      </w:r>
      <w:r>
        <w:rPr>
          <w:snapToGrid w:val="0"/>
        </w:rPr>
        <w:t>.</w:t>
      </w:r>
      <w:r>
        <w:rPr>
          <w:snapToGrid w:val="0"/>
        </w:rPr>
        <w:tab/>
        <w:t>This Act to be read with the Road Traffic Act</w:t>
      </w:r>
      <w:bookmarkEnd w:id="4"/>
      <w:bookmarkEnd w:id="5"/>
      <w:bookmarkEnd w:id="6"/>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7" w:name="_Toc61156056"/>
      <w:bookmarkStart w:id="8" w:name="_Toc122761292"/>
      <w:bookmarkStart w:id="9" w:name="_Toc272307750"/>
      <w:r>
        <w:rPr>
          <w:rStyle w:val="CharSectno"/>
        </w:rPr>
        <w:t>3</w:t>
      </w:r>
      <w:r>
        <w:rPr>
          <w:snapToGrid w:val="0"/>
        </w:rPr>
        <w:t>.</w:t>
      </w:r>
      <w:r>
        <w:rPr>
          <w:snapToGrid w:val="0"/>
        </w:rPr>
        <w:tab/>
      </w:r>
      <w:bookmarkEnd w:id="7"/>
      <w:bookmarkEnd w:id="8"/>
      <w:r>
        <w:rPr>
          <w:snapToGrid w:val="0"/>
        </w:rPr>
        <w:t>Terms used</w:t>
      </w:r>
      <w:bookmarkEnd w:id="9"/>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w:t>
      </w:r>
    </w:p>
    <w:p>
      <w:pPr>
        <w:pStyle w:val="Heading5"/>
        <w:rPr>
          <w:snapToGrid w:val="0"/>
        </w:rPr>
      </w:pPr>
      <w:bookmarkStart w:id="10" w:name="_Toc61156057"/>
      <w:bookmarkStart w:id="11" w:name="_Toc122761293"/>
      <w:bookmarkStart w:id="12" w:name="_Toc272307751"/>
      <w:r>
        <w:rPr>
          <w:rStyle w:val="CharSectno"/>
        </w:rPr>
        <w:t>3A</w:t>
      </w:r>
      <w:r>
        <w:rPr>
          <w:snapToGrid w:val="0"/>
        </w:rPr>
        <w:t xml:space="preserve">. </w:t>
      </w:r>
      <w:r>
        <w:rPr>
          <w:snapToGrid w:val="0"/>
        </w:rPr>
        <w:tab/>
        <w:t>Application of sections 3C and 3D</w:t>
      </w:r>
      <w:bookmarkEnd w:id="10"/>
      <w:bookmarkEnd w:id="11"/>
      <w:bookmarkEnd w:id="12"/>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3" w:name="_Toc61156058"/>
      <w:bookmarkStart w:id="14" w:name="_Toc122761294"/>
      <w:bookmarkStart w:id="15" w:name="_Toc272307752"/>
      <w:r>
        <w:rPr>
          <w:rStyle w:val="CharSectno"/>
        </w:rPr>
        <w:t>3B</w:t>
      </w:r>
      <w:r>
        <w:rPr>
          <w:snapToGrid w:val="0"/>
        </w:rPr>
        <w:t xml:space="preserve">. </w:t>
      </w:r>
      <w:r>
        <w:rPr>
          <w:snapToGrid w:val="0"/>
        </w:rPr>
        <w:tab/>
        <w:t>Limit on powers of courts</w:t>
      </w:r>
      <w:bookmarkEnd w:id="13"/>
      <w:bookmarkEnd w:id="14"/>
      <w:bookmarkEnd w:id="15"/>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6" w:name="_Toc61156059"/>
      <w:bookmarkStart w:id="17" w:name="_Toc122761295"/>
      <w:bookmarkStart w:id="18" w:name="_Toc272307753"/>
      <w:r>
        <w:rPr>
          <w:rStyle w:val="CharSectno"/>
        </w:rPr>
        <w:t>3C</w:t>
      </w:r>
      <w:r>
        <w:rPr>
          <w:snapToGrid w:val="0"/>
        </w:rPr>
        <w:t xml:space="preserve">. </w:t>
      </w:r>
      <w:r>
        <w:rPr>
          <w:snapToGrid w:val="0"/>
        </w:rPr>
        <w:tab/>
        <w:t>Restrictions on damages for non</w:t>
      </w:r>
      <w:r>
        <w:rPr>
          <w:snapToGrid w:val="0"/>
        </w:rPr>
        <w:noBreakHyphen/>
        <w:t>pecuniary loss</w:t>
      </w:r>
      <w:bookmarkEnd w:id="16"/>
      <w:bookmarkEnd w:id="17"/>
      <w:bookmarkEnd w:id="18"/>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20" o:title=""/>
          </v:shape>
          <o:OLEObject Type="Embed" ProgID="Equation.3" ShapeID="_x0000_i1025" DrawAspect="Content" ObjectID="_1643526653" r:id="rId21"/>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19" w:name="_Toc61156060"/>
      <w:bookmarkStart w:id="20" w:name="_Toc122761296"/>
      <w:bookmarkStart w:id="21" w:name="_Toc272307754"/>
      <w:r>
        <w:rPr>
          <w:rStyle w:val="CharSectno"/>
        </w:rPr>
        <w:t>3D</w:t>
      </w:r>
      <w:r>
        <w:rPr>
          <w:snapToGrid w:val="0"/>
        </w:rPr>
        <w:t xml:space="preserve">. </w:t>
      </w:r>
      <w:r>
        <w:rPr>
          <w:snapToGrid w:val="0"/>
        </w:rPr>
        <w:tab/>
        <w:t>Restrictions on damages for provision of home care services</w:t>
      </w:r>
      <w:bookmarkEnd w:id="19"/>
      <w:bookmarkEnd w:id="20"/>
      <w:bookmarkEnd w:id="21"/>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2" w:name="_Toc61156061"/>
      <w:bookmarkStart w:id="23" w:name="_Toc122761297"/>
      <w:bookmarkStart w:id="24" w:name="_Toc272307755"/>
      <w:r>
        <w:rPr>
          <w:rStyle w:val="CharSectno"/>
        </w:rPr>
        <w:t>3E</w:t>
      </w:r>
      <w:r>
        <w:rPr>
          <w:snapToGrid w:val="0"/>
        </w:rPr>
        <w:t xml:space="preserve">. </w:t>
      </w:r>
      <w:r>
        <w:rPr>
          <w:snapToGrid w:val="0"/>
        </w:rPr>
        <w:tab/>
        <w:t>Causes of action to which restrictions on damages apply</w:t>
      </w:r>
      <w:bookmarkEnd w:id="22"/>
      <w:bookmarkEnd w:id="23"/>
      <w:bookmarkEnd w:id="24"/>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25" w:name="_Toc272307756"/>
      <w:r>
        <w:rPr>
          <w:rStyle w:val="CharSectno"/>
        </w:rPr>
        <w:t>3F</w:t>
      </w:r>
      <w:r>
        <w:t>.</w:t>
      </w:r>
      <w:r>
        <w:tab/>
        <w:t>Restriction on damages for loss relating to earning capacity</w:t>
      </w:r>
      <w:bookmarkEnd w:id="25"/>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6" w:name="_Toc272307757"/>
      <w:bookmarkStart w:id="27" w:name="_Toc61156062"/>
      <w:bookmarkStart w:id="28" w:name="_Toc122761298"/>
      <w:r>
        <w:rPr>
          <w:rStyle w:val="CharSectno"/>
        </w:rPr>
        <w:t>3G</w:t>
      </w:r>
      <w:r>
        <w:t>.</w:t>
      </w:r>
      <w:r>
        <w:tab/>
        <w:t>Liability of employers</w:t>
      </w:r>
      <w:bookmarkEnd w:id="2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29" w:name="_Toc272307758"/>
      <w:r>
        <w:rPr>
          <w:rStyle w:val="CharSectno"/>
        </w:rPr>
        <w:t>3Q</w:t>
      </w:r>
      <w:r>
        <w:rPr>
          <w:snapToGrid w:val="0"/>
        </w:rPr>
        <w:t xml:space="preserve">. </w:t>
      </w:r>
      <w:r>
        <w:rPr>
          <w:snapToGrid w:val="0"/>
        </w:rPr>
        <w:tab/>
        <w:t>Director General’s functions</w:t>
      </w:r>
      <w:bookmarkEnd w:id="27"/>
      <w:bookmarkEnd w:id="28"/>
      <w:bookmarkEnd w:id="29"/>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30" w:name="_Toc61156063"/>
      <w:bookmarkStart w:id="31" w:name="_Toc122761299"/>
      <w:bookmarkStart w:id="32" w:name="_Toc272307759"/>
      <w:r>
        <w:rPr>
          <w:rStyle w:val="CharSectno"/>
        </w:rPr>
        <w:t>3QA</w:t>
      </w:r>
      <w:r>
        <w:t>.</w:t>
      </w:r>
      <w:r>
        <w:tab/>
        <w:t>Agreements for performance of functions</w:t>
      </w:r>
      <w:bookmarkEnd w:id="30"/>
      <w:bookmarkEnd w:id="31"/>
      <w:bookmarkEnd w:id="3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3" w:name="_Toc61156064"/>
      <w:bookmarkStart w:id="34" w:name="_Toc122761300"/>
      <w:bookmarkStart w:id="35" w:name="_Toc272307760"/>
      <w:r>
        <w:rPr>
          <w:rStyle w:val="CharSectno"/>
        </w:rPr>
        <w:t>3QB</w:t>
      </w:r>
      <w:r>
        <w:t>.</w:t>
      </w:r>
      <w:r>
        <w:tab/>
        <w:t>Delegation</w:t>
      </w:r>
      <w:bookmarkEnd w:id="33"/>
      <w:bookmarkEnd w:id="34"/>
      <w:bookmarkEnd w:id="3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6" w:name="_Toc61156065"/>
      <w:bookmarkStart w:id="37" w:name="_Toc122761301"/>
      <w:bookmarkStart w:id="38" w:name="_Toc272307761"/>
      <w:r>
        <w:rPr>
          <w:rStyle w:val="CharSectno"/>
        </w:rPr>
        <w:t>3R</w:t>
      </w:r>
      <w:r>
        <w:rPr>
          <w:snapToGrid w:val="0"/>
        </w:rPr>
        <w:t xml:space="preserve">. </w:t>
      </w:r>
      <w:r>
        <w:rPr>
          <w:snapToGrid w:val="0"/>
        </w:rPr>
        <w:tab/>
        <w:t>Issue of policies of insurance</w:t>
      </w:r>
      <w:bookmarkEnd w:id="36"/>
      <w:bookmarkEnd w:id="37"/>
      <w:bookmarkEnd w:id="38"/>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39" w:name="_Toc61156066"/>
      <w:bookmarkStart w:id="40" w:name="_Toc122761302"/>
      <w:bookmarkStart w:id="41" w:name="_Toc272307762"/>
      <w:r>
        <w:rPr>
          <w:rStyle w:val="CharSectno"/>
        </w:rPr>
        <w:t>3S</w:t>
      </w:r>
      <w:r>
        <w:rPr>
          <w:snapToGrid w:val="0"/>
        </w:rPr>
        <w:t xml:space="preserve">. </w:t>
      </w:r>
      <w:r>
        <w:rPr>
          <w:snapToGrid w:val="0"/>
        </w:rPr>
        <w:tab/>
        <w:t>Further powers of the Commission</w:t>
      </w:r>
      <w:bookmarkEnd w:id="39"/>
      <w:bookmarkEnd w:id="40"/>
      <w:bookmarkEnd w:id="41"/>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2" w:name="_Toc61156067"/>
      <w:bookmarkStart w:id="43" w:name="_Toc122761303"/>
      <w:bookmarkStart w:id="44" w:name="_Toc272307763"/>
      <w:r>
        <w:rPr>
          <w:rStyle w:val="CharSectno"/>
        </w:rPr>
        <w:t>3T</w:t>
      </w:r>
      <w:r>
        <w:rPr>
          <w:snapToGrid w:val="0"/>
        </w:rPr>
        <w:t xml:space="preserve">. </w:t>
      </w:r>
      <w:r>
        <w:rPr>
          <w:snapToGrid w:val="0"/>
        </w:rPr>
        <w:tab/>
        <w:t>Premiums</w:t>
      </w:r>
      <w:bookmarkEnd w:id="42"/>
      <w:bookmarkEnd w:id="43"/>
      <w:bookmarkEnd w:id="44"/>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5" w:name="_Toc61156068"/>
      <w:bookmarkStart w:id="46" w:name="_Toc122761304"/>
      <w:bookmarkStart w:id="47" w:name="_Toc272307764"/>
      <w:r>
        <w:rPr>
          <w:rStyle w:val="CharSectno"/>
        </w:rPr>
        <w:t>4</w:t>
      </w:r>
      <w:r>
        <w:rPr>
          <w:snapToGrid w:val="0"/>
        </w:rPr>
        <w:t>.</w:t>
      </w:r>
      <w:r>
        <w:rPr>
          <w:snapToGrid w:val="0"/>
        </w:rPr>
        <w:tab/>
        <w:t>Insurance against third party risks</w:t>
      </w:r>
      <w:bookmarkEnd w:id="45"/>
      <w:bookmarkEnd w:id="46"/>
      <w:bookmarkEnd w:id="47"/>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an offence under section 15 of the Traffic Act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The owner shall be deemed to have complied with subsection (7A)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Subsection"/>
        <w:rPr>
          <w:snapToGrid w:val="0"/>
        </w:rPr>
      </w:pPr>
      <w:r>
        <w:rPr>
          <w:snapToGrid w:val="0"/>
        </w:rPr>
        <w:tab/>
        <w:t>(9)</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w:t>
      </w:r>
    </w:p>
    <w:p>
      <w:pPr>
        <w:pStyle w:val="Ednotesection"/>
      </w:pPr>
      <w:r>
        <w:t>[</w:t>
      </w:r>
      <w:r>
        <w:rPr>
          <w:b/>
        </w:rPr>
        <w:t>5.</w:t>
      </w:r>
      <w:r>
        <w:rPr>
          <w:b/>
        </w:rPr>
        <w:tab/>
      </w:r>
      <w:r>
        <w:t>Deleted by No. 31 of 1948 s. 7.]</w:t>
      </w:r>
    </w:p>
    <w:p>
      <w:pPr>
        <w:pStyle w:val="Heading5"/>
        <w:rPr>
          <w:snapToGrid w:val="0"/>
        </w:rPr>
      </w:pPr>
      <w:bookmarkStart w:id="48" w:name="_Toc61156069"/>
      <w:bookmarkStart w:id="49" w:name="_Toc122761305"/>
      <w:bookmarkStart w:id="50" w:name="_Toc272307765"/>
      <w:r>
        <w:rPr>
          <w:rStyle w:val="CharSectno"/>
        </w:rPr>
        <w:t>6</w:t>
      </w:r>
      <w:r>
        <w:rPr>
          <w:snapToGrid w:val="0"/>
        </w:rPr>
        <w:t>.</w:t>
      </w:r>
      <w:r>
        <w:rPr>
          <w:snapToGrid w:val="0"/>
        </w:rPr>
        <w:tab/>
        <w:t>Requirements in respect of policies</w:t>
      </w:r>
      <w:bookmarkEnd w:id="48"/>
      <w:bookmarkEnd w:id="49"/>
      <w:bookmarkEnd w:id="50"/>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51" w:name="_Toc61156070"/>
      <w:bookmarkStart w:id="52" w:name="_Toc122761306"/>
      <w:bookmarkStart w:id="53" w:name="_Toc272307766"/>
      <w:r>
        <w:rPr>
          <w:rStyle w:val="CharSectno"/>
        </w:rPr>
        <w:t>7</w:t>
      </w:r>
      <w:r>
        <w:rPr>
          <w:snapToGrid w:val="0"/>
        </w:rPr>
        <w:t>.</w:t>
      </w:r>
      <w:r>
        <w:rPr>
          <w:snapToGrid w:val="0"/>
        </w:rPr>
        <w:tab/>
        <w:t>Liability of the Commission</w:t>
      </w:r>
      <w:bookmarkEnd w:id="51"/>
      <w:bookmarkEnd w:id="52"/>
      <w:bookmarkEnd w:id="53"/>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54" w:name="_Toc61156071"/>
      <w:bookmarkStart w:id="55" w:name="_Toc122761307"/>
      <w:bookmarkStart w:id="56" w:name="_Toc272307767"/>
      <w:r>
        <w:rPr>
          <w:rStyle w:val="CharSectno"/>
        </w:rPr>
        <w:t>8</w:t>
      </w:r>
      <w:r>
        <w:rPr>
          <w:snapToGrid w:val="0"/>
        </w:rPr>
        <w:t>.</w:t>
      </w:r>
      <w:r>
        <w:rPr>
          <w:snapToGrid w:val="0"/>
        </w:rPr>
        <w:tab/>
        <w:t>Special provisions in relation to uninsured motor vehicles</w:t>
      </w:r>
      <w:bookmarkEnd w:id="54"/>
      <w:bookmarkEnd w:id="55"/>
      <w:bookmarkEnd w:id="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by No. 31 of 1948 s. 10; No. 36 of 1954 s. 4; No. 25 of 1959 s. 5; No. 72 of 1962 s. 8; No. 51 of 1986 s. 46(2); No. 107 of 1987 s. 14; No. 19 of 2010 s. 51.]</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57" w:name="_Toc61156072"/>
      <w:bookmarkStart w:id="58" w:name="_Toc122761308"/>
      <w:bookmarkStart w:id="59" w:name="_Toc272307768"/>
      <w:r>
        <w:rPr>
          <w:rStyle w:val="CharSectno"/>
        </w:rPr>
        <w:t>10</w:t>
      </w:r>
      <w:r>
        <w:rPr>
          <w:snapToGrid w:val="0"/>
        </w:rPr>
        <w:t>.</w:t>
      </w:r>
      <w:r>
        <w:rPr>
          <w:snapToGrid w:val="0"/>
        </w:rPr>
        <w:tab/>
        <w:t>Duties of owner or insured person</w:t>
      </w:r>
      <w:bookmarkEnd w:id="57"/>
      <w:bookmarkEnd w:id="58"/>
      <w:bookmarkEnd w:id="59"/>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60" w:name="_Toc61156073"/>
      <w:bookmarkStart w:id="61" w:name="_Toc122761309"/>
      <w:bookmarkStart w:id="62" w:name="_Toc272307769"/>
      <w:r>
        <w:rPr>
          <w:rStyle w:val="CharSectno"/>
        </w:rPr>
        <w:t>11</w:t>
      </w:r>
      <w:r>
        <w:rPr>
          <w:snapToGrid w:val="0"/>
        </w:rPr>
        <w:t>.</w:t>
      </w:r>
      <w:r>
        <w:rPr>
          <w:snapToGrid w:val="0"/>
        </w:rPr>
        <w:tab/>
        <w:t>Power of the Commission to deal with claims against insured persons</w:t>
      </w:r>
      <w:bookmarkEnd w:id="60"/>
      <w:bookmarkEnd w:id="61"/>
      <w:bookmarkEnd w:id="62"/>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3" w:name="_Toc61156074"/>
      <w:bookmarkStart w:id="64" w:name="_Toc122761310"/>
      <w:bookmarkStart w:id="65" w:name="_Toc272307770"/>
      <w:r>
        <w:rPr>
          <w:rStyle w:val="CharSectno"/>
        </w:rPr>
        <w:t>12</w:t>
      </w:r>
      <w:r>
        <w:rPr>
          <w:snapToGrid w:val="0"/>
        </w:rPr>
        <w:t>.</w:t>
      </w:r>
      <w:r>
        <w:rPr>
          <w:snapToGrid w:val="0"/>
        </w:rPr>
        <w:tab/>
        <w:t>Emergency treatment</w:t>
      </w:r>
      <w:bookmarkEnd w:id="63"/>
      <w:bookmarkEnd w:id="64"/>
      <w:bookmarkEnd w:id="65"/>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by No. 81 of 1982 s. 18.]</w:t>
      </w:r>
    </w:p>
    <w:p>
      <w:pPr>
        <w:pStyle w:val="Heading5"/>
        <w:rPr>
          <w:snapToGrid w:val="0"/>
        </w:rPr>
      </w:pPr>
      <w:bookmarkStart w:id="66" w:name="_Toc61156075"/>
      <w:bookmarkStart w:id="67" w:name="_Toc122761311"/>
      <w:bookmarkStart w:id="68" w:name="_Toc272307771"/>
      <w:r>
        <w:rPr>
          <w:rStyle w:val="CharSectno"/>
        </w:rPr>
        <w:t>14</w:t>
      </w:r>
      <w:r>
        <w:rPr>
          <w:snapToGrid w:val="0"/>
        </w:rPr>
        <w:t>.</w:t>
      </w:r>
      <w:r>
        <w:rPr>
          <w:snapToGrid w:val="0"/>
        </w:rPr>
        <w:tab/>
        <w:t>Recovery of payment for emergency treatment</w:t>
      </w:r>
      <w:bookmarkEnd w:id="66"/>
      <w:bookmarkEnd w:id="67"/>
      <w:bookmarkEnd w:id="68"/>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69" w:name="_Toc61156076"/>
      <w:bookmarkStart w:id="70" w:name="_Toc122761312"/>
      <w:bookmarkStart w:id="71" w:name="_Toc272307772"/>
      <w:r>
        <w:rPr>
          <w:rStyle w:val="CharSectno"/>
        </w:rPr>
        <w:t>15</w:t>
      </w:r>
      <w:r>
        <w:rPr>
          <w:snapToGrid w:val="0"/>
        </w:rPr>
        <w:t>.</w:t>
      </w:r>
      <w:r>
        <w:rPr>
          <w:snapToGrid w:val="0"/>
        </w:rPr>
        <w:tab/>
        <w:t>Right of the Commission against unauthorised drivers</w:t>
      </w:r>
      <w:bookmarkEnd w:id="69"/>
      <w:bookmarkEnd w:id="70"/>
      <w:bookmarkEnd w:id="71"/>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72" w:name="_Toc61156077"/>
      <w:bookmarkStart w:id="73" w:name="_Toc122761313"/>
      <w:bookmarkStart w:id="74" w:name="_Toc272307773"/>
      <w:r>
        <w:rPr>
          <w:rStyle w:val="CharSectno"/>
        </w:rPr>
        <w:t>16</w:t>
      </w:r>
      <w:r>
        <w:rPr>
          <w:snapToGrid w:val="0"/>
        </w:rPr>
        <w:t>.</w:t>
      </w:r>
      <w:r>
        <w:rPr>
          <w:snapToGrid w:val="0"/>
        </w:rPr>
        <w:tab/>
        <w:t>Jurisdiction</w:t>
      </w:r>
      <w:bookmarkEnd w:id="72"/>
      <w:bookmarkEnd w:id="73"/>
      <w:bookmarkEnd w:id="74"/>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5" w:name="_Toc61156078"/>
      <w:bookmarkStart w:id="76" w:name="_Toc122761314"/>
      <w:bookmarkStart w:id="77" w:name="_Toc272307774"/>
      <w:r>
        <w:rPr>
          <w:rStyle w:val="CharSectno"/>
        </w:rPr>
        <w:t>17</w:t>
      </w:r>
      <w:r>
        <w:rPr>
          <w:snapToGrid w:val="0"/>
        </w:rPr>
        <w:t>.</w:t>
      </w:r>
      <w:r>
        <w:rPr>
          <w:snapToGrid w:val="0"/>
        </w:rPr>
        <w:tab/>
        <w:t>Insurance by visiting motorists</w:t>
      </w:r>
      <w:bookmarkEnd w:id="75"/>
      <w:bookmarkEnd w:id="76"/>
      <w:bookmarkEnd w:id="77"/>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8" w:name="_Toc61156079"/>
      <w:bookmarkStart w:id="79" w:name="_Toc122761315"/>
      <w:bookmarkStart w:id="80" w:name="_Toc272307775"/>
      <w:r>
        <w:rPr>
          <w:rStyle w:val="CharSectno"/>
        </w:rPr>
        <w:t>18</w:t>
      </w:r>
      <w:r>
        <w:rPr>
          <w:snapToGrid w:val="0"/>
        </w:rPr>
        <w:t>.</w:t>
      </w:r>
      <w:r>
        <w:rPr>
          <w:snapToGrid w:val="0"/>
        </w:rPr>
        <w:tab/>
        <w:t>Power to suspend or cancel licences</w:t>
      </w:r>
      <w:bookmarkEnd w:id="78"/>
      <w:bookmarkEnd w:id="79"/>
      <w:bookmarkEnd w:id="80"/>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1" w:name="_Toc61156080"/>
      <w:bookmarkStart w:id="82" w:name="_Toc122761316"/>
      <w:bookmarkStart w:id="83" w:name="_Toc272307776"/>
      <w:r>
        <w:rPr>
          <w:rStyle w:val="CharSectno"/>
        </w:rPr>
        <w:t>19</w:t>
      </w:r>
      <w:r>
        <w:rPr>
          <w:snapToGrid w:val="0"/>
        </w:rPr>
        <w:t>.</w:t>
      </w:r>
      <w:r>
        <w:rPr>
          <w:snapToGrid w:val="0"/>
        </w:rPr>
        <w:tab/>
        <w:t>Commission not to terminate policy</w:t>
      </w:r>
      <w:bookmarkEnd w:id="81"/>
      <w:bookmarkEnd w:id="82"/>
      <w:bookmarkEnd w:id="83"/>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4" w:name="_Toc61156081"/>
      <w:bookmarkStart w:id="85" w:name="_Toc122761317"/>
      <w:bookmarkStart w:id="86" w:name="_Toc272307777"/>
      <w:r>
        <w:rPr>
          <w:rStyle w:val="CharSectno"/>
        </w:rPr>
        <w:t>20</w:t>
      </w:r>
      <w:r>
        <w:rPr>
          <w:snapToGrid w:val="0"/>
        </w:rPr>
        <w:t>.</w:t>
      </w:r>
      <w:r>
        <w:rPr>
          <w:snapToGrid w:val="0"/>
        </w:rPr>
        <w:tab/>
        <w:t>Policy of insurance to continue notwithstanding change of ownership of vehicle</w:t>
      </w:r>
      <w:bookmarkEnd w:id="84"/>
      <w:bookmarkEnd w:id="85"/>
      <w:bookmarkEnd w:id="8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7" w:name="_Toc61156082"/>
      <w:bookmarkStart w:id="88" w:name="_Toc122761318"/>
      <w:bookmarkStart w:id="89" w:name="_Toc272307778"/>
      <w:r>
        <w:rPr>
          <w:rStyle w:val="CharSectno"/>
        </w:rPr>
        <w:t>21</w:t>
      </w:r>
      <w:r>
        <w:rPr>
          <w:snapToGrid w:val="0"/>
        </w:rPr>
        <w:t>.</w:t>
      </w:r>
      <w:r>
        <w:rPr>
          <w:snapToGrid w:val="0"/>
        </w:rPr>
        <w:tab/>
        <w:t>Term of policy of insurance deemed to be extended in certain cases</w:t>
      </w:r>
      <w:bookmarkEnd w:id="87"/>
      <w:bookmarkEnd w:id="88"/>
      <w:bookmarkEnd w:id="89"/>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section, expire by effluxion of time on the same expiry day, if the provisions of subsection (1B) apply, the operation of the policy is extended by, and in accordance with, those provisions.</w:t>
      </w:r>
    </w:p>
    <w:p>
      <w:pPr>
        <w:pStyle w:val="Subsection"/>
        <w:rPr>
          <w:snapToGrid w:val="0"/>
        </w:rPr>
      </w:pPr>
      <w:r>
        <w:rPr>
          <w:snapToGrid w:val="0"/>
        </w:rPr>
        <w:tab/>
        <w:t>(1B)</w:t>
      </w:r>
      <w:r>
        <w:rPr>
          <w:snapToGrid w:val="0"/>
        </w:rPr>
        <w:tab/>
        <w:t>If a new policy complying with the requirements of this Act is issued in respect of the motor vehicle within the period of 15 days of the expiry day of the policy mentioned in subsection (1A),the operation of the policy mentioned in that subsection is, by this subsection and notwithstanding any provisions to the contrary of the policy mentioned in that subsection, extended until the new policy is issued.</w:t>
      </w:r>
    </w:p>
    <w:p>
      <w:pPr>
        <w:pStyle w:val="Subsection"/>
        <w:rPr>
          <w:snapToGrid w:val="0"/>
        </w:rPr>
      </w:pPr>
      <w:r>
        <w:rPr>
          <w:snapToGrid w:val="0"/>
        </w:rPr>
        <w:tab/>
        <w:t>(1C)</w:t>
      </w:r>
      <w:r>
        <w:rPr>
          <w:snapToGrid w:val="0"/>
        </w:rPr>
        <w:tab/>
        <w:t>If however the new policy is not issued until after the expiration of that period of 15 days —</w:t>
      </w:r>
    </w:p>
    <w:p>
      <w:pPr>
        <w:pStyle w:val="Indenta"/>
        <w:rPr>
          <w:snapToGrid w:val="0"/>
        </w:rPr>
      </w:pPr>
      <w:r>
        <w:rPr>
          <w:snapToGrid w:val="0"/>
        </w:rPr>
        <w:tab/>
        <w:t>(a)</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(b)</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(c)</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w:t>
      </w:r>
      <w:r>
        <w:t>this section</w:t>
      </w:r>
      <w:r>
        <w:rPr>
          <w:snapToGrid w:val="0"/>
        </w:rPr>
        <w:t xml:space="preserve">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 xml:space="preserve"> Sch. 1 cl. 23(2); No. 19 of 2010 s. 51.]</w:t>
      </w:r>
    </w:p>
    <w:p>
      <w:pPr>
        <w:pStyle w:val="Heading5"/>
        <w:rPr>
          <w:snapToGrid w:val="0"/>
        </w:rPr>
      </w:pPr>
      <w:bookmarkStart w:id="90" w:name="_Toc61156083"/>
      <w:bookmarkStart w:id="91" w:name="_Toc122761319"/>
      <w:bookmarkStart w:id="92" w:name="_Toc272307779"/>
      <w:r>
        <w:rPr>
          <w:rStyle w:val="CharSectno"/>
        </w:rPr>
        <w:t>22</w:t>
      </w:r>
      <w:r>
        <w:rPr>
          <w:snapToGrid w:val="0"/>
        </w:rPr>
        <w:t>.</w:t>
      </w:r>
      <w:r>
        <w:rPr>
          <w:snapToGrid w:val="0"/>
        </w:rPr>
        <w:tab/>
        <w:t>Provision regarding motor vehicle of employee used by employee in employer’s business</w:t>
      </w:r>
      <w:bookmarkEnd w:id="90"/>
      <w:bookmarkEnd w:id="91"/>
      <w:bookmarkEnd w:id="92"/>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93" w:name="_Toc61156084"/>
      <w:bookmarkStart w:id="94" w:name="_Toc122761320"/>
      <w:bookmarkStart w:id="95" w:name="_Toc272307780"/>
      <w:r>
        <w:rPr>
          <w:rStyle w:val="CharSectno"/>
        </w:rPr>
        <w:t>23</w:t>
      </w:r>
      <w:r>
        <w:rPr>
          <w:snapToGrid w:val="0"/>
        </w:rPr>
        <w:t>.</w:t>
      </w:r>
      <w:r>
        <w:rPr>
          <w:snapToGrid w:val="0"/>
        </w:rPr>
        <w:tab/>
        <w:t>Policies to give cover required by amending Acts</w:t>
      </w:r>
      <w:bookmarkEnd w:id="93"/>
      <w:bookmarkEnd w:id="94"/>
      <w:bookmarkEnd w:id="95"/>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96" w:name="_Toc61156085"/>
      <w:bookmarkStart w:id="97" w:name="_Toc122761321"/>
      <w:bookmarkStart w:id="98" w:name="_Toc272307781"/>
      <w:r>
        <w:rPr>
          <w:rStyle w:val="CharSectno"/>
        </w:rPr>
        <w:t>24</w:t>
      </w:r>
      <w:r>
        <w:rPr>
          <w:snapToGrid w:val="0"/>
        </w:rPr>
        <w:t>.</w:t>
      </w:r>
      <w:r>
        <w:rPr>
          <w:snapToGrid w:val="0"/>
        </w:rPr>
        <w:tab/>
        <w:t>Reference to issue of policy to extend to renewal of policy</w:t>
      </w:r>
      <w:bookmarkEnd w:id="96"/>
      <w:bookmarkEnd w:id="97"/>
      <w:bookmarkEnd w:id="98"/>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99" w:name="_Toc61156086"/>
      <w:bookmarkStart w:id="100" w:name="_Toc122761322"/>
      <w:bookmarkStart w:id="101" w:name="_Toc272307782"/>
      <w:r>
        <w:rPr>
          <w:rStyle w:val="CharSectno"/>
        </w:rPr>
        <w:t>25</w:t>
      </w:r>
      <w:r>
        <w:rPr>
          <w:snapToGrid w:val="0"/>
        </w:rPr>
        <w:t>.</w:t>
      </w:r>
      <w:r>
        <w:rPr>
          <w:snapToGrid w:val="0"/>
        </w:rPr>
        <w:tab/>
        <w:t>Information to be furnished by the Commission</w:t>
      </w:r>
      <w:bookmarkEnd w:id="99"/>
      <w:bookmarkEnd w:id="100"/>
      <w:bookmarkEnd w:id="101"/>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2" w:name="_Toc61156087"/>
      <w:bookmarkStart w:id="103" w:name="_Toc122761323"/>
      <w:bookmarkStart w:id="104" w:name="_Toc272307783"/>
      <w:r>
        <w:rPr>
          <w:rStyle w:val="CharSectno"/>
        </w:rPr>
        <w:t>26</w:t>
      </w:r>
      <w:r>
        <w:rPr>
          <w:snapToGrid w:val="0"/>
        </w:rPr>
        <w:t>.</w:t>
      </w:r>
      <w:r>
        <w:rPr>
          <w:snapToGrid w:val="0"/>
        </w:rPr>
        <w:tab/>
        <w:t>Contracting out of liability for negligence</w:t>
      </w:r>
      <w:bookmarkEnd w:id="102"/>
      <w:bookmarkEnd w:id="103"/>
      <w:bookmarkEnd w:id="104"/>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5" w:name="_Toc61156088"/>
      <w:bookmarkStart w:id="106" w:name="_Toc122761324"/>
      <w:bookmarkStart w:id="107" w:name="_Toc272307784"/>
      <w:r>
        <w:rPr>
          <w:rStyle w:val="CharSectno"/>
        </w:rPr>
        <w:t>27</w:t>
      </w:r>
      <w:r>
        <w:rPr>
          <w:snapToGrid w:val="0"/>
        </w:rPr>
        <w:t>.</w:t>
      </w:r>
      <w:r>
        <w:rPr>
          <w:snapToGrid w:val="0"/>
        </w:rPr>
        <w:tab/>
        <w:t>Soliciting instructions from persons claiming</w:t>
      </w:r>
      <w:bookmarkEnd w:id="105"/>
      <w:bookmarkEnd w:id="106"/>
      <w:bookmarkEnd w:id="107"/>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08" w:name="_Toc61156089"/>
      <w:bookmarkStart w:id="109" w:name="_Toc122761325"/>
      <w:bookmarkStart w:id="110" w:name="_Toc272307785"/>
      <w:r>
        <w:rPr>
          <w:rStyle w:val="CharSectno"/>
        </w:rPr>
        <w:t>27A</w:t>
      </w:r>
      <w:r>
        <w:rPr>
          <w:snapToGrid w:val="0"/>
        </w:rPr>
        <w:t xml:space="preserve">. </w:t>
      </w:r>
      <w:r>
        <w:rPr>
          <w:snapToGrid w:val="0"/>
        </w:rPr>
        <w:tab/>
        <w:t>Costs between solicitor and client</w:t>
      </w:r>
      <w:bookmarkEnd w:id="108"/>
      <w:bookmarkEnd w:id="109"/>
      <w:bookmarkEnd w:id="110"/>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111" w:name="_Toc61156090"/>
      <w:bookmarkStart w:id="112" w:name="_Toc122761326"/>
      <w:bookmarkStart w:id="113" w:name="_Toc272307786"/>
      <w:r>
        <w:rPr>
          <w:rStyle w:val="CharSectno"/>
        </w:rPr>
        <w:t>28</w:t>
      </w:r>
      <w:r>
        <w:rPr>
          <w:snapToGrid w:val="0"/>
        </w:rPr>
        <w:t>.</w:t>
      </w:r>
      <w:r>
        <w:rPr>
          <w:snapToGrid w:val="0"/>
        </w:rPr>
        <w:tab/>
        <w:t>Offences: general penalty</w:t>
      </w:r>
      <w:bookmarkEnd w:id="111"/>
      <w:bookmarkEnd w:id="112"/>
      <w:bookmarkEnd w:id="113"/>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4" w:name="_Toc61156091"/>
      <w:bookmarkStart w:id="115" w:name="_Toc122761327"/>
      <w:bookmarkStart w:id="116" w:name="_Toc272307787"/>
      <w:r>
        <w:rPr>
          <w:rStyle w:val="CharSectno"/>
        </w:rPr>
        <w:t>29</w:t>
      </w:r>
      <w:r>
        <w:rPr>
          <w:snapToGrid w:val="0"/>
        </w:rPr>
        <w:t>.</w:t>
      </w:r>
      <w:r>
        <w:rPr>
          <w:snapToGrid w:val="0"/>
        </w:rPr>
        <w:tab/>
        <w:t>Notice of claim</w:t>
      </w:r>
      <w:bookmarkEnd w:id="114"/>
      <w:bookmarkEnd w:id="115"/>
      <w:bookmarkEnd w:id="116"/>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7" w:name="_Toc61156092"/>
      <w:bookmarkStart w:id="118" w:name="_Toc122761328"/>
      <w:bookmarkStart w:id="119" w:name="_Toc272307788"/>
      <w:r>
        <w:rPr>
          <w:rStyle w:val="CharSectno"/>
        </w:rPr>
        <w:t>29A</w:t>
      </w:r>
      <w:r>
        <w:rPr>
          <w:snapToGrid w:val="0"/>
        </w:rPr>
        <w:t xml:space="preserve">. </w:t>
      </w:r>
      <w:r>
        <w:rPr>
          <w:snapToGrid w:val="0"/>
        </w:rPr>
        <w:tab/>
        <w:t>Court may grant leave to proceed</w:t>
      </w:r>
      <w:bookmarkEnd w:id="117"/>
      <w:bookmarkEnd w:id="118"/>
      <w:bookmarkEnd w:id="119"/>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0" w:name="_Toc61156093"/>
      <w:bookmarkStart w:id="121" w:name="_Toc122761329"/>
      <w:bookmarkStart w:id="122" w:name="_Toc272307789"/>
      <w:r>
        <w:rPr>
          <w:rStyle w:val="CharSectno"/>
        </w:rPr>
        <w:t>30</w:t>
      </w:r>
      <w:r>
        <w:rPr>
          <w:snapToGrid w:val="0"/>
        </w:rPr>
        <w:t>.</w:t>
      </w:r>
      <w:r>
        <w:rPr>
          <w:snapToGrid w:val="0"/>
        </w:rPr>
        <w:tab/>
        <w:t>Medical examination of injured person</w:t>
      </w:r>
      <w:bookmarkEnd w:id="120"/>
      <w:bookmarkEnd w:id="121"/>
      <w:bookmarkEnd w:id="122"/>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123" w:name="_Toc61156094"/>
      <w:bookmarkStart w:id="124" w:name="_Toc122761330"/>
      <w:bookmarkStart w:id="125" w:name="_Toc272307790"/>
      <w:r>
        <w:rPr>
          <w:rStyle w:val="CharSectno"/>
        </w:rPr>
        <w:t>33</w:t>
      </w:r>
      <w:r>
        <w:rPr>
          <w:snapToGrid w:val="0"/>
        </w:rPr>
        <w:t>.</w:t>
      </w:r>
      <w:r>
        <w:rPr>
          <w:snapToGrid w:val="0"/>
        </w:rPr>
        <w:tab/>
        <w:t>Regulations</w:t>
      </w:r>
      <w:bookmarkEnd w:id="123"/>
      <w:bookmarkEnd w:id="124"/>
      <w:bookmarkEnd w:id="125"/>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6" w:name="_Toc268179970"/>
      <w:bookmarkStart w:id="127" w:name="_Toc272238374"/>
      <w:bookmarkStart w:id="128" w:name="_Toc272307791"/>
      <w:r>
        <w:rPr>
          <w:rStyle w:val="CharSchNo"/>
        </w:rPr>
        <w:t>Schedule</w:t>
      </w:r>
      <w:r>
        <w:rPr>
          <w:rStyle w:val="CharSDivNo"/>
        </w:rPr>
        <w:t> </w:t>
      </w:r>
      <w:r>
        <w:t>—</w:t>
      </w:r>
      <w:r>
        <w:rPr>
          <w:rStyle w:val="CharSDivText"/>
        </w:rPr>
        <w:t> </w:t>
      </w:r>
      <w:r>
        <w:rPr>
          <w:rStyle w:val="CharSchText"/>
        </w:rPr>
        <w:t>Form of insurance policy</w:t>
      </w:r>
      <w:bookmarkEnd w:id="126"/>
      <w:bookmarkEnd w:id="127"/>
      <w:bookmarkEnd w:id="128"/>
    </w:p>
    <w:p>
      <w:pPr>
        <w:pStyle w:val="yShoulderClause"/>
      </w:pPr>
      <w:r>
        <w:t>[s. 6]</w:t>
      </w:r>
    </w:p>
    <w:p>
      <w:pPr>
        <w:pStyle w:val="yFootnoteheading"/>
        <w:rPr>
          <w:snapToGrid w:val="0"/>
        </w:rPr>
      </w:pPr>
      <w:r>
        <w:rPr>
          <w:snapToGrid w:val="0"/>
        </w:rPr>
        <w:tab/>
        <w:t>[Heading inserted by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 No. 19 of 2010 s. 23.]</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29" w:name="_Toc88885482"/>
      <w:bookmarkStart w:id="130" w:name="_Toc89568317"/>
      <w:bookmarkStart w:id="131" w:name="_Toc92784105"/>
      <w:bookmarkStart w:id="132" w:name="_Toc97018001"/>
      <w:bookmarkStart w:id="133" w:name="_Toc103131569"/>
      <w:bookmarkStart w:id="134" w:name="_Toc103131613"/>
      <w:bookmarkStart w:id="135" w:name="_Toc103131657"/>
      <w:bookmarkStart w:id="136" w:name="_Toc116374034"/>
      <w:bookmarkStart w:id="137" w:name="_Toc116374078"/>
      <w:bookmarkStart w:id="138" w:name="_Toc116376091"/>
      <w:bookmarkStart w:id="139" w:name="_Toc119220602"/>
      <w:bookmarkStart w:id="140" w:name="_Toc119315311"/>
      <w:bookmarkStart w:id="141" w:name="_Toc119394130"/>
      <w:bookmarkStart w:id="142" w:name="_Toc119394508"/>
      <w:bookmarkStart w:id="143" w:name="_Toc119731943"/>
      <w:bookmarkStart w:id="144" w:name="_Toc121287990"/>
      <w:bookmarkStart w:id="145" w:name="_Toc122761332"/>
      <w:bookmarkStart w:id="146" w:name="_Toc135714912"/>
      <w:bookmarkStart w:id="147" w:name="_Toc138582072"/>
      <w:bookmarkStart w:id="148" w:name="_Toc139252269"/>
      <w:bookmarkStart w:id="149" w:name="_Toc157925038"/>
      <w:bookmarkStart w:id="150" w:name="_Toc196193635"/>
      <w:bookmarkStart w:id="151" w:name="_Toc199754656"/>
      <w:bookmarkStart w:id="152" w:name="_Toc202174951"/>
      <w:bookmarkStart w:id="153" w:name="_Toc223858682"/>
      <w:bookmarkStart w:id="154" w:name="_Toc226184894"/>
      <w:bookmarkStart w:id="155" w:name="_Toc226185073"/>
      <w:bookmarkStart w:id="156" w:name="_Toc226796609"/>
      <w:bookmarkStart w:id="157" w:name="_Toc228006569"/>
      <w:bookmarkStart w:id="158" w:name="_Toc228079062"/>
      <w:bookmarkStart w:id="159" w:name="_Toc268179971"/>
      <w:bookmarkStart w:id="160" w:name="_Toc272238375"/>
      <w:bookmarkStart w:id="161" w:name="_Toc272307792"/>
      <w:r>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2" w:name="_Toc272307793"/>
      <w:r>
        <w:rPr>
          <w:snapToGrid w:val="0"/>
        </w:rPr>
        <w:t>Compilation table</w:t>
      </w:r>
      <w:bookmarkEnd w:id="162"/>
    </w:p>
    <w:tbl>
      <w:tblPr>
        <w:tblW w:w="7087" w:type="dxa"/>
        <w:tblInd w:w="65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r>
              <w:rPr>
                <w:color w:val="000000"/>
                <w:sz w:val="19"/>
              </w:rPr>
              <w:t xml:space="preserve"> (7 Geo. VI No. 27)</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 xml:space="preserve">40 of 1944 </w:t>
            </w:r>
            <w:r>
              <w:rPr>
                <w:color w:val="000000"/>
                <w:sz w:val="19"/>
              </w:rPr>
              <w:t>(8 and 9 Geo. VI No. 40)</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 xml:space="preserve">7 of 1945 </w:t>
            </w:r>
            <w:r>
              <w:rPr>
                <w:color w:val="000000"/>
                <w:sz w:val="19"/>
              </w:rPr>
              <w:t>(9 Geo. VI No. 7)</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 xml:space="preserve">31 of 1948 </w:t>
            </w:r>
            <w:r>
              <w:rPr>
                <w:color w:val="000000"/>
                <w:sz w:val="19"/>
              </w:rPr>
              <w:t>(12 Geo. VI No. 31)</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 xml:space="preserve">40 of 1951 </w:t>
            </w:r>
            <w:r>
              <w:rPr>
                <w:color w:val="000000"/>
                <w:sz w:val="19"/>
              </w:rPr>
              <w:t>(15 and 16 Geo. VI No. 40)</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 xml:space="preserve">36 of 1954 </w:t>
            </w:r>
            <w:r>
              <w:rPr>
                <w:color w:val="000000"/>
                <w:sz w:val="19"/>
              </w:rPr>
              <w:t>(3 Eliz. II No. 36)</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keepNext/>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 xml:space="preserve">77 of 1957 </w:t>
            </w:r>
            <w:r>
              <w:rPr>
                <w:color w:val="000000"/>
                <w:sz w:val="19"/>
              </w:rPr>
              <w:t>(6 Eliz. II No. 77)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r>
              <w:rPr>
                <w:color w:val="000000"/>
                <w:sz w:val="19"/>
              </w:rPr>
              <w:t xml:space="preserve"> (8 Eliz. II No. 18)</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r>
              <w:rPr>
                <w:color w:val="000000"/>
                <w:sz w:val="19"/>
              </w:rPr>
              <w:t xml:space="preserve"> (8 Eliz. II No. 25)</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r>
              <w:rPr>
                <w:color w:val="000000"/>
                <w:sz w:val="19"/>
              </w:rPr>
              <w:t xml:space="preserve"> (9 Eliz. II No. 31)</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 xml:space="preserve">70 of 1961 </w:t>
            </w:r>
            <w:r>
              <w:rPr>
                <w:color w:val="000000"/>
                <w:sz w:val="19"/>
              </w:rPr>
              <w:t>(10 Eliz. II No. 70)</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 xml:space="preserve">57 of 1962 </w:t>
            </w:r>
            <w:r>
              <w:rPr>
                <w:color w:val="000000"/>
                <w:sz w:val="19"/>
              </w:rPr>
              <w:t>(11 Eliz. II No. 57)</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 xml:space="preserve">72 of 1962 </w:t>
            </w:r>
            <w:r>
              <w:rPr>
                <w:color w:val="000000"/>
                <w:sz w:val="19"/>
              </w:rPr>
              <w:t>(11 Eliz. II No. 72)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 xml:space="preserve">71 of 1963 </w:t>
            </w:r>
            <w:r>
              <w:rPr>
                <w:color w:val="000000"/>
                <w:sz w:val="19"/>
              </w:rPr>
              <w:t>(12 Eliz. II No. 71)</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 xml:space="preserve">65 of 1964 </w:t>
            </w:r>
            <w:r>
              <w:rPr>
                <w:color w:val="000000"/>
                <w:sz w:val="19"/>
              </w:rPr>
              <w:t>(13 Eliz. II No. 65)</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s. 1, 2, 6</w:t>
            </w:r>
            <w:r>
              <w:rPr>
                <w:sz w:val="19"/>
              </w:rPr>
              <w:noBreakHyphen/>
              <w:t>9, 19, 21: 1 Jul 1967 (see s. </w:t>
            </w:r>
            <w:r>
              <w:rPr>
                <w:rFonts w:ascii="Times" w:hAnsi="Times"/>
                <w:sz w:val="19"/>
              </w:rPr>
              <w:t xml:space="preserve">2 and </w:t>
            </w:r>
            <w:r>
              <w:rPr>
                <w:rFonts w:ascii="Times" w:hAnsi="Times"/>
                <w:i/>
                <w:sz w:val="19"/>
              </w:rPr>
              <w:t>Gazette</w:t>
            </w:r>
            <w:r>
              <w:rPr>
                <w:rFonts w:ascii="Times" w:hAnsi="Times"/>
                <w:sz w:val="19"/>
              </w:rPr>
              <w:t xml:space="preserve"> 5 May 1967 p. 1119);</w:t>
            </w:r>
            <w:r>
              <w:rPr>
                <w:rFonts w:ascii="Times" w:hAnsi="Times"/>
                <w:sz w:val="19"/>
              </w:rPr>
              <w:br/>
            </w:r>
            <w:r>
              <w:rPr>
                <w:rFonts w:ascii="Times" w:hAnsi="Times"/>
                <w:color w:val="000000"/>
                <w:sz w:val="19"/>
              </w:rPr>
              <w:t xml:space="preserve"> s. 3-5, 10-18 and 20:</w:t>
            </w:r>
            <w:r>
              <w:rPr>
                <w:rFonts w:ascii="Times" w:hAnsi="Times"/>
                <w:sz w:val="19"/>
              </w:rPr>
              <w:t xml:space="preserve"> 4 Dec 1967 (see s. 2 and </w:t>
            </w:r>
            <w:r>
              <w:rPr>
                <w:rFonts w:ascii="Times" w:hAnsi="Times"/>
                <w:i/>
                <w:sz w:val="19"/>
              </w:rPr>
              <w:t>Gazette</w:t>
            </w:r>
            <w:r>
              <w:rPr>
                <w:rFonts w:ascii="Times" w:hAnsi="Times"/>
                <w:sz w:val="19"/>
              </w:rPr>
              <w:t xml:space="preserve"> 24 Nov 1967 p. 3195)</w:t>
            </w:r>
          </w:p>
        </w:tc>
      </w:tr>
      <w:tr>
        <w:trPr>
          <w:cantSplit/>
        </w:trPr>
        <w:tc>
          <w:tcPr>
            <w:tcW w:w="2268" w:type="dxa"/>
          </w:tcPr>
          <w:p>
            <w:pPr>
              <w:pStyle w:val="nTable"/>
              <w:keepNext/>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z w:val="19"/>
              </w:rPr>
            </w:pPr>
            <w:r>
              <w:rPr>
                <w:i/>
                <w:snapToGrid w:val="0"/>
                <w:sz w:val="19"/>
              </w:rPr>
              <w:t>Motor Vehicle (Third Party Insurance) Amendment Act 2006</w:t>
            </w:r>
            <w:r>
              <w:rPr>
                <w:snapToGrid w:val="0"/>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Act other than s. 5: 17 May 2006 (see s. 2(1));</w:t>
            </w:r>
            <w:r>
              <w:rPr>
                <w:sz w:val="19"/>
              </w:rPr>
              <w:b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z w:val="19"/>
              </w:rPr>
              <w:t>Duties Legislation Amendment Act 2008</w:t>
            </w:r>
            <w:r>
              <w:rPr>
                <w:iCs/>
                <w:sz w:val="19"/>
              </w:rPr>
              <w:t xml:space="preserve"> Sch. 1 cl. 23</w:t>
            </w:r>
          </w:p>
        </w:tc>
        <w:tc>
          <w:tcPr>
            <w:tcW w:w="1134" w:type="dxa"/>
          </w:tcPr>
          <w:p>
            <w:pPr>
              <w:pStyle w:val="nTable"/>
              <w:spacing w:after="40"/>
              <w:rPr>
                <w:snapToGrid w:val="0"/>
                <w:sz w:val="19"/>
                <w:lang w:val="en-US"/>
              </w:rPr>
            </w:pPr>
            <w:r>
              <w:rPr>
                <w:sz w:val="19"/>
              </w:rPr>
              <w:t>12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682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Pr>
          <w:p>
            <w:pPr>
              <w:pStyle w:val="nTable"/>
              <w:spacing w:after="40"/>
              <w:rPr>
                <w:snapToGrid w:val="0"/>
                <w:spacing w:val="-2"/>
                <w:sz w:val="19"/>
                <w:lang w:val="en-US"/>
              </w:rPr>
            </w:pPr>
            <w:r>
              <w:rPr>
                <w:b/>
                <w:sz w:val="19"/>
              </w:rPr>
              <w:t>Reprint 12: The</w:t>
            </w:r>
            <w:r>
              <w:rPr>
                <w:b/>
                <w:i/>
                <w:sz w:val="19"/>
              </w:rPr>
              <w:t xml:space="preserve"> Motor Vehicle (Third Party Insurance) Act 1943</w:t>
            </w:r>
            <w:r>
              <w:rPr>
                <w:b/>
                <w:sz w:val="19"/>
              </w:rPr>
              <w:t xml:space="preserve"> as at 24 Apr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23 and 51</w:t>
            </w:r>
          </w:p>
        </w:tc>
        <w:tc>
          <w:tcPr>
            <w:tcW w:w="1134"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w:t>
            </w:r>
            <w:bookmarkStart w:id="163" w:name="UpToHere"/>
            <w:bookmarkEnd w:id="163"/>
            <w:r>
              <w:rPr>
                <w:snapToGrid w:val="0"/>
                <w:sz w:val="18"/>
              </w:rPr>
              <w:t>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bookmarkStart w:id="164" w:name="AutoSch"/>
      <w:bookmarkEnd w:id="164"/>
    </w:p>
    <w:p>
      <w:pPr>
        <w:rPr>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165" w:name="_Toc226185075"/>
      <w:bookmarkStart w:id="166" w:name="_Toc226796611"/>
      <w:bookmarkStart w:id="167" w:name="_Toc228006571"/>
      <w:bookmarkStart w:id="168" w:name="_Toc228079064"/>
      <w:bookmarkStart w:id="169" w:name="_Toc268179973"/>
      <w:bookmarkStart w:id="170" w:name="_Toc272238377"/>
      <w:bookmarkStart w:id="171" w:name="_Toc272307794"/>
      <w:r>
        <w:rPr>
          <w:sz w:val="28"/>
        </w:rPr>
        <w:t>Defined Terms</w:t>
      </w:r>
      <w:bookmarkEnd w:id="165"/>
      <w:bookmarkEnd w:id="166"/>
      <w:bookmarkEnd w:id="167"/>
      <w:bookmarkEnd w:id="168"/>
      <w:bookmarkEnd w:id="169"/>
      <w:bookmarkEnd w:id="170"/>
      <w:bookmarkEnd w:id="171"/>
    </w:p>
    <w:p>
      <w:pPr>
        <w:ind w:left="850" w:right="850"/>
        <w:jc w:val="center"/>
        <w:rPr>
          <w:i/>
          <w:sz w:val="18"/>
          <w:vertAlign w:val="superscript"/>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2" w:name="DefinedTerms"/>
      <w:bookmarkEnd w:id="172"/>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Commission</w:t>
      </w:r>
      <w:r>
        <w:tab/>
        <w:t>3(1)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insured person</w:t>
      </w:r>
      <w:r>
        <w:tab/>
        <w:t>3(1)</w:t>
      </w:r>
    </w:p>
    <w:p>
      <w:pPr>
        <w:pStyle w:val="DefinedTerms"/>
      </w:pPr>
      <w:r>
        <w:t>Minister</w:t>
      </w:r>
      <w:r>
        <w:tab/>
        <w:t>3(1)</w:t>
      </w:r>
    </w:p>
    <w:p>
      <w:pPr>
        <w:pStyle w:val="DefinedTerms"/>
      </w:pPr>
      <w:r>
        <w:t>motor vehicle</w:t>
      </w:r>
      <w:r>
        <w:tab/>
        <w:t>3(1), 4(9a)(b)</w:t>
      </w:r>
    </w:p>
    <w:p>
      <w:pPr>
        <w:pStyle w:val="DefinedTerms"/>
      </w:pPr>
      <w:r>
        <w:t>non</w:t>
      </w:r>
      <w:r>
        <w:noBreakHyphen/>
        <w:t>pecuniary loss</w:t>
      </w:r>
      <w:r>
        <w:tab/>
        <w:t>3C(1)</w:t>
      </w:r>
    </w:p>
    <w:p>
      <w:pPr>
        <w:pStyle w:val="DefinedTerms"/>
      </w:pPr>
      <w:r>
        <w:t>owner</w:t>
      </w:r>
      <w:r>
        <w:tab/>
        <w:t>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t>the Tribunal</w:t>
      </w:r>
      <w:r>
        <w:tab/>
        <w:t>16(1)</w:t>
      </w:r>
    </w:p>
    <w:p>
      <w:pPr>
        <w:pStyle w:val="DefinedTerms"/>
      </w:pPr>
      <w:r>
        <w:t>the Act</w:t>
      </w:r>
      <w:r>
        <w:tab/>
        <w:t>Sch.</w:t>
      </w:r>
    </w:p>
    <w:p>
      <w:pPr>
        <w:pStyle w:val="DefinedTerms"/>
      </w:pPr>
      <w:r>
        <w:t>Traffic Act</w:t>
      </w:r>
      <w:r>
        <w:tab/>
        <w:t>3(1)</w:t>
      </w:r>
    </w:p>
    <w:p>
      <w:pPr>
        <w:pStyle w:val="DefinedTerms"/>
      </w:pPr>
      <w:r>
        <w:t>uninsured motor vehicle</w:t>
      </w:r>
      <w:r>
        <w:tab/>
        <w:t>3(1)</w:t>
      </w:r>
    </w:p>
    <w:p/>
    <w:p>
      <w:pPr>
        <w:sectPr>
          <w:headerReference w:type="even" r:id="rId34"/>
          <w:headerReference w:type="default" r:id="rId35"/>
          <w:footerReference w:type="even" r:id="rId36"/>
          <w:headerReference w:type="first" r:id="rId37"/>
          <w:pgSz w:w="11906" w:h="16838" w:code="9"/>
          <w:pgMar w:top="2381" w:right="2409" w:bottom="3543" w:left="2409" w:header="720" w:footer="3380" w:gutter="0"/>
          <w:cols w:space="720"/>
          <w:noEndnote/>
          <w:docGrid w:linePitch="326"/>
        </w:sectPr>
      </w:pPr>
    </w:p>
    <w:p/>
    <w:sectPr>
      <w:headerReference w:type="even"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Form of insurance policy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fldSimple w:instr=" styleref CharSchText ">
            <w:r>
              <w:rPr>
                <w:noProof/>
              </w:rPr>
              <w:t>Form of insurance policy</w:t>
            </w:r>
          </w:fldSimple>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6"/>
  </w:num>
  <w:num w:numId="13">
    <w:abstractNumId w:val="19"/>
  </w:num>
  <w:num w:numId="14">
    <w:abstractNumId w:val="20"/>
  </w:num>
  <w:num w:numId="15">
    <w:abstractNumId w:val="12"/>
  </w:num>
  <w:num w:numId="16">
    <w:abstractNumId w:val="14"/>
  </w:num>
  <w:num w:numId="17">
    <w:abstractNumId w:val="13"/>
  </w:num>
  <w:num w:numId="18">
    <w:abstractNumId w:val="24"/>
  </w:num>
  <w:num w:numId="19">
    <w:abstractNumId w:val="22"/>
  </w:num>
  <w:num w:numId="20">
    <w:abstractNumId w:val="10"/>
  </w:num>
  <w:num w:numId="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11"/>
    <w:docVar w:name="WAFER_20151208140711" w:val="RemoveTrackChanges"/>
    <w:docVar w:name="WAFER_20151208140711_GUID" w:val="16aaf606-cfee-41c0-9e4e-4403e7a34b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17712</Words>
  <Characters>78646</Characters>
  <Application>Microsoft Office Word</Application>
  <DocSecurity>0</DocSecurity>
  <Lines>2313</Lines>
  <Paragraphs>1147</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95211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1943 - 12-c0-04</dc:title>
  <dc:subject/>
  <dc:creator/>
  <cp:keywords/>
  <dc:description/>
  <cp:lastModifiedBy>svcMRProcess</cp:lastModifiedBy>
  <cp:revision>4</cp:revision>
  <cp:lastPrinted>2010-09-14T06:34:00Z</cp:lastPrinted>
  <dcterms:created xsi:type="dcterms:W3CDTF">2020-02-18T02:24:00Z</dcterms:created>
  <dcterms:modified xsi:type="dcterms:W3CDTF">2020-02-18T02:24:00Z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527</vt:i4>
  </property>
  <property fmtid="{D5CDD505-2E9C-101B-9397-08002B2CF9AE}" pid="6" name="AsAtDate">
    <vt:lpwstr>11 Sep 2010</vt:lpwstr>
  </property>
  <property fmtid="{D5CDD505-2E9C-101B-9397-08002B2CF9AE}" pid="7" name="Suffix">
    <vt:lpwstr>12-c0-04</vt:lpwstr>
  </property>
  <property fmtid="{D5CDD505-2E9C-101B-9397-08002B2CF9AE}" pid="8" name="ReprintNo">
    <vt:lpwstr>12</vt:lpwstr>
  </property>
</Properties>
</file>