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_Toc272312153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_Toc272312154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_Toc272312155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Vesting of land</w:t>
      </w:r>
      <w:r>
        <w:tab/>
      </w:r>
      <w:r>
        <w:fldChar w:fldCharType="begin"/>
      </w:r>
      <w:r>
        <w:instrText xml:space="preserve"> PAGEREF _Toc272312156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Excision of certain land for drainage or road purposes</w:t>
      </w:r>
      <w:r>
        <w:tab/>
      </w:r>
      <w:r>
        <w:fldChar w:fldCharType="begin"/>
      </w:r>
      <w:r>
        <w:instrText xml:space="preserve"> PAGEREF _Toc272312157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Creation of reserve</w:t>
      </w:r>
      <w:r>
        <w:tab/>
      </w:r>
      <w:r>
        <w:fldChar w:fldCharType="begin"/>
      </w:r>
      <w:r>
        <w:instrText xml:space="preserve"> PAGEREF _Toc272312158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Constitution of The Queen Elizabeth II Medical Centre Trust</w:t>
      </w:r>
      <w:r>
        <w:tab/>
      </w:r>
      <w:r>
        <w:fldChar w:fldCharType="begin"/>
      </w:r>
      <w:r>
        <w:instrText xml:space="preserve"> PAGEREF _Toc272312159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Quorum</w:t>
      </w:r>
      <w:r>
        <w:tab/>
      </w:r>
      <w:r>
        <w:fldChar w:fldCharType="begin"/>
      </w:r>
      <w:r>
        <w:instrText xml:space="preserve"> PAGEREF _Toc272312160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Vacancies</w:t>
      </w:r>
      <w:r>
        <w:tab/>
      </w:r>
      <w:r>
        <w:fldChar w:fldCharType="begin"/>
      </w:r>
      <w:r>
        <w:instrText xml:space="preserve"> PAGEREF _Toc272312161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Meetings of Trust</w:t>
      </w:r>
      <w:r>
        <w:tab/>
      </w:r>
      <w:r>
        <w:fldChar w:fldCharType="begin"/>
      </w:r>
      <w:r>
        <w:instrText xml:space="preserve"> PAGEREF _Toc272312162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Use of common seal</w:t>
      </w:r>
      <w:r>
        <w:tab/>
      </w:r>
      <w:r>
        <w:fldChar w:fldCharType="begin"/>
      </w:r>
      <w:r>
        <w:instrText xml:space="preserve"> PAGEREF _Toc272312163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_Toc272312164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the Trust</w:t>
      </w:r>
      <w:r>
        <w:tab/>
      </w:r>
      <w:r>
        <w:fldChar w:fldCharType="begin"/>
      </w:r>
      <w:r>
        <w:instrText xml:space="preserve"> PAGEREF _Toc272312165 \h </w:instrText>
      </w:r>
      <w:r>
        <w:fldChar w:fldCharType="separate"/>
      </w:r>
      <w:r>
        <w:t>7</w:t>
      </w:r>
      <w:r>
        <w:fldChar w:fldCharType="end"/>
      </w:r>
    </w:p>
    <w:p>
      <w:pPr>
        <w:pStyle w:val="TOC8"/>
        <w:rPr>
          <w:sz w:val="24"/>
          <w:szCs w:val="24"/>
        </w:rPr>
      </w:pPr>
      <w:r>
        <w:rPr>
          <w:szCs w:val="24"/>
        </w:rPr>
        <w:t>13A</w:t>
      </w:r>
      <w:r>
        <w:rPr>
          <w:snapToGrid w:val="0"/>
          <w:szCs w:val="24"/>
        </w:rPr>
        <w:t>.</w:t>
      </w:r>
      <w:r>
        <w:rPr>
          <w:snapToGrid w:val="0"/>
          <w:szCs w:val="24"/>
        </w:rPr>
        <w:tab/>
        <w:t>Additional land for Queen Elizabeth II Medical Centre Reserve</w:t>
      </w:r>
      <w:r>
        <w:tab/>
      </w:r>
      <w:r>
        <w:fldChar w:fldCharType="begin"/>
      </w:r>
      <w:r>
        <w:instrText xml:space="preserve"> PAGEREF _Toc272312166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Officers and employees</w:t>
      </w:r>
      <w:r>
        <w:tab/>
      </w:r>
      <w:r>
        <w:fldChar w:fldCharType="begin"/>
      </w:r>
      <w:r>
        <w:instrText xml:space="preserve"> PAGEREF _Toc272312167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_Toc272312168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Teaching hospitals on reserve</w:t>
      </w:r>
      <w:r>
        <w:tab/>
      </w:r>
      <w:r>
        <w:fldChar w:fldCharType="begin"/>
      </w:r>
      <w:r>
        <w:instrText xml:space="preserve"> PAGEREF _Toc272312169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Indemnity</w:t>
      </w:r>
      <w:r>
        <w:tab/>
      </w:r>
      <w:r>
        <w:fldChar w:fldCharType="begin"/>
      </w:r>
      <w:r>
        <w:instrText xml:space="preserve"> PAGEREF _Toc272312170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of Senate to apply fees and other money to reserve</w:t>
      </w:r>
      <w:r>
        <w:tab/>
      </w:r>
      <w:r>
        <w:fldChar w:fldCharType="begin"/>
      </w:r>
      <w:r>
        <w:instrText xml:space="preserve"> PAGEREF _Toc272312171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Saving</w:t>
      </w:r>
      <w:r>
        <w:tab/>
      </w:r>
      <w:r>
        <w:fldChar w:fldCharType="begin"/>
      </w:r>
      <w:r>
        <w:instrText xml:space="preserve"> PAGEREF _Toc272312172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By</w:t>
      </w:r>
      <w:r>
        <w:rPr>
          <w:snapToGrid w:val="0"/>
          <w:szCs w:val="24"/>
        </w:rPr>
        <w:noBreakHyphen/>
        <w:t>laws</w:t>
      </w:r>
      <w:r>
        <w:tab/>
      </w:r>
      <w:r>
        <w:fldChar w:fldCharType="begin"/>
      </w:r>
      <w:r>
        <w:instrText xml:space="preserve"> PAGEREF _Toc272312173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Review of Act</w:t>
      </w:r>
      <w:r>
        <w:tab/>
      </w:r>
      <w:r>
        <w:fldChar w:fldCharType="begin"/>
      </w:r>
      <w:r>
        <w:instrText xml:space="preserve"> PAGEREF _Toc272312174 \h </w:instrText>
      </w:r>
      <w:r>
        <w:fldChar w:fldCharType="separate"/>
      </w:r>
      <w:r>
        <w:t>22</w:t>
      </w:r>
      <w:r>
        <w:fldChar w:fldCharType="end"/>
      </w:r>
    </w:p>
    <w:p>
      <w:pPr>
        <w:pStyle w:val="TOC2"/>
        <w:tabs>
          <w:tab w:val="right" w:leader="dot" w:pos="7078"/>
        </w:tabs>
        <w:rPr>
          <w:b w:val="0"/>
          <w:sz w:val="24"/>
          <w:szCs w:val="24"/>
        </w:rPr>
      </w:pPr>
      <w:r>
        <w:rPr>
          <w:rFonts w:eastAsia="MS Mincho"/>
          <w:szCs w:val="28"/>
        </w:rPr>
        <w:t>Schedule — Medical centre land</w:t>
      </w:r>
    </w:p>
    <w:p>
      <w:pPr>
        <w:pStyle w:val="TOC4"/>
        <w:tabs>
          <w:tab w:val="right" w:leader="dot" w:pos="7078"/>
        </w:tabs>
        <w:rPr>
          <w:b w:val="0"/>
          <w:sz w:val="24"/>
          <w:szCs w:val="24"/>
        </w:rPr>
      </w:pPr>
      <w:r>
        <w:rPr>
          <w:rFonts w:eastAsia="MS Mincho"/>
          <w:szCs w:val="24"/>
        </w:rPr>
        <w:t>Part I</w:t>
      </w:r>
      <w:r>
        <w:rPr>
          <w:rFonts w:eastAsia="MS Mincho"/>
          <w:b w:val="0"/>
          <w:szCs w:val="24"/>
        </w:rPr>
        <w:t> </w:t>
      </w:r>
      <w:r>
        <w:rPr>
          <w:rFonts w:eastAsia="MS Mincho"/>
          <w:szCs w:val="24"/>
        </w:rPr>
        <w:t>— Original land</w:t>
      </w:r>
    </w:p>
    <w:p>
      <w:pPr>
        <w:pStyle w:val="TOC4"/>
        <w:tabs>
          <w:tab w:val="right" w:leader="dot" w:pos="7078"/>
        </w:tabs>
        <w:rPr>
          <w:b w:val="0"/>
          <w:sz w:val="24"/>
          <w:szCs w:val="24"/>
        </w:rPr>
      </w:pPr>
      <w:r>
        <w:rPr>
          <w:rFonts w:eastAsia="MS Mincho"/>
          <w:szCs w:val="24"/>
        </w:rPr>
        <w:t>Part II — Further land</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_Toc272312179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_Toc272312180 \h </w:instrText>
      </w:r>
      <w:r>
        <w:fldChar w:fldCharType="separate"/>
      </w:r>
      <w:r>
        <w:t>25</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72312153"/>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272312154"/>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272312155"/>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3" w:name="_Toc411737201"/>
      <w:bookmarkStart w:id="14" w:name="_Toc518886982"/>
      <w:bookmarkStart w:id="15" w:name="_Toc90098263"/>
      <w:bookmarkStart w:id="16" w:name="_Toc272312156"/>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17" w:name="_Toc411737202"/>
      <w:bookmarkStart w:id="18" w:name="_Toc518886983"/>
      <w:bookmarkStart w:id="19" w:name="_Toc90098264"/>
      <w:r>
        <w:tab/>
        <w:t>[Section 4 amended by No. 19 of 2010 s. 51.]</w:t>
      </w:r>
    </w:p>
    <w:p>
      <w:pPr>
        <w:pStyle w:val="Heading5"/>
        <w:rPr>
          <w:snapToGrid w:val="0"/>
        </w:rPr>
      </w:pPr>
      <w:bookmarkStart w:id="20" w:name="_Toc272312157"/>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272312158"/>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272312159"/>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29" w:name="_Toc411737205"/>
      <w:bookmarkStart w:id="30" w:name="_Toc518886986"/>
      <w:bookmarkStart w:id="31" w:name="_Toc90098267"/>
      <w:bookmarkStart w:id="32" w:name="_Toc272312160"/>
      <w:r>
        <w:rPr>
          <w:rStyle w:val="CharSectno"/>
        </w:rPr>
        <w:t>8</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272312161"/>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272312162"/>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272312163"/>
      <w:r>
        <w:rPr>
          <w:rStyle w:val="CharSectno"/>
        </w:rPr>
        <w:t>11</w:t>
      </w:r>
      <w:r>
        <w:rPr>
          <w:snapToGrid w:val="0"/>
        </w:rPr>
        <w:t>.</w:t>
      </w:r>
      <w:r>
        <w:rPr>
          <w:snapToGrid w:val="0"/>
        </w:rPr>
        <w:tab/>
        <w:t>Use of common seal</w:t>
      </w:r>
      <w:bookmarkEnd w:id="41"/>
      <w:bookmarkEnd w:id="42"/>
      <w:bookmarkEnd w:id="43"/>
      <w:bookmarkEnd w:id="44"/>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272312164"/>
      <w:r>
        <w:rPr>
          <w:rStyle w:val="CharSectno"/>
        </w:rPr>
        <w:t>12</w:t>
      </w:r>
      <w:r>
        <w:rPr>
          <w:snapToGrid w:val="0"/>
        </w:rPr>
        <w:t>.</w:t>
      </w:r>
      <w:r>
        <w:rPr>
          <w:snapToGrid w:val="0"/>
        </w:rPr>
        <w:tab/>
        <w:t>Delegation</w:t>
      </w:r>
      <w:bookmarkEnd w:id="45"/>
      <w:bookmarkEnd w:id="46"/>
      <w:bookmarkEnd w:id="47"/>
      <w:bookmarkEnd w:id="48"/>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9" w:name="_Toc411737210"/>
      <w:bookmarkStart w:id="50" w:name="_Toc518886991"/>
      <w:bookmarkStart w:id="51" w:name="_Toc90098272"/>
      <w:bookmarkStart w:id="52" w:name="_Toc272312165"/>
      <w:r>
        <w:rPr>
          <w:rStyle w:val="CharSectno"/>
        </w:rPr>
        <w:t>13</w:t>
      </w:r>
      <w:r>
        <w:rPr>
          <w:snapToGrid w:val="0"/>
        </w:rPr>
        <w:t>.</w:t>
      </w:r>
      <w:r>
        <w:rPr>
          <w:snapToGrid w:val="0"/>
        </w:rPr>
        <w:tab/>
        <w:t>Functions of the Trust</w:t>
      </w:r>
      <w:bookmarkEnd w:id="49"/>
      <w:bookmarkEnd w:id="50"/>
      <w:bookmarkEnd w:id="51"/>
      <w:bookmarkEnd w:id="52"/>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w:t>
      </w:r>
    </w:p>
    <w:p>
      <w:pPr>
        <w:pStyle w:val="Heading5"/>
        <w:rPr>
          <w:snapToGrid w:val="0"/>
        </w:rPr>
      </w:pPr>
      <w:bookmarkStart w:id="53" w:name="_Toc411737211"/>
      <w:bookmarkStart w:id="54" w:name="_Toc518886992"/>
      <w:bookmarkStart w:id="55" w:name="_Toc90098273"/>
      <w:bookmarkStart w:id="56" w:name="_Toc272312166"/>
      <w:r>
        <w:rPr>
          <w:rStyle w:val="CharSectno"/>
        </w:rPr>
        <w:t>13A</w:t>
      </w:r>
      <w:r>
        <w:rPr>
          <w:snapToGrid w:val="0"/>
        </w:rPr>
        <w:t>.</w:t>
      </w:r>
      <w:r>
        <w:rPr>
          <w:snapToGrid w:val="0"/>
        </w:rPr>
        <w:tab/>
        <w:t>Additional land for Queen Elizabeth II Medical Centre Reserve</w:t>
      </w:r>
      <w:bookmarkEnd w:id="53"/>
      <w:bookmarkEnd w:id="54"/>
      <w:bookmarkEnd w:id="55"/>
      <w:bookmarkEnd w:id="5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7" w:name="_Toc411737212"/>
      <w:bookmarkStart w:id="58" w:name="_Toc518886993"/>
      <w:bookmarkStart w:id="59" w:name="_Toc90098274"/>
      <w:bookmarkStart w:id="60" w:name="_Toc272312167"/>
      <w:r>
        <w:rPr>
          <w:rStyle w:val="CharSectno"/>
        </w:rPr>
        <w:t>14</w:t>
      </w:r>
      <w:r>
        <w:rPr>
          <w:snapToGrid w:val="0"/>
        </w:rPr>
        <w:t>.</w:t>
      </w:r>
      <w:r>
        <w:rPr>
          <w:snapToGrid w:val="0"/>
        </w:rPr>
        <w:tab/>
        <w:t>Officers and employees</w:t>
      </w:r>
      <w:bookmarkEnd w:id="57"/>
      <w:bookmarkEnd w:id="58"/>
      <w:bookmarkEnd w:id="59"/>
      <w:bookmarkEnd w:id="6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272312168"/>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5" w:name="_Toc411737214"/>
      <w:bookmarkStart w:id="66" w:name="_Toc518886995"/>
      <w:bookmarkStart w:id="67" w:name="_Toc90098276"/>
      <w:bookmarkStart w:id="68" w:name="_Toc272312169"/>
      <w:r>
        <w:rPr>
          <w:rStyle w:val="CharSectno"/>
        </w:rPr>
        <w:t>16</w:t>
      </w:r>
      <w:r>
        <w:rPr>
          <w:snapToGrid w:val="0"/>
        </w:rPr>
        <w:t>.</w:t>
      </w:r>
      <w:r>
        <w:rPr>
          <w:snapToGrid w:val="0"/>
        </w:rPr>
        <w:tab/>
        <w:t>Teaching hospitals on reserve</w:t>
      </w:r>
      <w:bookmarkEnd w:id="65"/>
      <w:bookmarkEnd w:id="66"/>
      <w:bookmarkEnd w:id="67"/>
      <w:bookmarkEnd w:id="68"/>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69" w:name="_Toc411737215"/>
      <w:bookmarkStart w:id="70" w:name="_Toc518886996"/>
      <w:bookmarkStart w:id="71" w:name="_Toc90098277"/>
      <w:bookmarkStart w:id="72" w:name="_Toc272312170"/>
      <w:r>
        <w:rPr>
          <w:rStyle w:val="CharSectno"/>
        </w:rPr>
        <w:t>17</w:t>
      </w:r>
      <w:r>
        <w:rPr>
          <w:snapToGrid w:val="0"/>
        </w:rPr>
        <w:t>.</w:t>
      </w:r>
      <w:r>
        <w:rPr>
          <w:snapToGrid w:val="0"/>
        </w:rPr>
        <w:tab/>
        <w:t>Indemnity</w:t>
      </w:r>
      <w:bookmarkEnd w:id="69"/>
      <w:bookmarkEnd w:id="70"/>
      <w:bookmarkEnd w:id="71"/>
      <w:bookmarkEnd w:id="7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272312171"/>
      <w:r>
        <w:rPr>
          <w:rStyle w:val="CharSectno"/>
        </w:rPr>
        <w:t>18</w:t>
      </w:r>
      <w:r>
        <w:rPr>
          <w:snapToGrid w:val="0"/>
        </w:rPr>
        <w:t>.</w:t>
      </w:r>
      <w:r>
        <w:rPr>
          <w:snapToGrid w:val="0"/>
        </w:rPr>
        <w:tab/>
        <w:t>Power of Senate to apply fees and other money to reserve</w:t>
      </w:r>
      <w:bookmarkEnd w:id="73"/>
      <w:bookmarkEnd w:id="74"/>
      <w:bookmarkEnd w:id="75"/>
      <w:bookmarkEnd w:id="76"/>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272312172"/>
      <w:r>
        <w:rPr>
          <w:rStyle w:val="CharSectno"/>
        </w:rPr>
        <w:t>19</w:t>
      </w:r>
      <w:r>
        <w:rPr>
          <w:snapToGrid w:val="0"/>
        </w:rPr>
        <w:t>.</w:t>
      </w:r>
      <w:r>
        <w:rPr>
          <w:snapToGrid w:val="0"/>
        </w:rPr>
        <w:tab/>
        <w:t>Saving</w:t>
      </w:r>
      <w:bookmarkEnd w:id="77"/>
      <w:bookmarkEnd w:id="78"/>
      <w:bookmarkEnd w:id="79"/>
      <w:bookmarkEnd w:id="8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1" w:name="_Toc411737218"/>
      <w:bookmarkStart w:id="82" w:name="_Toc518886999"/>
      <w:bookmarkStart w:id="83" w:name="_Toc90098280"/>
      <w:bookmarkStart w:id="84" w:name="_Toc272312173"/>
      <w:r>
        <w:rPr>
          <w:rStyle w:val="CharSectno"/>
        </w:rPr>
        <w:t>20</w:t>
      </w:r>
      <w:r>
        <w:rPr>
          <w:snapToGrid w:val="0"/>
        </w:rPr>
        <w:t>.</w:t>
      </w:r>
      <w:r>
        <w:rPr>
          <w:snapToGrid w:val="0"/>
        </w:rPr>
        <w:tab/>
        <w:t>By</w:t>
      </w:r>
      <w:r>
        <w:rPr>
          <w:snapToGrid w:val="0"/>
        </w:rPr>
        <w:noBreakHyphen/>
        <w:t>laws</w:t>
      </w:r>
      <w:bookmarkEnd w:id="81"/>
      <w:bookmarkEnd w:id="82"/>
      <w:bookmarkEnd w:id="83"/>
      <w:bookmarkEnd w:id="8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5" w:name="_Toc411737219"/>
      <w:bookmarkStart w:id="86" w:name="_Toc518887000"/>
      <w:bookmarkStart w:id="87" w:name="_Toc90098281"/>
      <w:bookmarkStart w:id="88" w:name="_Toc272312174"/>
      <w:r>
        <w:rPr>
          <w:rStyle w:val="CharSectno"/>
        </w:rPr>
        <w:t>21</w:t>
      </w:r>
      <w:r>
        <w:rPr>
          <w:snapToGrid w:val="0"/>
        </w:rPr>
        <w:t>.</w:t>
      </w:r>
      <w:r>
        <w:rPr>
          <w:snapToGrid w:val="0"/>
        </w:rPr>
        <w:tab/>
        <w:t>Review of Act</w:t>
      </w:r>
      <w:bookmarkEnd w:id="85"/>
      <w:bookmarkEnd w:id="86"/>
      <w:bookmarkEnd w:id="87"/>
      <w:bookmarkEnd w:id="88"/>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9" w:name="_Toc232235547"/>
      <w:bookmarkStart w:id="90" w:name="_Toc232235745"/>
      <w:bookmarkStart w:id="91" w:name="_Toc233100615"/>
      <w:bookmarkStart w:id="92" w:name="_Toc233107776"/>
      <w:bookmarkStart w:id="93" w:name="_Toc268247469"/>
      <w:bookmarkStart w:id="94" w:name="_Toc272312175"/>
      <w:r>
        <w:rPr>
          <w:rStyle w:val="CharSchNo"/>
          <w:rFonts w:eastAsia="MS Mincho"/>
        </w:rPr>
        <w:t>Schedule</w:t>
      </w:r>
      <w:r>
        <w:rPr>
          <w:rFonts w:eastAsia="MS Mincho"/>
        </w:rPr>
        <w:t> — </w:t>
      </w:r>
      <w:r>
        <w:rPr>
          <w:rStyle w:val="CharSchText"/>
          <w:rFonts w:eastAsia="MS Mincho"/>
        </w:rPr>
        <w:t>Medical centre land</w:t>
      </w:r>
      <w:bookmarkEnd w:id="89"/>
      <w:bookmarkEnd w:id="90"/>
      <w:bookmarkEnd w:id="91"/>
      <w:bookmarkEnd w:id="92"/>
      <w:bookmarkEnd w:id="93"/>
      <w:bookmarkEnd w:id="94"/>
    </w:p>
    <w:p>
      <w:pPr>
        <w:pStyle w:val="yShoulderClause"/>
        <w:rPr>
          <w:rFonts w:eastAsia="MS Mincho"/>
        </w:rPr>
      </w:pPr>
      <w:r>
        <w:rPr>
          <w:rFonts w:eastAsia="MS Mincho"/>
        </w:rPr>
        <w:t>[s. 4, 5 and 6]</w:t>
      </w:r>
    </w:p>
    <w:p>
      <w:pPr>
        <w:pStyle w:val="yFootnotesection"/>
      </w:pPr>
      <w:bookmarkStart w:id="95" w:name="_Toc232235548"/>
      <w:bookmarkStart w:id="96" w:name="_Toc232235746"/>
      <w:bookmarkStart w:id="97" w:name="_Toc233100616"/>
      <w:bookmarkStart w:id="98" w:name="_Toc233107777"/>
      <w:r>
        <w:tab/>
        <w:t>[Heading amended by No. 19 of 2010 s. 27(2).]</w:t>
      </w:r>
    </w:p>
    <w:p>
      <w:pPr>
        <w:pStyle w:val="yHeading3"/>
        <w:rPr>
          <w:rFonts w:eastAsia="MS Mincho"/>
        </w:rPr>
      </w:pPr>
      <w:bookmarkStart w:id="99" w:name="_Toc268247470"/>
      <w:bookmarkStart w:id="100" w:name="_Toc272312176"/>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95"/>
      <w:bookmarkEnd w:id="96"/>
      <w:bookmarkEnd w:id="97"/>
      <w:bookmarkEnd w:id="98"/>
      <w:bookmarkEnd w:id="99"/>
      <w:bookmarkEnd w:id="100"/>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01" w:name="_Toc232235549"/>
      <w:bookmarkStart w:id="102" w:name="_Toc232235747"/>
      <w:bookmarkStart w:id="103" w:name="_Toc233100617"/>
      <w:bookmarkStart w:id="104" w:name="_Toc233107778"/>
      <w:bookmarkStart w:id="105" w:name="_Toc268247471"/>
      <w:bookmarkStart w:id="106" w:name="_Toc272312177"/>
      <w:r>
        <w:rPr>
          <w:rStyle w:val="CharSDivNo"/>
          <w:rFonts w:eastAsia="MS Mincho"/>
        </w:rPr>
        <w:t>Part II</w:t>
      </w:r>
      <w:r>
        <w:rPr>
          <w:rFonts w:eastAsia="MS Mincho"/>
        </w:rPr>
        <w:t> — </w:t>
      </w:r>
      <w:r>
        <w:rPr>
          <w:rStyle w:val="CharSDivNo"/>
          <w:rFonts w:eastAsia="MS Mincho"/>
        </w:rPr>
        <w:t>Further land</w:t>
      </w:r>
      <w:bookmarkEnd w:id="101"/>
      <w:bookmarkEnd w:id="102"/>
      <w:bookmarkEnd w:id="103"/>
      <w:bookmarkEnd w:id="104"/>
      <w:bookmarkEnd w:id="105"/>
      <w:bookmarkEnd w:id="106"/>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07" w:name="_Toc90090692"/>
      <w:bookmarkStart w:id="108" w:name="_Toc90090737"/>
      <w:bookmarkStart w:id="109" w:name="_Toc90098283"/>
      <w:bookmarkStart w:id="110" w:name="_Toc156985902"/>
      <w:bookmarkStart w:id="111" w:name="_Toc158001691"/>
      <w:bookmarkStart w:id="112" w:name="_Toc199817735"/>
      <w:bookmarkStart w:id="113" w:name="_Toc215549215"/>
      <w:bookmarkStart w:id="114" w:name="_Toc215549242"/>
      <w:bookmarkStart w:id="115" w:name="_Toc219688645"/>
      <w:bookmarkStart w:id="116" w:name="_Toc219688672"/>
      <w:bookmarkStart w:id="117" w:name="_Toc219695417"/>
      <w:bookmarkStart w:id="118" w:name="_Toc221335758"/>
      <w:bookmarkStart w:id="119" w:name="_Toc268247472"/>
      <w:bookmarkStart w:id="120" w:name="_Toc272312178"/>
      <w:r>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1" w:name="_Toc272312179"/>
      <w:r>
        <w:rPr>
          <w:snapToGrid w:val="0"/>
        </w:rPr>
        <w:t>Compilation table</w:t>
      </w:r>
      <w:bookmarkEnd w:id="121"/>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r>
              <w:rPr>
                <w:i/>
                <w:sz w:val="19"/>
              </w:rPr>
              <w:t>Perth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r>
              <w:rPr>
                <w:i/>
                <w:sz w:val="19"/>
              </w:rPr>
              <w:t>Perth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r>
              <w:rPr>
                <w:i/>
                <w:sz w:val="19"/>
              </w:rPr>
              <w:t>Perth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r>
              <w:rPr>
                <w:i/>
                <w:sz w:val="19"/>
              </w:rPr>
              <w:t>Perth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UpToHere"/>
      <w:bookmarkStart w:id="123" w:name="_Toc7405065"/>
      <w:bookmarkStart w:id="124" w:name="_Toc272312180"/>
      <w:bookmarkEnd w:id="122"/>
      <w:r>
        <w:t>Provisions that have not come into operation</w:t>
      </w:r>
      <w:bookmarkEnd w:id="123"/>
      <w:bookmarkEnd w:id="1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43</w:t>
            </w:r>
            <w:r>
              <w:rPr>
                <w:iCs/>
                <w:snapToGrid w:val="0"/>
                <w:sz w:val="19"/>
                <w:vertAlign w:val="superscript"/>
                <w:lang w:val="en-US"/>
              </w:rPr>
              <w:t> 6</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25" w:name="_Toc9323144"/>
      <w:bookmarkStart w:id="126" w:name="_Toc51480430"/>
      <w:bookmarkStart w:id="127" w:name="_Toc88641587"/>
      <w:r>
        <w:rPr>
          <w:rStyle w:val="CharSectno"/>
        </w:rPr>
        <w:t>“</w:t>
      </w:r>
    </w:p>
    <w:p>
      <w:pPr>
        <w:pStyle w:val="nzHeading5"/>
      </w:pPr>
      <w:r>
        <w:rPr>
          <w:rStyle w:val="CharSectno"/>
        </w:rPr>
        <w:t>18</w:t>
      </w:r>
      <w:r>
        <w:t>.</w:t>
      </w:r>
      <w:r>
        <w:tab/>
        <w:t>Validation</w:t>
      </w:r>
      <w:bookmarkEnd w:id="125"/>
      <w:bookmarkEnd w:id="126"/>
      <w:bookmarkEnd w:id="127"/>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28" w:name="_Hlt51646937"/>
      <w:r>
        <w:t>17</w:t>
      </w:r>
      <w:bookmarkEnd w:id="128"/>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43 had not come into operation.  It reads as follows:</w:t>
      </w:r>
    </w:p>
    <w:p>
      <w:pPr>
        <w:pStyle w:val="BlankOpen"/>
      </w:pPr>
    </w:p>
    <w:p>
      <w:pPr>
        <w:pStyle w:val="nzHeading3"/>
      </w:pPr>
      <w:bookmarkStart w:id="129" w:name="_Toc262066757"/>
      <w:bookmarkStart w:id="130" w:name="_Toc270079306"/>
      <w:bookmarkStart w:id="131" w:name="_Toc270349226"/>
      <w:r>
        <w:rPr>
          <w:rStyle w:val="CharDivNo"/>
        </w:rPr>
        <w:t>Division 43</w:t>
      </w:r>
      <w:r>
        <w:t> — </w:t>
      </w:r>
      <w:r>
        <w:rPr>
          <w:rStyle w:val="CharDivText"/>
          <w:i/>
          <w:iCs/>
        </w:rPr>
        <w:t>Queen Elizabeth II Medical Centre Act 1966</w:t>
      </w:r>
      <w:r>
        <w:rPr>
          <w:rStyle w:val="CharDivText"/>
        </w:rPr>
        <w:t> amended</w:t>
      </w:r>
      <w:bookmarkEnd w:id="129"/>
      <w:bookmarkEnd w:id="130"/>
      <w:bookmarkEnd w:id="131"/>
    </w:p>
    <w:p>
      <w:pPr>
        <w:pStyle w:val="nzHeading5"/>
      </w:pPr>
      <w:bookmarkStart w:id="132" w:name="_Toc270349227"/>
      <w:r>
        <w:rPr>
          <w:rStyle w:val="CharSectno"/>
        </w:rPr>
        <w:t>140</w:t>
      </w:r>
      <w:r>
        <w:t>.</w:t>
      </w:r>
      <w:r>
        <w:tab/>
        <w:t>Act amended</w:t>
      </w:r>
      <w:bookmarkEnd w:id="132"/>
    </w:p>
    <w:p>
      <w:pPr>
        <w:pStyle w:val="nzSubsection"/>
      </w:pPr>
      <w:r>
        <w:tab/>
      </w:r>
      <w:r>
        <w:tab/>
        <w:t>This Division amends the</w:t>
      </w:r>
      <w:r>
        <w:rPr>
          <w:rStyle w:val="CharDivText"/>
          <w:i/>
          <w:iCs/>
        </w:rPr>
        <w:t xml:space="preserve"> Queen Elizabeth II Medical Centre Act 1966</w:t>
      </w:r>
      <w:r>
        <w:rPr>
          <w:iCs/>
        </w:rPr>
        <w:t>.</w:t>
      </w:r>
    </w:p>
    <w:p>
      <w:pPr>
        <w:pStyle w:val="nzHeading5"/>
      </w:pPr>
      <w:bookmarkStart w:id="133" w:name="_Toc270349228"/>
      <w:r>
        <w:rPr>
          <w:rStyle w:val="CharSectno"/>
        </w:rPr>
        <w:t>141</w:t>
      </w:r>
      <w:r>
        <w:t>.</w:t>
      </w:r>
      <w:r>
        <w:tab/>
        <w:t>Section 16 amended</w:t>
      </w:r>
      <w:bookmarkEnd w:id="133"/>
    </w:p>
    <w:p>
      <w:pPr>
        <w:pStyle w:val="nzSubsection"/>
      </w:pPr>
      <w:r>
        <w:tab/>
      </w:r>
      <w:r>
        <w:tab/>
        <w:t xml:space="preserve">In section 16(4a) delete “a medical practitioner as defined in the </w:t>
      </w:r>
      <w:r>
        <w:rPr>
          <w:i/>
          <w:iCs/>
        </w:rPr>
        <w:t>Medical Practitioners Act 2008</w:t>
      </w:r>
      <w:r>
        <w:t xml:space="preserve"> section 4.” and insert:</w:t>
      </w:r>
    </w:p>
    <w:p>
      <w:pPr>
        <w:pStyle w:val="BlankOpen"/>
      </w:pPr>
    </w:p>
    <w:p>
      <w:pPr>
        <w:pStyle w:val="nzSubsection"/>
      </w:pPr>
      <w:r>
        <w:tab/>
      </w:r>
      <w:r>
        <w:tab/>
        <w:t xml:space="preserve">a person who is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134" w:name="_Toc219695419"/>
      <w:bookmarkStart w:id="135" w:name="_Toc221335760"/>
      <w:bookmarkStart w:id="136" w:name="_Toc268247474"/>
      <w:bookmarkStart w:id="137" w:name="_Toc272312181"/>
      <w:r>
        <w:rPr>
          <w:sz w:val="28"/>
        </w:rPr>
        <w:t>Defined Terms</w:t>
      </w:r>
      <w:bookmarkEnd w:id="134"/>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8" w:name="DefinedTerms"/>
      <w:bookmarkEnd w:id="138"/>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fldSimple w:instr=" styleref CharSchText ">
            <w:r>
              <w:rPr>
                <w:noProof/>
              </w:rPr>
              <w:t>Medical centre land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Original land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8231</Words>
  <Characters>38360</Characters>
  <Application>Microsoft Office Word</Application>
  <DocSecurity>0</DocSecurity>
  <Lines>1065</Lines>
  <Paragraphs>541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46050</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1966 - 04-e0-01</dc:title>
  <dc:subject/>
  <dc:creator/>
  <cp:keywords/>
  <dc:description/>
  <cp:lastModifiedBy>svcMRProcess</cp:lastModifiedBy>
  <cp:revision>4</cp:revision>
  <cp:lastPrinted>2009-02-03T06:24:00Z</cp:lastPrinted>
  <dcterms:created xsi:type="dcterms:W3CDTF">2018-09-07T14:44:00Z</dcterms:created>
  <dcterms:modified xsi:type="dcterms:W3CDTF">2018-09-07T14:44:00Z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650</vt:i4>
  </property>
  <property fmtid="{D5CDD505-2E9C-101B-9397-08002B2CF9AE}" pid="6" name="AsAtDate">
    <vt:lpwstr>11 Sep 2010</vt:lpwstr>
  </property>
  <property fmtid="{D5CDD505-2E9C-101B-9397-08002B2CF9AE}" pid="7" name="Suffix">
    <vt:lpwstr>04-e0-01</vt:lpwstr>
  </property>
  <property fmtid="{D5CDD505-2E9C-101B-9397-08002B2CF9AE}" pid="8" name="ReprintNo">
    <vt:lpwstr>4</vt:lpwstr>
  </property>
</Properties>
</file>