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Penalties (Appeals)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_Toc272312328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_Toc272312329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_Toc272312330 \h </w:instrText>
      </w:r>
      <w:r>
        <w:fldChar w:fldCharType="separate"/>
      </w:r>
      <w:r>
        <w:t>2</w:t>
      </w:r>
      <w:r>
        <w:fldChar w:fldCharType="end"/>
      </w:r>
    </w:p>
    <w:p>
      <w:pPr>
        <w:pStyle w:val="TOC2"/>
        <w:tabs>
          <w:tab w:val="right" w:leader="dot" w:pos="7086"/>
        </w:tabs>
        <w:rPr>
          <w:b w:val="0"/>
          <w:sz w:val="24"/>
          <w:szCs w:val="24"/>
        </w:rPr>
      </w:pPr>
      <w:r>
        <w:rPr>
          <w:szCs w:val="30"/>
        </w:rPr>
        <w:t>Part 2 — The Racing Penalties Appeal Tribunal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administration</w:t>
      </w:r>
    </w:p>
    <w:p>
      <w:pPr>
        <w:pStyle w:val="TOC8"/>
        <w:rPr>
          <w:sz w:val="24"/>
          <w:szCs w:val="24"/>
        </w:rPr>
      </w:pPr>
      <w:r>
        <w:rPr>
          <w:szCs w:val="24"/>
        </w:rPr>
        <w:t>4</w:t>
      </w:r>
      <w:r>
        <w:rPr>
          <w:snapToGrid w:val="0"/>
          <w:szCs w:val="24"/>
        </w:rPr>
        <w:t>.</w:t>
      </w:r>
      <w:r>
        <w:rPr>
          <w:snapToGrid w:val="0"/>
          <w:szCs w:val="24"/>
        </w:rPr>
        <w:tab/>
        <w:t>The Racing Penalties Appeal Tribunal of Western Australia</w:t>
      </w:r>
      <w:r>
        <w:tab/>
      </w:r>
      <w:r>
        <w:fldChar w:fldCharType="begin"/>
      </w:r>
      <w:r>
        <w:instrText xml:space="preserve"> PAGEREF _Toc272312333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Chairperson and acting Chairperson</w:t>
      </w:r>
      <w:r>
        <w:tab/>
      </w:r>
      <w:r>
        <w:fldChar w:fldCharType="begin"/>
      </w:r>
      <w:r>
        <w:instrText xml:space="preserve"> PAGEREF _Toc272312334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Panel of members</w:t>
      </w:r>
      <w:r>
        <w:tab/>
      </w:r>
      <w:r>
        <w:fldChar w:fldCharType="begin"/>
      </w:r>
      <w:r>
        <w:instrText xml:space="preserve"> PAGEREF _Toc272312335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Eligibility to sit on a particular Tribunal</w:t>
      </w:r>
      <w:r>
        <w:tab/>
      </w:r>
      <w:r>
        <w:fldChar w:fldCharType="begin"/>
      </w:r>
      <w:r>
        <w:instrText xml:space="preserve"> PAGEREF _Toc272312336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The Registrar</w:t>
      </w:r>
      <w:r>
        <w:tab/>
      </w:r>
      <w:r>
        <w:fldChar w:fldCharType="begin"/>
      </w:r>
      <w:r>
        <w:instrText xml:space="preserve"> PAGEREF _Toc272312337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Relationship with Minister</w:t>
      </w:r>
      <w:r>
        <w:tab/>
      </w:r>
      <w:r>
        <w:fldChar w:fldCharType="begin"/>
      </w:r>
      <w:r>
        <w:instrText xml:space="preserve"> PAGEREF _Toc272312338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and functions</w:t>
      </w:r>
    </w:p>
    <w:p>
      <w:pPr>
        <w:pStyle w:val="TOC8"/>
        <w:rPr>
          <w:sz w:val="24"/>
          <w:szCs w:val="24"/>
        </w:rPr>
      </w:pPr>
      <w:r>
        <w:rPr>
          <w:szCs w:val="24"/>
        </w:rPr>
        <w:t>10</w:t>
      </w:r>
      <w:r>
        <w:rPr>
          <w:snapToGrid w:val="0"/>
          <w:szCs w:val="24"/>
        </w:rPr>
        <w:t>.</w:t>
      </w:r>
      <w:r>
        <w:rPr>
          <w:snapToGrid w:val="0"/>
          <w:szCs w:val="24"/>
        </w:rPr>
        <w:tab/>
        <w:t>Jurisdiction, as variously constituted</w:t>
      </w:r>
      <w:r>
        <w:tab/>
      </w:r>
      <w:r>
        <w:fldChar w:fldCharType="begin"/>
      </w:r>
      <w:r>
        <w:instrText xml:space="preserve"> PAGEREF _Toc272312340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Proceedings before the Tribunal</w:t>
      </w:r>
      <w:r>
        <w:tab/>
      </w:r>
      <w:r>
        <w:fldChar w:fldCharType="begin"/>
      </w:r>
      <w:r>
        <w:instrText xml:space="preserve"> PAGEREF _Toc272312341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Appeals which are not to be heard by the Tribunal</w:t>
      </w:r>
      <w:r>
        <w:tab/>
      </w:r>
      <w:r>
        <w:fldChar w:fldCharType="begin"/>
      </w:r>
      <w:r>
        <w:instrText xml:space="preserve"> PAGEREF _Toc272312342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Appeals which shall be heard by the Tribunal</w:t>
      </w:r>
      <w:r>
        <w:tab/>
      </w:r>
      <w:r>
        <w:fldChar w:fldCharType="begin"/>
      </w:r>
      <w:r>
        <w:instrText xml:space="preserve"> PAGEREF _Toc272312343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The determination of an appeal</w:t>
      </w:r>
      <w:r>
        <w:tab/>
      </w:r>
      <w:r>
        <w:fldChar w:fldCharType="begin"/>
      </w:r>
      <w:r>
        <w:instrText xml:space="preserve"> PAGEREF _Toc272312344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Other avenues of appeal may no longer be applicable</w:t>
      </w:r>
      <w:r>
        <w:tab/>
      </w:r>
      <w:r>
        <w:fldChar w:fldCharType="begin"/>
      </w:r>
      <w:r>
        <w:instrText xml:space="preserve"> PAGEREF _Toc272312345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Procedures and powers</w:t>
      </w:r>
    </w:p>
    <w:p>
      <w:pPr>
        <w:pStyle w:val="TOC8"/>
        <w:rPr>
          <w:sz w:val="24"/>
          <w:szCs w:val="24"/>
        </w:rPr>
      </w:pPr>
      <w:r>
        <w:rPr>
          <w:szCs w:val="24"/>
        </w:rPr>
        <w:t>16</w:t>
      </w:r>
      <w:r>
        <w:rPr>
          <w:snapToGrid w:val="0"/>
          <w:szCs w:val="24"/>
        </w:rPr>
        <w:t>.</w:t>
      </w:r>
      <w:r>
        <w:rPr>
          <w:snapToGrid w:val="0"/>
          <w:szCs w:val="24"/>
        </w:rPr>
        <w:tab/>
        <w:t>Procedure on making an appeal</w:t>
      </w:r>
      <w:r>
        <w:tab/>
      </w:r>
      <w:r>
        <w:fldChar w:fldCharType="begin"/>
      </w:r>
      <w:r>
        <w:instrText xml:space="preserve"> PAGEREF _Toc272312347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Hearing powers</w:t>
      </w:r>
      <w:r>
        <w:tab/>
      </w:r>
      <w:r>
        <w:fldChar w:fldCharType="begin"/>
      </w:r>
      <w:r>
        <w:instrText xml:space="preserve"> PAGEREF _Toc272312348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Withdrawal of appeals</w:t>
      </w:r>
      <w:r>
        <w:tab/>
      </w:r>
      <w:r>
        <w:fldChar w:fldCharType="begin"/>
      </w:r>
      <w:r>
        <w:instrText xml:space="preserve"> PAGEREF _Toc272312349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Disobedience to determinations of the Tribunal</w:t>
      </w:r>
      <w:r>
        <w:tab/>
      </w:r>
      <w:r>
        <w:fldChar w:fldCharType="begin"/>
      </w:r>
      <w:r>
        <w:instrText xml:space="preserve"> PAGEREF _Toc272312350 \h </w:instrText>
      </w:r>
      <w:r>
        <w:fldChar w:fldCharType="separate"/>
      </w:r>
      <w:r>
        <w:t>23</w:t>
      </w:r>
      <w:r>
        <w:fldChar w:fldCharType="end"/>
      </w:r>
    </w:p>
    <w:p>
      <w:pPr>
        <w:pStyle w:val="TOC2"/>
        <w:tabs>
          <w:tab w:val="right" w:leader="dot" w:pos="7086"/>
        </w:tabs>
        <w:rPr>
          <w:b w:val="0"/>
          <w:sz w:val="24"/>
          <w:szCs w:val="24"/>
        </w:rPr>
      </w:pPr>
      <w:r>
        <w:rPr>
          <w:szCs w:val="30"/>
        </w:rPr>
        <w:t>Part 3 — Miscellaneous</w:t>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_Toc272312352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Reasons for determinations</w:t>
      </w:r>
      <w:r>
        <w:tab/>
      </w:r>
      <w:r>
        <w:fldChar w:fldCharType="begin"/>
      </w:r>
      <w:r>
        <w:instrText xml:space="preserve"> PAGEREF _Toc272312353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Protection</w:t>
      </w:r>
      <w:r>
        <w:tab/>
      </w:r>
      <w:r>
        <w:fldChar w:fldCharType="begin"/>
      </w:r>
      <w:r>
        <w:instrText xml:space="preserve"> PAGEREF _Toc272312354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Evidentiary provisions, and recovery of moneys ordered to be paid</w:t>
      </w:r>
      <w:r>
        <w:tab/>
      </w:r>
      <w:r>
        <w:fldChar w:fldCharType="begin"/>
      </w:r>
      <w:r>
        <w:instrText xml:space="preserve"> PAGEREF _Toc272312355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Finance and audit</w:t>
      </w:r>
      <w:r>
        <w:tab/>
      </w:r>
      <w:r>
        <w:fldChar w:fldCharType="begin"/>
      </w:r>
      <w:r>
        <w:instrText xml:space="preserve"> PAGEREF _Toc272312356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_Toc272312357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Transitional</w:t>
      </w:r>
      <w:r>
        <w:tab/>
      </w:r>
      <w:r>
        <w:fldChar w:fldCharType="begin"/>
      </w:r>
      <w:r>
        <w:instrText xml:space="preserve"> PAGEREF _Toc272312358 \h </w:instrText>
      </w:r>
      <w:r>
        <w:fldChar w:fldCharType="separate"/>
      </w:r>
      <w:r>
        <w:t>30</w:t>
      </w:r>
      <w:r>
        <w:fldChar w:fldCharType="end"/>
      </w:r>
    </w:p>
    <w:p>
      <w:pPr>
        <w:pStyle w:val="TOC2"/>
        <w:tabs>
          <w:tab w:val="right" w:leader="dot" w:pos="7086"/>
        </w:tabs>
        <w:rPr>
          <w:b w:val="0"/>
          <w:sz w:val="24"/>
          <w:szCs w:val="24"/>
        </w:rPr>
      </w:pPr>
      <w:r>
        <w:rPr>
          <w:szCs w:val="28"/>
        </w:rPr>
        <w:t>Schedule — </w:t>
      </w:r>
      <w:r>
        <w:rPr>
          <w:bCs/>
          <w:szCs w:val="28"/>
        </w:rPr>
        <w:t>Provisions with respect to the constitution and membership of the Racing Penalties Appeal Tribunal of Western Australia</w:t>
      </w:r>
    </w:p>
    <w:p>
      <w:pPr>
        <w:pStyle w:val="TOC8"/>
        <w:rPr>
          <w:sz w:val="24"/>
          <w:szCs w:val="24"/>
        </w:rPr>
      </w:pPr>
      <w:r>
        <w:rPr>
          <w:szCs w:val="22"/>
        </w:rPr>
        <w:t>1</w:t>
      </w:r>
      <w:r>
        <w:rPr>
          <w:snapToGrid w:val="0"/>
          <w:szCs w:val="22"/>
        </w:rPr>
        <w:t>.</w:t>
      </w:r>
      <w:r>
        <w:rPr>
          <w:snapToGrid w:val="0"/>
          <w:szCs w:val="22"/>
        </w:rPr>
        <w:tab/>
        <w:t>Public service officer may be member of a Tribunal</w:t>
      </w:r>
      <w:r>
        <w:tab/>
      </w:r>
      <w:r>
        <w:fldChar w:fldCharType="begin"/>
      </w:r>
      <w:r>
        <w:instrText xml:space="preserve"> PAGEREF _Toc272312360 \h </w:instrText>
      </w:r>
      <w:r>
        <w:fldChar w:fldCharType="separate"/>
      </w:r>
      <w:r>
        <w:t>32</w:t>
      </w:r>
      <w:r>
        <w:fldChar w:fldCharType="end"/>
      </w:r>
    </w:p>
    <w:p>
      <w:pPr>
        <w:pStyle w:val="TOC8"/>
        <w:rPr>
          <w:sz w:val="24"/>
          <w:szCs w:val="24"/>
        </w:rPr>
      </w:pPr>
      <w:r>
        <w:rPr>
          <w:snapToGrid w:val="0"/>
          <w:szCs w:val="22"/>
        </w:rPr>
        <w:t>2.</w:t>
      </w:r>
      <w:r>
        <w:rPr>
          <w:snapToGrid w:val="0"/>
          <w:szCs w:val="22"/>
        </w:rPr>
        <w:tab/>
        <w:t>Remuneration</w:t>
      </w:r>
      <w:r>
        <w:tab/>
      </w:r>
      <w:r>
        <w:fldChar w:fldCharType="begin"/>
      </w:r>
      <w:r>
        <w:instrText xml:space="preserve"> PAGEREF _Toc272312361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Eligibility for, and vacation of, office and conditions of appointment</w:t>
      </w:r>
      <w:r>
        <w:tab/>
      </w:r>
      <w:r>
        <w:fldChar w:fldCharType="begin"/>
      </w:r>
      <w:r>
        <w:instrText xml:space="preserve"> PAGEREF _Toc272312362 \h </w:instrText>
      </w:r>
      <w:r>
        <w:fldChar w:fldCharType="separate"/>
      </w:r>
      <w:r>
        <w:t>33</w:t>
      </w:r>
      <w:r>
        <w:fldChar w:fldCharType="end"/>
      </w:r>
    </w:p>
    <w:p>
      <w:pPr>
        <w:pStyle w:val="TOC8"/>
        <w:rPr>
          <w:sz w:val="24"/>
          <w:szCs w:val="24"/>
        </w:rPr>
      </w:pPr>
      <w:r>
        <w:rPr>
          <w:szCs w:val="22"/>
        </w:rPr>
        <w:t>4</w:t>
      </w:r>
      <w:r>
        <w:rPr>
          <w:snapToGrid w:val="0"/>
          <w:szCs w:val="22"/>
        </w:rPr>
        <w:t>.</w:t>
      </w:r>
      <w:r>
        <w:rPr>
          <w:snapToGrid w:val="0"/>
          <w:szCs w:val="22"/>
        </w:rPr>
        <w:tab/>
        <w:t>Removal from office</w:t>
      </w:r>
      <w:r>
        <w:tab/>
      </w:r>
      <w:r>
        <w:fldChar w:fldCharType="begin"/>
      </w:r>
      <w:r>
        <w:instrText xml:space="preserve"> PAGEREF _Toc272312363 \h </w:instrText>
      </w:r>
      <w:r>
        <w:fldChar w:fldCharType="separate"/>
      </w:r>
      <w:r>
        <w:t>34</w:t>
      </w:r>
      <w:r>
        <w:fldChar w:fldCharType="end"/>
      </w:r>
    </w:p>
    <w:p>
      <w:pPr>
        <w:pStyle w:val="TOC8"/>
        <w:rPr>
          <w:sz w:val="24"/>
          <w:szCs w:val="24"/>
        </w:rPr>
      </w:pPr>
      <w:r>
        <w:rPr>
          <w:szCs w:val="22"/>
        </w:rPr>
        <w:t>5</w:t>
      </w:r>
      <w:r>
        <w:rPr>
          <w:snapToGrid w:val="0"/>
          <w:szCs w:val="22"/>
        </w:rPr>
        <w:t>.</w:t>
      </w:r>
      <w:r>
        <w:rPr>
          <w:snapToGrid w:val="0"/>
          <w:szCs w:val="22"/>
        </w:rPr>
        <w:tab/>
        <w:t>Validity of proceedings, etc.</w:t>
      </w:r>
      <w:r>
        <w:tab/>
      </w:r>
      <w:r>
        <w:fldChar w:fldCharType="begin"/>
      </w:r>
      <w:r>
        <w:instrText xml:space="preserve"> PAGEREF _Toc272312364 \h </w:instrText>
      </w:r>
      <w:r>
        <w:fldChar w:fldCharType="separate"/>
      </w:r>
      <w:r>
        <w:t>34</w:t>
      </w:r>
      <w:r>
        <w:fldChar w:fldCharType="end"/>
      </w:r>
    </w:p>
    <w:p>
      <w:pPr>
        <w:pStyle w:val="TOC8"/>
        <w:rPr>
          <w:sz w:val="24"/>
          <w:szCs w:val="24"/>
        </w:rPr>
      </w:pPr>
      <w:r>
        <w:rPr>
          <w:szCs w:val="22"/>
        </w:rPr>
        <w:t>6</w:t>
      </w:r>
      <w:r>
        <w:rPr>
          <w:snapToGrid w:val="0"/>
          <w:szCs w:val="22"/>
        </w:rPr>
        <w:t>.</w:t>
      </w:r>
      <w:r>
        <w:rPr>
          <w:snapToGrid w:val="0"/>
          <w:szCs w:val="22"/>
        </w:rPr>
        <w:tab/>
        <w:t>Presumptions</w:t>
      </w:r>
      <w:r>
        <w:tab/>
      </w:r>
      <w:r>
        <w:fldChar w:fldCharType="begin"/>
      </w:r>
      <w:r>
        <w:instrText xml:space="preserve"> PAGEREF _Toc272312365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_Toc272312367 \h </w:instrText>
      </w:r>
      <w:r>
        <w:fldChar w:fldCharType="separate"/>
      </w:r>
      <w:r>
        <w:t>36</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80"/>
      </w:pPr>
      <w:r>
        <w:t xml:space="preserve">Racing Penalties (Appeals) Act 1990 </w:t>
      </w:r>
    </w:p>
    <w:p>
      <w:pPr>
        <w:pStyle w:val="LongTitle"/>
        <w:rPr>
          <w:snapToGrid w:val="0"/>
        </w:rPr>
      </w:pPr>
      <w:r>
        <w:rPr>
          <w:snapToGrid w:val="0"/>
        </w:rPr>
        <w:t xml:space="preserve">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1" w:name="_Toc89505458"/>
      <w:bookmarkStart w:id="2" w:name="_Toc89505500"/>
      <w:bookmarkStart w:id="3" w:name="_Toc89585113"/>
      <w:bookmarkStart w:id="4" w:name="_Toc102465865"/>
      <w:bookmarkStart w:id="5" w:name="_Toc102538125"/>
      <w:bookmarkStart w:id="6" w:name="_Toc139346295"/>
      <w:bookmarkStart w:id="7" w:name="_Toc139700505"/>
      <w:bookmarkStart w:id="8" w:name="_Toc142276057"/>
      <w:bookmarkStart w:id="9" w:name="_Toc142276969"/>
      <w:bookmarkStart w:id="10" w:name="_Toc143057998"/>
      <w:bookmarkStart w:id="11" w:name="_Toc143058107"/>
      <w:bookmarkStart w:id="12" w:name="_Toc143398763"/>
      <w:bookmarkStart w:id="13" w:name="_Toc146533353"/>
      <w:bookmarkStart w:id="14" w:name="_Toc157328017"/>
      <w:bookmarkStart w:id="15" w:name="_Toc157328082"/>
      <w:bookmarkStart w:id="16" w:name="_Toc158003234"/>
      <w:bookmarkStart w:id="17" w:name="_Toc162949563"/>
      <w:bookmarkStart w:id="18" w:name="_Toc162949605"/>
      <w:bookmarkStart w:id="19" w:name="_Toc162949647"/>
      <w:bookmarkStart w:id="20" w:name="_Toc163010898"/>
      <w:bookmarkStart w:id="21" w:name="_Toc170529715"/>
      <w:bookmarkStart w:id="22" w:name="_Toc199755555"/>
      <w:bookmarkStart w:id="23" w:name="_Toc223932403"/>
      <w:bookmarkStart w:id="24" w:name="_Toc241285607"/>
      <w:bookmarkStart w:id="25" w:name="_Toc241285648"/>
      <w:bookmarkStart w:id="26" w:name="_Toc241285723"/>
      <w:bookmarkStart w:id="27" w:name="_Toc268249085"/>
      <w:bookmarkStart w:id="28" w:name="_Toc2723123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87527724"/>
      <w:bookmarkStart w:id="30" w:name="_Toc526931897"/>
      <w:bookmarkStart w:id="31" w:name="_Toc102538126"/>
      <w:bookmarkStart w:id="32" w:name="_Toc146533354"/>
      <w:bookmarkStart w:id="33" w:name="_Toc272312328"/>
      <w:r>
        <w:rPr>
          <w:rStyle w:val="CharSectno"/>
        </w:rPr>
        <w:t>1</w:t>
      </w:r>
      <w:r>
        <w:rPr>
          <w:snapToGrid w:val="0"/>
        </w:rPr>
        <w:t>.</w:t>
      </w:r>
      <w:r>
        <w:rPr>
          <w:snapToGrid w:val="0"/>
        </w:rPr>
        <w:tab/>
        <w:t>Short title</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34" w:name="_Toc487527725"/>
      <w:bookmarkStart w:id="35" w:name="_Toc526931898"/>
      <w:bookmarkStart w:id="36" w:name="_Toc102538127"/>
      <w:bookmarkStart w:id="37" w:name="_Toc146533355"/>
      <w:bookmarkStart w:id="38" w:name="_Toc272312329"/>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39" w:name="_Toc487527726"/>
      <w:bookmarkStart w:id="40" w:name="_Toc526931899"/>
      <w:bookmarkStart w:id="41" w:name="_Toc102538128"/>
      <w:bookmarkStart w:id="42" w:name="_Toc146533356"/>
      <w:bookmarkStart w:id="43" w:name="_Toc272312330"/>
      <w:r>
        <w:rPr>
          <w:rStyle w:val="CharSectno"/>
        </w:rPr>
        <w:t>3</w:t>
      </w:r>
      <w:r>
        <w:rPr>
          <w:snapToGrid w:val="0"/>
        </w:rPr>
        <w:t>.</w:t>
      </w:r>
      <w:r>
        <w:rPr>
          <w:snapToGrid w:val="0"/>
        </w:rPr>
        <w:tab/>
        <w:t>Interpretation</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racing</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44" w:name="_Toc89505462"/>
      <w:bookmarkStart w:id="45" w:name="_Toc89505504"/>
      <w:bookmarkStart w:id="46" w:name="_Toc89585117"/>
      <w:bookmarkStart w:id="47" w:name="_Toc102465869"/>
      <w:bookmarkStart w:id="48" w:name="_Toc102538129"/>
      <w:bookmarkStart w:id="49" w:name="_Toc139346299"/>
      <w:bookmarkStart w:id="50" w:name="_Toc139700509"/>
      <w:bookmarkStart w:id="51" w:name="_Toc142276061"/>
      <w:bookmarkStart w:id="52" w:name="_Toc142276973"/>
      <w:bookmarkStart w:id="53" w:name="_Toc143058002"/>
      <w:bookmarkStart w:id="54" w:name="_Toc143058111"/>
      <w:bookmarkStart w:id="55" w:name="_Toc143398767"/>
      <w:bookmarkStart w:id="56" w:name="_Toc146533357"/>
      <w:bookmarkStart w:id="57" w:name="_Toc157328021"/>
      <w:bookmarkStart w:id="58" w:name="_Toc157328086"/>
      <w:bookmarkStart w:id="59" w:name="_Toc158003238"/>
      <w:bookmarkStart w:id="60" w:name="_Toc162949567"/>
      <w:bookmarkStart w:id="61" w:name="_Toc162949609"/>
      <w:bookmarkStart w:id="62" w:name="_Toc162949651"/>
      <w:bookmarkStart w:id="63" w:name="_Toc163010902"/>
      <w:bookmarkStart w:id="64" w:name="_Toc170529719"/>
      <w:bookmarkStart w:id="65" w:name="_Toc199755559"/>
      <w:bookmarkStart w:id="66" w:name="_Toc223932407"/>
      <w:bookmarkStart w:id="67" w:name="_Toc241285611"/>
      <w:bookmarkStart w:id="68" w:name="_Toc241285652"/>
      <w:bookmarkStart w:id="69" w:name="_Toc241285727"/>
      <w:bookmarkStart w:id="70" w:name="_Toc268249089"/>
      <w:bookmarkStart w:id="71" w:name="_Toc272312331"/>
      <w:r>
        <w:rPr>
          <w:rStyle w:val="CharPartNo"/>
        </w:rPr>
        <w:t>Part 2</w:t>
      </w:r>
      <w:r>
        <w:t> — </w:t>
      </w:r>
      <w:r>
        <w:rPr>
          <w:rStyle w:val="CharPartText"/>
        </w:rPr>
        <w:t>The Racing Penalties Appeal Tribunal of Western Australia</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3"/>
        <w:rPr>
          <w:snapToGrid w:val="0"/>
        </w:rPr>
      </w:pPr>
      <w:bookmarkStart w:id="72" w:name="_Toc89505463"/>
      <w:bookmarkStart w:id="73" w:name="_Toc89505505"/>
      <w:bookmarkStart w:id="74" w:name="_Toc89585118"/>
      <w:bookmarkStart w:id="75" w:name="_Toc102465870"/>
      <w:bookmarkStart w:id="76" w:name="_Toc102538130"/>
      <w:bookmarkStart w:id="77" w:name="_Toc139346300"/>
      <w:bookmarkStart w:id="78" w:name="_Toc139700510"/>
      <w:bookmarkStart w:id="79" w:name="_Toc142276062"/>
      <w:bookmarkStart w:id="80" w:name="_Toc142276974"/>
      <w:bookmarkStart w:id="81" w:name="_Toc143058003"/>
      <w:bookmarkStart w:id="82" w:name="_Toc143058112"/>
      <w:bookmarkStart w:id="83" w:name="_Toc143398768"/>
      <w:bookmarkStart w:id="84" w:name="_Toc146533358"/>
      <w:bookmarkStart w:id="85" w:name="_Toc157328022"/>
      <w:bookmarkStart w:id="86" w:name="_Toc157328087"/>
      <w:bookmarkStart w:id="87" w:name="_Toc158003239"/>
      <w:bookmarkStart w:id="88" w:name="_Toc162949568"/>
      <w:bookmarkStart w:id="89" w:name="_Toc162949610"/>
      <w:bookmarkStart w:id="90" w:name="_Toc162949652"/>
      <w:bookmarkStart w:id="91" w:name="_Toc163010903"/>
      <w:bookmarkStart w:id="92" w:name="_Toc170529720"/>
      <w:bookmarkStart w:id="93" w:name="_Toc199755560"/>
      <w:bookmarkStart w:id="94" w:name="_Toc223932408"/>
      <w:bookmarkStart w:id="95" w:name="_Toc241285612"/>
      <w:bookmarkStart w:id="96" w:name="_Toc241285653"/>
      <w:bookmarkStart w:id="97" w:name="_Toc241285728"/>
      <w:bookmarkStart w:id="98" w:name="_Toc268249090"/>
      <w:bookmarkStart w:id="99" w:name="_Toc272312332"/>
      <w:r>
        <w:rPr>
          <w:rStyle w:val="CharDivNo"/>
        </w:rPr>
        <w:t>Division 1</w:t>
      </w:r>
      <w:r>
        <w:rPr>
          <w:snapToGrid w:val="0"/>
        </w:rPr>
        <w:t> — </w:t>
      </w:r>
      <w:r>
        <w:rPr>
          <w:rStyle w:val="CharDivText"/>
        </w:rPr>
        <w:t>Constitution and administration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DivText"/>
        </w:rPr>
        <w:t xml:space="preserve"> </w:t>
      </w:r>
    </w:p>
    <w:p>
      <w:pPr>
        <w:pStyle w:val="Heading5"/>
        <w:rPr>
          <w:snapToGrid w:val="0"/>
        </w:rPr>
      </w:pPr>
      <w:bookmarkStart w:id="100" w:name="_Toc487527727"/>
      <w:bookmarkStart w:id="101" w:name="_Toc526931900"/>
      <w:bookmarkStart w:id="102" w:name="_Toc102538131"/>
      <w:bookmarkStart w:id="103" w:name="_Toc146533359"/>
      <w:bookmarkStart w:id="104" w:name="_Toc272312333"/>
      <w:r>
        <w:rPr>
          <w:rStyle w:val="CharSectno"/>
        </w:rPr>
        <w:t>4</w:t>
      </w:r>
      <w:r>
        <w:rPr>
          <w:snapToGrid w:val="0"/>
        </w:rPr>
        <w:t>.</w:t>
      </w:r>
      <w:r>
        <w:rPr>
          <w:snapToGrid w:val="0"/>
        </w:rPr>
        <w:tab/>
        <w:t>The Racing Penalties Appeal Tribunal of Western Australia</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105" w:name="_Toc487527728"/>
      <w:bookmarkStart w:id="106" w:name="_Toc526931901"/>
      <w:bookmarkStart w:id="107" w:name="_Toc102538132"/>
      <w:bookmarkStart w:id="108" w:name="_Toc146533360"/>
      <w:bookmarkStart w:id="109" w:name="_Toc272312334"/>
      <w:r>
        <w:rPr>
          <w:rStyle w:val="CharSectno"/>
        </w:rPr>
        <w:t>5</w:t>
      </w:r>
      <w:r>
        <w:rPr>
          <w:snapToGrid w:val="0"/>
        </w:rPr>
        <w:t>.</w:t>
      </w:r>
      <w:r>
        <w:rPr>
          <w:snapToGrid w:val="0"/>
        </w:rPr>
        <w:tab/>
        <w:t>Chairperson and acting Chairperson</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 No. 21 of 2008 s. 695(2).]</w:t>
      </w:r>
    </w:p>
    <w:p>
      <w:pPr>
        <w:pStyle w:val="Heading5"/>
        <w:spacing w:before="240"/>
        <w:rPr>
          <w:snapToGrid w:val="0"/>
        </w:rPr>
      </w:pPr>
      <w:bookmarkStart w:id="110" w:name="_Toc487527729"/>
      <w:bookmarkStart w:id="111" w:name="_Toc526931902"/>
      <w:bookmarkStart w:id="112" w:name="_Toc102538133"/>
      <w:bookmarkStart w:id="113" w:name="_Toc146533361"/>
      <w:bookmarkStart w:id="114" w:name="_Toc272312335"/>
      <w:r>
        <w:rPr>
          <w:rStyle w:val="CharSectno"/>
        </w:rPr>
        <w:t>6</w:t>
      </w:r>
      <w:r>
        <w:rPr>
          <w:snapToGrid w:val="0"/>
        </w:rPr>
        <w:t>.</w:t>
      </w:r>
      <w:r>
        <w:rPr>
          <w:snapToGrid w:val="0"/>
        </w:rPr>
        <w:tab/>
        <w:t>Panel of members</w:t>
      </w:r>
      <w:bookmarkEnd w:id="110"/>
      <w:bookmarkEnd w:id="111"/>
      <w:bookmarkEnd w:id="112"/>
      <w:bookmarkEnd w:id="113"/>
      <w:bookmarkEnd w:id="114"/>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115" w:name="_Toc487527730"/>
      <w:bookmarkStart w:id="116" w:name="_Toc526931903"/>
      <w:bookmarkStart w:id="117" w:name="_Toc102538134"/>
      <w:bookmarkStart w:id="118" w:name="_Toc146533362"/>
      <w:bookmarkStart w:id="119" w:name="_Toc272312336"/>
      <w:r>
        <w:rPr>
          <w:rStyle w:val="CharSectno"/>
        </w:rPr>
        <w:t>7</w:t>
      </w:r>
      <w:r>
        <w:rPr>
          <w:snapToGrid w:val="0"/>
        </w:rPr>
        <w:t>.</w:t>
      </w:r>
      <w:r>
        <w:rPr>
          <w:snapToGrid w:val="0"/>
        </w:rPr>
        <w:tab/>
        <w:t>Eligibility to sit on a particular Tribunal</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20" w:name="_Toc487527731"/>
      <w:bookmarkStart w:id="121" w:name="_Toc526931904"/>
      <w:bookmarkStart w:id="122" w:name="_Toc102538135"/>
      <w:bookmarkStart w:id="123" w:name="_Toc146533363"/>
      <w:bookmarkStart w:id="124" w:name="_Toc272312337"/>
      <w:r>
        <w:rPr>
          <w:rStyle w:val="CharSectno"/>
        </w:rPr>
        <w:t>8</w:t>
      </w:r>
      <w:r>
        <w:rPr>
          <w:snapToGrid w:val="0"/>
        </w:rPr>
        <w:t>.</w:t>
      </w:r>
      <w:r>
        <w:rPr>
          <w:snapToGrid w:val="0"/>
        </w:rPr>
        <w:tab/>
        <w:t>The Registrar</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125" w:name="_Toc487527732"/>
      <w:bookmarkStart w:id="126" w:name="_Toc526931905"/>
      <w:bookmarkStart w:id="127" w:name="_Toc102538136"/>
      <w:bookmarkStart w:id="128" w:name="_Toc146533364"/>
      <w:bookmarkStart w:id="129" w:name="_Toc272312338"/>
      <w:r>
        <w:rPr>
          <w:rStyle w:val="CharSectno"/>
        </w:rPr>
        <w:t>9</w:t>
      </w:r>
      <w:r>
        <w:rPr>
          <w:snapToGrid w:val="0"/>
        </w:rPr>
        <w:t>.</w:t>
      </w:r>
      <w:r>
        <w:rPr>
          <w:snapToGrid w:val="0"/>
        </w:rPr>
        <w:tab/>
        <w:t>Relationship with Minister</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 17.]</w:t>
      </w:r>
    </w:p>
    <w:p>
      <w:pPr>
        <w:pStyle w:val="Heading3"/>
        <w:rPr>
          <w:snapToGrid w:val="0"/>
        </w:rPr>
      </w:pPr>
      <w:bookmarkStart w:id="130" w:name="_Toc89505470"/>
      <w:bookmarkStart w:id="131" w:name="_Toc89505512"/>
      <w:bookmarkStart w:id="132" w:name="_Toc89585125"/>
      <w:bookmarkStart w:id="133" w:name="_Toc102465877"/>
      <w:bookmarkStart w:id="134" w:name="_Toc102538137"/>
      <w:bookmarkStart w:id="135" w:name="_Toc139346307"/>
      <w:bookmarkStart w:id="136" w:name="_Toc139700517"/>
      <w:bookmarkStart w:id="137" w:name="_Toc142276069"/>
      <w:bookmarkStart w:id="138" w:name="_Toc142276981"/>
      <w:bookmarkStart w:id="139" w:name="_Toc143058010"/>
      <w:bookmarkStart w:id="140" w:name="_Toc143058119"/>
      <w:bookmarkStart w:id="141" w:name="_Toc143398775"/>
      <w:bookmarkStart w:id="142" w:name="_Toc146533365"/>
      <w:bookmarkStart w:id="143" w:name="_Toc157328029"/>
      <w:bookmarkStart w:id="144" w:name="_Toc157328094"/>
      <w:bookmarkStart w:id="145" w:name="_Toc158003246"/>
      <w:bookmarkStart w:id="146" w:name="_Toc162949575"/>
      <w:bookmarkStart w:id="147" w:name="_Toc162949617"/>
      <w:bookmarkStart w:id="148" w:name="_Toc162949659"/>
      <w:bookmarkStart w:id="149" w:name="_Toc163010910"/>
      <w:bookmarkStart w:id="150" w:name="_Toc170529727"/>
      <w:bookmarkStart w:id="151" w:name="_Toc199755567"/>
      <w:bookmarkStart w:id="152" w:name="_Toc223932415"/>
      <w:bookmarkStart w:id="153" w:name="_Toc241285619"/>
      <w:bookmarkStart w:id="154" w:name="_Toc241285660"/>
      <w:bookmarkStart w:id="155" w:name="_Toc241285735"/>
      <w:bookmarkStart w:id="156" w:name="_Toc268249097"/>
      <w:bookmarkStart w:id="157" w:name="_Toc272312339"/>
      <w:r>
        <w:rPr>
          <w:rStyle w:val="CharDivNo"/>
        </w:rPr>
        <w:t>Division 2</w:t>
      </w:r>
      <w:r>
        <w:rPr>
          <w:snapToGrid w:val="0"/>
        </w:rPr>
        <w:t> — </w:t>
      </w:r>
      <w:r>
        <w:rPr>
          <w:rStyle w:val="CharDivText"/>
        </w:rPr>
        <w:t>Jurisdiction and functions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487527733"/>
      <w:bookmarkStart w:id="159" w:name="_Toc526931906"/>
      <w:bookmarkStart w:id="160" w:name="_Toc102538138"/>
      <w:bookmarkStart w:id="161" w:name="_Toc146533366"/>
      <w:bookmarkStart w:id="162" w:name="_Toc272312340"/>
      <w:r>
        <w:rPr>
          <w:rStyle w:val="CharSectno"/>
        </w:rPr>
        <w:t>10</w:t>
      </w:r>
      <w:r>
        <w:rPr>
          <w:snapToGrid w:val="0"/>
        </w:rPr>
        <w:t>.</w:t>
      </w:r>
      <w:r>
        <w:rPr>
          <w:snapToGrid w:val="0"/>
        </w:rPr>
        <w:tab/>
        <w:t>Jurisdiction, as variously constituted</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63" w:name="_Toc487527734"/>
      <w:bookmarkStart w:id="164" w:name="_Toc526931907"/>
      <w:bookmarkStart w:id="165" w:name="_Toc102538139"/>
      <w:bookmarkStart w:id="166" w:name="_Toc146533367"/>
      <w:bookmarkStart w:id="167" w:name="_Toc272312341"/>
      <w:r>
        <w:rPr>
          <w:rStyle w:val="CharSectno"/>
        </w:rPr>
        <w:t>11</w:t>
      </w:r>
      <w:r>
        <w:rPr>
          <w:snapToGrid w:val="0"/>
        </w:rPr>
        <w:t>.</w:t>
      </w:r>
      <w:r>
        <w:rPr>
          <w:snapToGrid w:val="0"/>
        </w:rPr>
        <w:tab/>
        <w:t>Proceedings before the Tribunal</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68" w:name="_Toc487527735"/>
      <w:bookmarkStart w:id="169" w:name="_Toc526931908"/>
      <w:bookmarkStart w:id="170" w:name="_Toc102538140"/>
      <w:bookmarkStart w:id="171" w:name="_Toc146533368"/>
      <w:bookmarkStart w:id="172" w:name="_Toc272312342"/>
      <w:r>
        <w:rPr>
          <w:rStyle w:val="CharSectno"/>
        </w:rPr>
        <w:t>12</w:t>
      </w:r>
      <w:r>
        <w:rPr>
          <w:snapToGrid w:val="0"/>
        </w:rPr>
        <w:t>.</w:t>
      </w:r>
      <w:r>
        <w:rPr>
          <w:snapToGrid w:val="0"/>
        </w:rPr>
        <w:tab/>
        <w:t>Appeals which are not to be heard by the Tribunal</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73" w:name="_Toc487527736"/>
      <w:bookmarkStart w:id="174" w:name="_Toc526931909"/>
      <w:r>
        <w:tab/>
        <w:t>[Section 12 amended by No. 35 of 2003 s. 182.]</w:t>
      </w:r>
    </w:p>
    <w:p>
      <w:pPr>
        <w:pStyle w:val="Heading5"/>
        <w:rPr>
          <w:snapToGrid w:val="0"/>
        </w:rPr>
      </w:pPr>
      <w:bookmarkStart w:id="175" w:name="_Toc102538141"/>
      <w:bookmarkStart w:id="176" w:name="_Toc146533369"/>
      <w:bookmarkStart w:id="177" w:name="_Toc272312343"/>
      <w:r>
        <w:rPr>
          <w:rStyle w:val="CharSectno"/>
        </w:rPr>
        <w:t>13</w:t>
      </w:r>
      <w:r>
        <w:rPr>
          <w:snapToGrid w:val="0"/>
        </w:rPr>
        <w:t>.</w:t>
      </w:r>
      <w:r>
        <w:rPr>
          <w:snapToGrid w:val="0"/>
        </w:rPr>
        <w:tab/>
        <w:t>Appeals which shall be heard by the Tribunal</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A person (in this Part referred to as </w:t>
      </w:r>
      <w:r>
        <w:rPr>
          <w:rStyle w:val="CharDefText"/>
        </w:rPr>
        <w:t>the 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78" w:name="_Toc487527737"/>
      <w:bookmarkStart w:id="179" w:name="_Toc526931910"/>
      <w:r>
        <w:tab/>
        <w:t>[Section 13 amended by No. 35 of 2003 s. 183.]</w:t>
      </w:r>
    </w:p>
    <w:p>
      <w:pPr>
        <w:pStyle w:val="Heading5"/>
        <w:rPr>
          <w:snapToGrid w:val="0"/>
        </w:rPr>
      </w:pPr>
      <w:bookmarkStart w:id="180" w:name="_Toc102538142"/>
      <w:bookmarkStart w:id="181" w:name="_Toc146533370"/>
      <w:bookmarkStart w:id="182" w:name="_Toc272312344"/>
      <w:r>
        <w:rPr>
          <w:rStyle w:val="CharSectno"/>
        </w:rPr>
        <w:t>14</w:t>
      </w:r>
      <w:r>
        <w:rPr>
          <w:snapToGrid w:val="0"/>
        </w:rPr>
        <w:t>.</w:t>
      </w:r>
      <w:r>
        <w:rPr>
          <w:snapToGrid w:val="0"/>
        </w:rPr>
        <w:tab/>
        <w:t>The determination of an appeal</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83" w:name="_Toc487527738"/>
      <w:bookmarkStart w:id="184" w:name="_Toc526931911"/>
      <w:r>
        <w:tab/>
        <w:t>[Section 14 amended by No. 35 of 2003 s. 184.]</w:t>
      </w:r>
    </w:p>
    <w:p>
      <w:pPr>
        <w:pStyle w:val="Heading5"/>
        <w:rPr>
          <w:snapToGrid w:val="0"/>
        </w:rPr>
      </w:pPr>
      <w:bookmarkStart w:id="185" w:name="_Toc102538143"/>
      <w:bookmarkStart w:id="186" w:name="_Toc146533371"/>
      <w:bookmarkStart w:id="187" w:name="_Toc272312345"/>
      <w:r>
        <w:rPr>
          <w:rStyle w:val="CharSectno"/>
        </w:rPr>
        <w:t>15</w:t>
      </w:r>
      <w:r>
        <w:rPr>
          <w:snapToGrid w:val="0"/>
        </w:rPr>
        <w:t>.</w:t>
      </w:r>
      <w:r>
        <w:rPr>
          <w:snapToGrid w:val="0"/>
        </w:rPr>
        <w:tab/>
        <w:t>Other avenues of appeal may no longer be applicable</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188" w:name="_Toc89505477"/>
      <w:bookmarkStart w:id="189" w:name="_Toc89505519"/>
      <w:bookmarkStart w:id="190" w:name="_Toc89585132"/>
      <w:bookmarkStart w:id="191" w:name="_Toc102465884"/>
      <w:bookmarkStart w:id="192" w:name="_Toc102538144"/>
      <w:bookmarkStart w:id="193" w:name="_Toc139346314"/>
      <w:bookmarkStart w:id="194" w:name="_Toc139700524"/>
      <w:bookmarkStart w:id="195" w:name="_Toc142276076"/>
      <w:bookmarkStart w:id="196" w:name="_Toc142276988"/>
      <w:bookmarkStart w:id="197" w:name="_Toc143058017"/>
      <w:bookmarkStart w:id="198" w:name="_Toc143058126"/>
      <w:bookmarkStart w:id="199" w:name="_Toc143398782"/>
      <w:bookmarkStart w:id="200" w:name="_Toc146533372"/>
      <w:bookmarkStart w:id="201" w:name="_Toc157328036"/>
      <w:bookmarkStart w:id="202" w:name="_Toc157328101"/>
      <w:bookmarkStart w:id="203" w:name="_Toc158003253"/>
      <w:bookmarkStart w:id="204" w:name="_Toc162949582"/>
      <w:bookmarkStart w:id="205" w:name="_Toc162949624"/>
      <w:bookmarkStart w:id="206" w:name="_Toc162949666"/>
      <w:bookmarkStart w:id="207" w:name="_Toc163010917"/>
      <w:bookmarkStart w:id="208" w:name="_Toc170529734"/>
      <w:bookmarkStart w:id="209" w:name="_Toc199755574"/>
      <w:bookmarkStart w:id="210" w:name="_Toc223932422"/>
      <w:bookmarkStart w:id="211" w:name="_Toc241285626"/>
      <w:bookmarkStart w:id="212" w:name="_Toc241285667"/>
      <w:bookmarkStart w:id="213" w:name="_Toc241285742"/>
      <w:bookmarkStart w:id="214" w:name="_Toc268249104"/>
      <w:bookmarkStart w:id="215" w:name="_Toc272312346"/>
      <w:r>
        <w:rPr>
          <w:rStyle w:val="CharDivNo"/>
        </w:rPr>
        <w:t>Division 3</w:t>
      </w:r>
      <w:r>
        <w:rPr>
          <w:snapToGrid w:val="0"/>
        </w:rPr>
        <w:t> — </w:t>
      </w:r>
      <w:r>
        <w:rPr>
          <w:rStyle w:val="CharDivText"/>
        </w:rPr>
        <w:t>Procedures and powers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87527739"/>
      <w:bookmarkStart w:id="217" w:name="_Toc526931912"/>
      <w:bookmarkStart w:id="218" w:name="_Toc102538145"/>
      <w:bookmarkStart w:id="219" w:name="_Toc146533373"/>
      <w:bookmarkStart w:id="220" w:name="_Toc272312347"/>
      <w:r>
        <w:rPr>
          <w:rStyle w:val="CharSectno"/>
        </w:rPr>
        <w:t>16</w:t>
      </w:r>
      <w:r>
        <w:rPr>
          <w:snapToGrid w:val="0"/>
        </w:rPr>
        <w:t>.</w:t>
      </w:r>
      <w:r>
        <w:rPr>
          <w:snapToGrid w:val="0"/>
        </w:rPr>
        <w:tab/>
        <w:t>Procedure on making an appeal</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221" w:name="_Toc487527740"/>
      <w:bookmarkStart w:id="222" w:name="_Toc526931913"/>
      <w:r>
        <w:tab/>
        <w:t>[Section 16 amended by No. 35 of 2003 s. 186; No. 65 of 2003 s. 58(2); No. 21 of 2008 s. 695(3).]</w:t>
      </w:r>
    </w:p>
    <w:p>
      <w:pPr>
        <w:pStyle w:val="Heading5"/>
        <w:rPr>
          <w:snapToGrid w:val="0"/>
        </w:rPr>
      </w:pPr>
      <w:bookmarkStart w:id="223" w:name="_Toc102538146"/>
      <w:bookmarkStart w:id="224" w:name="_Toc146533374"/>
      <w:bookmarkStart w:id="225" w:name="_Toc272312348"/>
      <w:r>
        <w:rPr>
          <w:rStyle w:val="CharSectno"/>
        </w:rPr>
        <w:t>17</w:t>
      </w:r>
      <w:r>
        <w:rPr>
          <w:snapToGrid w:val="0"/>
        </w:rPr>
        <w:t>.</w:t>
      </w:r>
      <w:r>
        <w:rPr>
          <w:snapToGrid w:val="0"/>
        </w:rPr>
        <w:tab/>
        <w:t>Hearing powers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226" w:name="_Toc487527741"/>
      <w:bookmarkStart w:id="227" w:name="_Toc526931914"/>
      <w:r>
        <w:tab/>
        <w:t>[Section 17 amended by No. 35 of 2003 s. 187.]</w:t>
      </w:r>
    </w:p>
    <w:p>
      <w:pPr>
        <w:pStyle w:val="Heading5"/>
        <w:rPr>
          <w:snapToGrid w:val="0"/>
        </w:rPr>
      </w:pPr>
      <w:bookmarkStart w:id="228" w:name="_Toc102538147"/>
      <w:bookmarkStart w:id="229" w:name="_Toc146533375"/>
      <w:bookmarkStart w:id="230" w:name="_Toc272312349"/>
      <w:r>
        <w:rPr>
          <w:rStyle w:val="CharSectno"/>
        </w:rPr>
        <w:t>18</w:t>
      </w:r>
      <w:r>
        <w:rPr>
          <w:snapToGrid w:val="0"/>
        </w:rPr>
        <w:t>.</w:t>
      </w:r>
      <w:r>
        <w:rPr>
          <w:snapToGrid w:val="0"/>
        </w:rPr>
        <w:tab/>
        <w:t>Withdrawal of appeals</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31" w:name="_Toc487527742"/>
      <w:bookmarkStart w:id="232" w:name="_Toc526931915"/>
      <w:bookmarkStart w:id="233" w:name="_Toc102538148"/>
      <w:bookmarkStart w:id="234" w:name="_Toc146533376"/>
      <w:bookmarkStart w:id="235" w:name="_Toc272312350"/>
      <w:r>
        <w:rPr>
          <w:rStyle w:val="CharSectno"/>
        </w:rPr>
        <w:t>19</w:t>
      </w:r>
      <w:r>
        <w:rPr>
          <w:snapToGrid w:val="0"/>
        </w:rPr>
        <w:t>.</w:t>
      </w:r>
      <w:r>
        <w:rPr>
          <w:snapToGrid w:val="0"/>
        </w:rPr>
        <w:tab/>
        <w:t>Disobedience to determinations of the Tribunal</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36" w:name="_Toc89505482"/>
      <w:bookmarkStart w:id="237" w:name="_Toc89505524"/>
      <w:bookmarkStart w:id="238" w:name="_Toc89585137"/>
      <w:bookmarkStart w:id="239" w:name="_Toc102465889"/>
      <w:bookmarkStart w:id="240" w:name="_Toc102538149"/>
      <w:bookmarkStart w:id="241" w:name="_Toc139346319"/>
      <w:bookmarkStart w:id="242" w:name="_Toc139700529"/>
      <w:bookmarkStart w:id="243" w:name="_Toc142276081"/>
      <w:bookmarkStart w:id="244" w:name="_Toc142276993"/>
      <w:bookmarkStart w:id="245" w:name="_Toc143058022"/>
      <w:bookmarkStart w:id="246" w:name="_Toc143058131"/>
      <w:bookmarkStart w:id="247" w:name="_Toc143398787"/>
      <w:bookmarkStart w:id="248" w:name="_Toc146533377"/>
      <w:bookmarkStart w:id="249" w:name="_Toc157328041"/>
      <w:bookmarkStart w:id="250" w:name="_Toc157328106"/>
      <w:bookmarkStart w:id="251" w:name="_Toc158003258"/>
      <w:bookmarkStart w:id="252" w:name="_Toc162949587"/>
      <w:bookmarkStart w:id="253" w:name="_Toc162949629"/>
      <w:bookmarkStart w:id="254" w:name="_Toc162949671"/>
      <w:bookmarkStart w:id="255" w:name="_Toc163010922"/>
      <w:bookmarkStart w:id="256" w:name="_Toc170529739"/>
      <w:bookmarkStart w:id="257" w:name="_Toc199755579"/>
      <w:bookmarkStart w:id="258" w:name="_Toc223932427"/>
      <w:bookmarkStart w:id="259" w:name="_Toc241285631"/>
      <w:bookmarkStart w:id="260" w:name="_Toc241285672"/>
      <w:bookmarkStart w:id="261" w:name="_Toc241285747"/>
      <w:bookmarkStart w:id="262" w:name="_Toc268249109"/>
      <w:bookmarkStart w:id="263" w:name="_Toc272312351"/>
      <w:r>
        <w:rPr>
          <w:rStyle w:val="CharPartNo"/>
        </w:rPr>
        <w:t>Part 3</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Heading5"/>
        <w:rPr>
          <w:snapToGrid w:val="0"/>
        </w:rPr>
      </w:pPr>
      <w:bookmarkStart w:id="264" w:name="_Toc487527743"/>
      <w:bookmarkStart w:id="265" w:name="_Toc526931916"/>
      <w:bookmarkStart w:id="266" w:name="_Toc102538150"/>
      <w:bookmarkStart w:id="267" w:name="_Toc146533378"/>
      <w:bookmarkStart w:id="268" w:name="_Toc272312352"/>
      <w:r>
        <w:rPr>
          <w:rStyle w:val="CharSectno"/>
        </w:rPr>
        <w:t>20</w:t>
      </w:r>
      <w:r>
        <w:rPr>
          <w:snapToGrid w:val="0"/>
        </w:rPr>
        <w:t>.</w:t>
      </w:r>
      <w:r>
        <w:rPr>
          <w:snapToGrid w:val="0"/>
        </w:rPr>
        <w:tab/>
        <w:t>Offences</w:t>
      </w:r>
      <w:bookmarkEnd w:id="264"/>
      <w:bookmarkEnd w:id="265"/>
      <w:bookmarkEnd w:id="266"/>
      <w:bookmarkEnd w:id="267"/>
      <w:bookmarkEnd w:id="268"/>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69" w:name="_Toc487527744"/>
      <w:bookmarkStart w:id="270" w:name="_Toc526931917"/>
      <w:bookmarkStart w:id="271" w:name="_Toc102538151"/>
      <w:bookmarkStart w:id="272" w:name="_Toc146533379"/>
      <w:bookmarkStart w:id="273" w:name="_Toc272312353"/>
      <w:r>
        <w:rPr>
          <w:rStyle w:val="CharSectno"/>
        </w:rPr>
        <w:t>21</w:t>
      </w:r>
      <w:r>
        <w:rPr>
          <w:snapToGrid w:val="0"/>
        </w:rPr>
        <w:t>.</w:t>
      </w:r>
      <w:r>
        <w:rPr>
          <w:snapToGrid w:val="0"/>
        </w:rPr>
        <w:tab/>
        <w:t>Reasons for determinations</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74" w:name="_Toc487527745"/>
      <w:bookmarkStart w:id="275" w:name="_Toc526931918"/>
      <w:bookmarkStart w:id="276" w:name="_Toc102538152"/>
      <w:bookmarkStart w:id="277" w:name="_Toc146533380"/>
      <w:bookmarkStart w:id="278" w:name="_Toc272312354"/>
      <w:r>
        <w:rPr>
          <w:rStyle w:val="CharSectno"/>
        </w:rPr>
        <w:t>22</w:t>
      </w:r>
      <w:r>
        <w:rPr>
          <w:snapToGrid w:val="0"/>
        </w:rPr>
        <w:t>.</w:t>
      </w:r>
      <w:r>
        <w:rPr>
          <w:snapToGrid w:val="0"/>
        </w:rPr>
        <w:tab/>
        <w:t>Protection</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279" w:name="_Toc487527746"/>
      <w:bookmarkStart w:id="280" w:name="_Toc526931919"/>
      <w:bookmarkStart w:id="281" w:name="_Toc102538153"/>
      <w:bookmarkStart w:id="282" w:name="_Toc146533381"/>
      <w:bookmarkStart w:id="283" w:name="_Toc272312355"/>
      <w:r>
        <w:rPr>
          <w:rStyle w:val="CharSectno"/>
        </w:rPr>
        <w:t>23</w:t>
      </w:r>
      <w:r>
        <w:rPr>
          <w:snapToGrid w:val="0"/>
        </w:rPr>
        <w:t>.</w:t>
      </w:r>
      <w:r>
        <w:rPr>
          <w:snapToGrid w:val="0"/>
        </w:rPr>
        <w:tab/>
        <w:t>Evidentiary provisions, and recovery of moneys ordered to be paid</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284" w:name="_Toc487527747"/>
      <w:bookmarkStart w:id="285" w:name="_Toc526931920"/>
      <w:bookmarkStart w:id="286" w:name="_Toc102538154"/>
      <w:bookmarkStart w:id="287" w:name="_Toc146533382"/>
      <w:bookmarkStart w:id="288" w:name="_Toc272312356"/>
      <w:r>
        <w:rPr>
          <w:rStyle w:val="CharSectno"/>
        </w:rPr>
        <w:t>24</w:t>
      </w:r>
      <w:r>
        <w:rPr>
          <w:snapToGrid w:val="0"/>
        </w:rPr>
        <w:t>.</w:t>
      </w:r>
      <w:r>
        <w:rPr>
          <w:snapToGrid w:val="0"/>
        </w:rPr>
        <w:tab/>
        <w:t>Finance and audit</w:t>
      </w:r>
      <w:bookmarkEnd w:id="284"/>
      <w:bookmarkEnd w:id="285"/>
      <w:bookmarkEnd w:id="286"/>
      <w:bookmarkEnd w:id="287"/>
      <w:bookmarkEnd w:id="288"/>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 xml:space="preserve">One or more accounts are to be established in respect of the funds of the Tribunal —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 xml:space="preserve">The financial year of the Tribunal that —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 xml:space="preserve">[Section 24 amended by No. 11 of 1992 s. 71; No. 49 of 1996 s. 59; No. 35 of 2003 s. 189; No. 28 of 2006 s. 407; No. 77 of 2006 s. 17; No. 2 of 2007 s. 7.] </w:t>
      </w:r>
    </w:p>
    <w:p>
      <w:pPr>
        <w:pStyle w:val="Heading5"/>
        <w:rPr>
          <w:snapToGrid w:val="0"/>
        </w:rPr>
      </w:pPr>
      <w:bookmarkStart w:id="289" w:name="_Toc487527748"/>
      <w:bookmarkStart w:id="290" w:name="_Toc526931921"/>
      <w:bookmarkStart w:id="291" w:name="_Toc102538155"/>
      <w:bookmarkStart w:id="292" w:name="_Toc146533383"/>
      <w:bookmarkStart w:id="293" w:name="_Toc272312357"/>
      <w:r>
        <w:rPr>
          <w:rStyle w:val="CharSectno"/>
        </w:rPr>
        <w:t>25</w:t>
      </w:r>
      <w:r>
        <w:rPr>
          <w:snapToGrid w:val="0"/>
        </w:rPr>
        <w:t>.</w:t>
      </w:r>
      <w:r>
        <w:rPr>
          <w:snapToGrid w:val="0"/>
        </w:rPr>
        <w:tab/>
        <w:t>Regulations</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294" w:name="_Toc487527749"/>
      <w:bookmarkStart w:id="295" w:name="_Toc526931922"/>
      <w:r>
        <w:tab/>
        <w:t>[Section 25 amended by No. 35 of 2003 s. 190; No. 65 of 2003 s. 58(3); No. 21 of 2008 s. 695(4).]</w:t>
      </w:r>
    </w:p>
    <w:p>
      <w:pPr>
        <w:pStyle w:val="Heading5"/>
        <w:rPr>
          <w:snapToGrid w:val="0"/>
        </w:rPr>
      </w:pPr>
      <w:bookmarkStart w:id="296" w:name="_Toc102538156"/>
      <w:bookmarkStart w:id="297" w:name="_Toc146533384"/>
      <w:bookmarkStart w:id="298" w:name="_Toc272312358"/>
      <w:r>
        <w:rPr>
          <w:rStyle w:val="CharSectno"/>
        </w:rPr>
        <w:t>26</w:t>
      </w:r>
      <w:r>
        <w:rPr>
          <w:snapToGrid w:val="0"/>
        </w:rPr>
        <w:t>.</w:t>
      </w:r>
      <w:r>
        <w:rPr>
          <w:snapToGrid w:val="0"/>
        </w:rPr>
        <w:tab/>
        <w:t>Transitional</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99" w:name="_Toc102538157"/>
      <w:bookmarkStart w:id="300" w:name="_Toc139346327"/>
      <w:bookmarkStart w:id="301" w:name="_Toc139700537"/>
      <w:bookmarkStart w:id="302" w:name="_Toc142276089"/>
      <w:bookmarkStart w:id="303" w:name="_Toc142277001"/>
      <w:bookmarkStart w:id="304" w:name="_Toc143058030"/>
      <w:bookmarkStart w:id="305" w:name="_Toc143058139"/>
      <w:bookmarkStart w:id="306" w:name="_Toc143398795"/>
      <w:bookmarkStart w:id="307" w:name="_Toc146533385"/>
      <w:bookmarkStart w:id="308" w:name="_Toc157328049"/>
      <w:bookmarkStart w:id="309" w:name="_Toc157328114"/>
      <w:bookmarkStart w:id="310" w:name="_Toc158003266"/>
      <w:bookmarkStart w:id="311" w:name="_Toc162949595"/>
      <w:bookmarkStart w:id="312" w:name="_Toc162949637"/>
      <w:bookmarkStart w:id="313" w:name="_Toc162949679"/>
      <w:bookmarkStart w:id="314" w:name="_Toc163010930"/>
      <w:bookmarkStart w:id="315" w:name="_Toc170529747"/>
      <w:bookmarkStart w:id="316" w:name="_Toc199755587"/>
      <w:bookmarkStart w:id="317" w:name="_Toc223932435"/>
      <w:bookmarkStart w:id="318" w:name="_Toc241285639"/>
      <w:bookmarkStart w:id="319" w:name="_Toc241285680"/>
      <w:bookmarkStart w:id="320" w:name="_Toc241285755"/>
      <w:bookmarkStart w:id="321" w:name="_Toc268249117"/>
      <w:bookmarkStart w:id="322" w:name="_Toc272312359"/>
      <w:r>
        <w:rPr>
          <w:rStyle w:val="CharSchNo"/>
        </w:rPr>
        <w:t>Schedule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t> — </w:t>
      </w:r>
      <w:r>
        <w:rPr>
          <w:rStyle w:val="CharSchText"/>
          <w:bCs/>
        </w:rPr>
        <w:t>Provisions with respect to the constitution and membership of the Racing Penalties Appeal Tribunal of Western Australia</w:t>
      </w:r>
      <w:bookmarkEnd w:id="321"/>
      <w:bookmarkEnd w:id="322"/>
    </w:p>
    <w:p>
      <w:pPr>
        <w:pStyle w:val="yShoulderClause"/>
        <w:spacing w:before="100"/>
        <w:rPr>
          <w:snapToGrid w:val="0"/>
        </w:rPr>
      </w:pPr>
      <w:r>
        <w:rPr>
          <w:snapToGrid w:val="0"/>
        </w:rPr>
        <w:t>[s. 4(4)]</w:t>
      </w:r>
    </w:p>
    <w:p>
      <w:pPr>
        <w:pStyle w:val="yFootnoteheading"/>
      </w:pPr>
      <w:r>
        <w:tab/>
        <w:t>[Heading amended by No. 19 of 2010 s. 4.]</w:t>
      </w:r>
    </w:p>
    <w:p>
      <w:pPr>
        <w:pStyle w:val="yHeading5"/>
        <w:spacing w:before="240"/>
        <w:outlineLvl w:val="9"/>
        <w:rPr>
          <w:snapToGrid w:val="0"/>
        </w:rPr>
      </w:pPr>
      <w:bookmarkStart w:id="323" w:name="_Toc526931926"/>
      <w:bookmarkStart w:id="324" w:name="_Toc102538158"/>
      <w:bookmarkStart w:id="325" w:name="_Toc146533386"/>
      <w:bookmarkStart w:id="326" w:name="_Toc272312360"/>
      <w:r>
        <w:rPr>
          <w:rStyle w:val="CharSClsNo"/>
        </w:rPr>
        <w:t>1</w:t>
      </w:r>
      <w:r>
        <w:rPr>
          <w:snapToGrid w:val="0"/>
        </w:rPr>
        <w:t>.</w:t>
      </w:r>
      <w:r>
        <w:rPr>
          <w:snapToGrid w:val="0"/>
        </w:rPr>
        <w:tab/>
        <w:t>Public service officer may be member of a Tribunal</w:t>
      </w:r>
      <w:bookmarkEnd w:id="323"/>
      <w:bookmarkEnd w:id="324"/>
      <w:bookmarkEnd w:id="325"/>
      <w:bookmarkEnd w:id="326"/>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327" w:name="_Toc526931927"/>
      <w:bookmarkStart w:id="328" w:name="_Toc102538159"/>
      <w:r>
        <w:tab/>
        <w:t xml:space="preserve">[Clause 1 amended by No. 32 of 1994 s. 19.] </w:t>
      </w:r>
    </w:p>
    <w:p>
      <w:pPr>
        <w:pStyle w:val="yHeading5"/>
        <w:spacing w:before="240"/>
        <w:outlineLvl w:val="9"/>
        <w:rPr>
          <w:snapToGrid w:val="0"/>
        </w:rPr>
      </w:pPr>
      <w:bookmarkStart w:id="329" w:name="_Toc146533387"/>
      <w:bookmarkStart w:id="330" w:name="_Toc272312361"/>
      <w:r>
        <w:rPr>
          <w:snapToGrid w:val="0"/>
        </w:rPr>
        <w:t>2.</w:t>
      </w:r>
      <w:r>
        <w:rPr>
          <w:snapToGrid w:val="0"/>
        </w:rPr>
        <w:tab/>
        <w:t>Remuneration</w:t>
      </w:r>
      <w:bookmarkEnd w:id="327"/>
      <w:bookmarkEnd w:id="328"/>
      <w:bookmarkEnd w:id="329"/>
      <w:bookmarkEnd w:id="330"/>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331" w:name="_Toc526931928"/>
      <w:bookmarkStart w:id="332" w:name="_Toc102538160"/>
      <w:bookmarkStart w:id="333" w:name="_Toc146533388"/>
      <w:bookmarkStart w:id="334" w:name="_Toc272312362"/>
      <w:r>
        <w:rPr>
          <w:rStyle w:val="CharSClsNo"/>
        </w:rPr>
        <w:t>3</w:t>
      </w:r>
      <w:r>
        <w:rPr>
          <w:snapToGrid w:val="0"/>
        </w:rPr>
        <w:t>.</w:t>
      </w:r>
      <w:r>
        <w:rPr>
          <w:snapToGrid w:val="0"/>
        </w:rPr>
        <w:tab/>
        <w:t>Eligibility for, and vacation of, office and conditions of appointment</w:t>
      </w:r>
      <w:bookmarkEnd w:id="331"/>
      <w:bookmarkEnd w:id="332"/>
      <w:bookmarkEnd w:id="333"/>
      <w:bookmarkEnd w:id="334"/>
    </w:p>
    <w:p>
      <w:pPr>
        <w:pStyle w:val="yEdnotesubsection"/>
        <w:keepNext/>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335" w:name="_Toc526931929"/>
      <w:bookmarkStart w:id="336" w:name="_Toc102538161"/>
      <w:bookmarkStart w:id="337" w:name="_Toc146533389"/>
      <w:bookmarkStart w:id="338" w:name="_Toc272312363"/>
      <w:r>
        <w:rPr>
          <w:rStyle w:val="CharSClsNo"/>
        </w:rPr>
        <w:t>4</w:t>
      </w:r>
      <w:r>
        <w:rPr>
          <w:snapToGrid w:val="0"/>
        </w:rPr>
        <w:t>.</w:t>
      </w:r>
      <w:r>
        <w:rPr>
          <w:snapToGrid w:val="0"/>
        </w:rPr>
        <w:tab/>
        <w:t>Removal from office</w:t>
      </w:r>
      <w:bookmarkEnd w:id="335"/>
      <w:bookmarkEnd w:id="336"/>
      <w:bookmarkEnd w:id="337"/>
      <w:bookmarkEnd w:id="338"/>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xml:space="preserve">, unable to carry out satisfactorily the duties of the office; </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by No. 18 of 2009 s. 72.]</w:t>
      </w:r>
    </w:p>
    <w:p>
      <w:pPr>
        <w:pStyle w:val="yHeading5"/>
        <w:spacing w:before="240"/>
        <w:outlineLvl w:val="9"/>
        <w:rPr>
          <w:snapToGrid w:val="0"/>
        </w:rPr>
      </w:pPr>
      <w:bookmarkStart w:id="339" w:name="_Toc526931930"/>
      <w:bookmarkStart w:id="340" w:name="_Toc102538162"/>
      <w:bookmarkStart w:id="341" w:name="_Toc146533390"/>
      <w:bookmarkStart w:id="342" w:name="_Toc272312364"/>
      <w:r>
        <w:rPr>
          <w:rStyle w:val="CharSClsNo"/>
        </w:rPr>
        <w:t>5</w:t>
      </w:r>
      <w:r>
        <w:rPr>
          <w:snapToGrid w:val="0"/>
        </w:rPr>
        <w:t>.</w:t>
      </w:r>
      <w:r>
        <w:rPr>
          <w:snapToGrid w:val="0"/>
        </w:rPr>
        <w:tab/>
        <w:t>Validity of proceedings, etc.</w:t>
      </w:r>
      <w:bookmarkEnd w:id="339"/>
      <w:bookmarkEnd w:id="340"/>
      <w:bookmarkEnd w:id="341"/>
      <w:bookmarkEnd w:id="342"/>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43" w:name="_Toc526931931"/>
      <w:bookmarkStart w:id="344" w:name="_Toc102538163"/>
      <w:bookmarkStart w:id="345" w:name="_Toc146533391"/>
      <w:bookmarkStart w:id="346" w:name="_Toc272312365"/>
      <w:r>
        <w:rPr>
          <w:rStyle w:val="CharSClsNo"/>
        </w:rPr>
        <w:t>6</w:t>
      </w:r>
      <w:r>
        <w:rPr>
          <w:snapToGrid w:val="0"/>
        </w:rPr>
        <w:t>.</w:t>
      </w:r>
      <w:r>
        <w:rPr>
          <w:snapToGrid w:val="0"/>
        </w:rPr>
        <w:tab/>
        <w:t>Presumptions</w:t>
      </w:r>
      <w:bookmarkEnd w:id="343"/>
      <w:bookmarkEnd w:id="344"/>
      <w:bookmarkEnd w:id="345"/>
      <w:bookmarkEnd w:id="346"/>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47" w:name="_Toc89505497"/>
      <w:bookmarkStart w:id="348" w:name="_Toc89505539"/>
      <w:bookmarkStart w:id="349" w:name="_Toc89585152"/>
      <w:bookmarkStart w:id="350" w:name="_Toc102465904"/>
      <w:bookmarkStart w:id="351" w:name="_Toc102538164"/>
      <w:bookmarkStart w:id="352" w:name="_Toc139346334"/>
      <w:bookmarkStart w:id="353" w:name="_Toc139700544"/>
      <w:bookmarkStart w:id="354" w:name="_Toc142276096"/>
      <w:bookmarkStart w:id="355" w:name="_Toc142277008"/>
      <w:bookmarkStart w:id="356" w:name="_Toc143058037"/>
      <w:bookmarkStart w:id="357" w:name="_Toc143058146"/>
      <w:bookmarkStart w:id="358" w:name="_Toc143398802"/>
      <w:bookmarkStart w:id="359" w:name="_Toc146533392"/>
      <w:bookmarkStart w:id="360" w:name="_Toc157328056"/>
      <w:bookmarkStart w:id="361" w:name="_Toc157328121"/>
      <w:bookmarkStart w:id="362" w:name="_Toc158003273"/>
      <w:bookmarkStart w:id="363" w:name="_Toc162949602"/>
      <w:bookmarkStart w:id="364" w:name="_Toc162949644"/>
      <w:bookmarkStart w:id="365" w:name="_Toc162949686"/>
      <w:bookmarkStart w:id="366" w:name="_Toc163010937"/>
      <w:bookmarkStart w:id="367" w:name="_Toc170529754"/>
      <w:bookmarkStart w:id="368" w:name="_Toc199755594"/>
      <w:bookmarkStart w:id="369" w:name="_Toc223932442"/>
      <w:bookmarkStart w:id="370" w:name="_Toc241285646"/>
      <w:bookmarkStart w:id="371" w:name="_Toc241285687"/>
      <w:bookmarkStart w:id="372" w:name="_Toc241285762"/>
      <w:bookmarkStart w:id="373" w:name="_Toc268249124"/>
      <w:bookmarkStart w:id="374" w:name="_Toc272312366"/>
      <w:r>
        <w:t>Notes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5" w:name="_Toc146533393"/>
      <w:bookmarkStart w:id="376" w:name="_Toc272312367"/>
      <w:r>
        <w:rPr>
          <w:snapToGrid w:val="0"/>
        </w:rPr>
        <w:t>Compilation table</w:t>
      </w:r>
      <w:bookmarkEnd w:id="375"/>
      <w:bookmarkEnd w:id="376"/>
    </w:p>
    <w:tbl>
      <w:tblPr>
        <w:tblW w:w="0" w:type="auto"/>
        <w:tblInd w:w="56" w:type="dxa"/>
        <w:tblLayout w:type="fixed"/>
        <w:tblCellMar>
          <w:left w:w="56" w:type="dxa"/>
          <w:right w:w="56" w:type="dxa"/>
        </w:tblCellMar>
        <w:tblLook w:val="0000" w:firstRow="0" w:lastRow="0" w:firstColumn="0" w:lastColumn="0" w:noHBand="0" w:noVBand="0"/>
      </w:tblPr>
      <w:tblGrid>
        <w:gridCol w:w="2245"/>
        <w:gridCol w:w="24"/>
        <w:gridCol w:w="1114"/>
        <w:gridCol w:w="20"/>
        <w:gridCol w:w="1115"/>
        <w:gridCol w:w="19"/>
        <w:gridCol w:w="2552"/>
        <w:gridCol w:w="22"/>
      </w:tblGrid>
      <w:tr>
        <w:trPr>
          <w:gridAfter w:val="1"/>
          <w:wAfter w:w="22" w:type="dxa"/>
          <w:cantSplit/>
          <w:tblHeader/>
        </w:trPr>
        <w:tc>
          <w:tcPr>
            <w:tcW w:w="226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2" w:type="dxa"/>
          <w:cantSplit/>
        </w:trPr>
        <w:tc>
          <w:tcPr>
            <w:tcW w:w="2269" w:type="dxa"/>
            <w:gridSpan w:val="2"/>
            <w:tcBorders>
              <w:top w:val="single" w:sz="8" w:space="0" w:color="auto"/>
            </w:tcBorders>
          </w:tcPr>
          <w:p>
            <w:pPr>
              <w:pStyle w:val="nTable"/>
              <w:spacing w:after="40"/>
              <w:ind w:right="113"/>
              <w:rPr>
                <w:sz w:val="19"/>
              </w:rPr>
            </w:pPr>
            <w:r>
              <w:rPr>
                <w:i/>
                <w:sz w:val="19"/>
              </w:rPr>
              <w:t>Racing Penalties (Appeals) Act 1990</w:t>
            </w:r>
          </w:p>
        </w:tc>
        <w:tc>
          <w:tcPr>
            <w:tcW w:w="1134" w:type="dxa"/>
            <w:gridSpan w:val="2"/>
            <w:tcBorders>
              <w:top w:val="single" w:sz="8" w:space="0" w:color="auto"/>
            </w:tcBorders>
          </w:tcPr>
          <w:p>
            <w:pPr>
              <w:pStyle w:val="nTable"/>
              <w:spacing w:after="40"/>
              <w:rPr>
                <w:sz w:val="19"/>
              </w:rPr>
            </w:pPr>
            <w:r>
              <w:rPr>
                <w:sz w:val="19"/>
              </w:rPr>
              <w:t>46 of 1990</w:t>
            </w:r>
          </w:p>
        </w:tc>
        <w:tc>
          <w:tcPr>
            <w:tcW w:w="1134" w:type="dxa"/>
            <w:gridSpan w:val="2"/>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gridAfter w:val="1"/>
          <w:wAfter w:w="22" w:type="dxa"/>
          <w:cantSplit/>
        </w:trPr>
        <w:tc>
          <w:tcPr>
            <w:tcW w:w="2269" w:type="dxa"/>
            <w:gridSpan w:val="2"/>
          </w:tcPr>
          <w:p>
            <w:pPr>
              <w:pStyle w:val="nTable"/>
              <w:spacing w:after="40"/>
              <w:ind w:right="113"/>
              <w:rPr>
                <w:sz w:val="19"/>
              </w:rPr>
            </w:pPr>
            <w:r>
              <w:rPr>
                <w:i/>
                <w:sz w:val="19"/>
              </w:rPr>
              <w:t>Acts Amendment and Repeal (Betting) Act 1992</w:t>
            </w:r>
            <w:r>
              <w:rPr>
                <w:sz w:val="19"/>
              </w:rPr>
              <w:t xml:space="preserve"> Pt. 6</w:t>
            </w:r>
          </w:p>
        </w:tc>
        <w:tc>
          <w:tcPr>
            <w:tcW w:w="1134" w:type="dxa"/>
            <w:gridSpan w:val="2"/>
          </w:tcPr>
          <w:p>
            <w:pPr>
              <w:pStyle w:val="nTable"/>
              <w:spacing w:after="40"/>
              <w:rPr>
                <w:sz w:val="19"/>
              </w:rPr>
            </w:pPr>
            <w:r>
              <w:rPr>
                <w:sz w:val="19"/>
              </w:rPr>
              <w:t>11 of 1992</w:t>
            </w:r>
          </w:p>
        </w:tc>
        <w:tc>
          <w:tcPr>
            <w:tcW w:w="1134" w:type="dxa"/>
            <w:gridSpan w:val="2"/>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gridAfter w:val="1"/>
          <w:wAfter w:w="22" w:type="dxa"/>
          <w:cantSplit/>
        </w:trPr>
        <w:tc>
          <w:tcPr>
            <w:tcW w:w="2269"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2" w:type="dxa"/>
          <w:cantSplit/>
        </w:trPr>
        <w:tc>
          <w:tcPr>
            <w:tcW w:w="2269" w:type="dxa"/>
            <w:gridSpan w:val="2"/>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After w:val="1"/>
          <w:wAfter w:w="22" w:type="dxa"/>
          <w:cantSplit/>
        </w:trPr>
        <w:tc>
          <w:tcPr>
            <w:tcW w:w="2269" w:type="dxa"/>
            <w:gridSpan w:val="2"/>
          </w:tcPr>
          <w:p>
            <w:pPr>
              <w:pStyle w:val="nTable"/>
              <w:spacing w:after="40"/>
              <w:ind w:right="113"/>
              <w:rPr>
                <w:sz w:val="19"/>
              </w:rPr>
            </w:pPr>
            <w:r>
              <w:rPr>
                <w:i/>
                <w:sz w:val="19"/>
              </w:rPr>
              <w:t>Financial Legislation Amendment Act 1996</w:t>
            </w:r>
            <w:r>
              <w:rPr>
                <w:sz w:val="19"/>
              </w:rPr>
              <w:t xml:space="preserve"> s. 59</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22" w:type="dxa"/>
          <w:cantSplit/>
        </w:trPr>
        <w:tc>
          <w:tcPr>
            <w:tcW w:w="2269" w:type="dxa"/>
            <w:gridSpan w:val="2"/>
          </w:tcPr>
          <w:p>
            <w:pPr>
              <w:pStyle w:val="nTable"/>
              <w:spacing w:after="40"/>
              <w:ind w:right="113"/>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gridAfter w:val="1"/>
          <w:wAfter w:w="22" w:type="dxa"/>
          <w:cantSplit/>
        </w:trPr>
        <w:tc>
          <w:tcPr>
            <w:tcW w:w="2269"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gridSpan w:val="2"/>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gridAfter w:val="1"/>
          <w:wAfter w:w="22" w:type="dxa"/>
          <w:cantSplit/>
        </w:trPr>
        <w:tc>
          <w:tcPr>
            <w:tcW w:w="2269" w:type="dxa"/>
            <w:gridSpan w:val="2"/>
          </w:tcPr>
          <w:p>
            <w:pPr>
              <w:pStyle w:val="nTable"/>
              <w:spacing w:after="40"/>
              <w:ind w:right="113"/>
              <w:rPr>
                <w:i/>
                <w:sz w:val="19"/>
              </w:rPr>
            </w:pPr>
            <w:r>
              <w:rPr>
                <w:i/>
                <w:sz w:val="19"/>
              </w:rPr>
              <w:t>Statutes (Repeals and Minor Amendments) Act 2000</w:t>
            </w:r>
            <w:r>
              <w:rPr>
                <w:sz w:val="19"/>
              </w:rPr>
              <w:t xml:space="preserve"> s. 37</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gridAfter w:val="1"/>
          <w:wAfter w:w="22" w:type="dxa"/>
          <w:cantSplit/>
        </w:trPr>
        <w:tc>
          <w:tcPr>
            <w:tcW w:w="7089" w:type="dxa"/>
            <w:gridSpan w:val="7"/>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gridAfter w:val="1"/>
          <w:wAfter w:w="22" w:type="dxa"/>
          <w:cantSplit/>
        </w:trPr>
        <w:tc>
          <w:tcPr>
            <w:tcW w:w="2269" w:type="dxa"/>
            <w:gridSpan w:val="2"/>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gridSpan w:val="2"/>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gridAfter w:val="1"/>
          <w:wAfter w:w="22" w:type="dxa"/>
          <w:cantSplit/>
        </w:trPr>
        <w:tc>
          <w:tcPr>
            <w:tcW w:w="2269" w:type="dxa"/>
            <w:gridSpan w:val="2"/>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22" w:type="dxa"/>
          <w:cantSplit/>
        </w:trPr>
        <w:tc>
          <w:tcPr>
            <w:tcW w:w="2269"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2" w:type="dxa"/>
          <w:cantSplit/>
        </w:trPr>
        <w:tc>
          <w:tcPr>
            <w:tcW w:w="2269" w:type="dxa"/>
            <w:gridSpan w:val="2"/>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22" w:type="dxa"/>
          <w:cantSplit/>
        </w:trPr>
        <w:tc>
          <w:tcPr>
            <w:tcW w:w="7089" w:type="dxa"/>
            <w:gridSpan w:val="7"/>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gridAfter w:val="1"/>
          <w:wAfter w:w="22" w:type="dxa"/>
          <w:cantSplit/>
        </w:trPr>
        <w:tc>
          <w:tcPr>
            <w:tcW w:w="2269" w:type="dxa"/>
            <w:gridSpan w:val="2"/>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2" w:type="dxa"/>
          <w:cantSplit/>
        </w:trPr>
        <w:tc>
          <w:tcPr>
            <w:tcW w:w="2269" w:type="dxa"/>
            <w:gridSpan w:val="2"/>
          </w:tcPr>
          <w:p>
            <w:pPr>
              <w:pStyle w:val="nTable"/>
              <w:spacing w:after="40"/>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gridSpan w:val="2"/>
          </w:tcPr>
          <w:p>
            <w:pPr>
              <w:pStyle w:val="nTable"/>
              <w:spacing w:after="40"/>
              <w:rPr>
                <w:snapToGrid w:val="0"/>
                <w:sz w:val="19"/>
                <w:lang w:val="en-US"/>
              </w:rPr>
            </w:pPr>
            <w:r>
              <w:rPr>
                <w:sz w:val="19"/>
              </w:rPr>
              <w:t>2 of 2007</w:t>
            </w:r>
          </w:p>
        </w:tc>
        <w:tc>
          <w:tcPr>
            <w:tcW w:w="1134" w:type="dxa"/>
            <w:gridSpan w:val="2"/>
          </w:tcPr>
          <w:p>
            <w:pPr>
              <w:pStyle w:val="nTable"/>
              <w:spacing w:after="40"/>
              <w:rPr>
                <w:snapToGrid w:val="0"/>
                <w:sz w:val="19"/>
                <w:lang w:val="en-US"/>
              </w:rPr>
            </w:pPr>
            <w:r>
              <w:rPr>
                <w:sz w:val="19"/>
              </w:rPr>
              <w:t>28 Mar 2007</w:t>
            </w:r>
          </w:p>
        </w:tc>
        <w:tc>
          <w:tcPr>
            <w:tcW w:w="2552" w:type="dxa"/>
          </w:tcPr>
          <w:p>
            <w:pPr>
              <w:pStyle w:val="nTable"/>
              <w:spacing w:after="40"/>
              <w:rPr>
                <w:snapToGrid w:val="0"/>
                <w:sz w:val="19"/>
                <w:lang w:val="en-US"/>
              </w:rPr>
            </w:pPr>
            <w:r>
              <w:rPr>
                <w:snapToGrid w:val="0"/>
                <w:sz w:val="19"/>
                <w:lang w:val="en-US"/>
              </w:rPr>
              <w:t>1 Jul 2007 (see s. 2)</w:t>
            </w:r>
          </w:p>
        </w:tc>
      </w:tr>
      <w:tr>
        <w:trPr>
          <w:gridAfter w:val="1"/>
          <w:wAfter w:w="22" w:type="dxa"/>
          <w:cantSplit/>
        </w:trPr>
        <w:tc>
          <w:tcPr>
            <w:tcW w:w="2269" w:type="dxa"/>
            <w:gridSpan w:val="2"/>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695</w:t>
            </w:r>
          </w:p>
        </w:tc>
        <w:tc>
          <w:tcPr>
            <w:tcW w:w="1134" w:type="dxa"/>
            <w:gridSpan w:val="2"/>
          </w:tcPr>
          <w:p>
            <w:pPr>
              <w:pStyle w:val="nTable"/>
              <w:spacing w:after="40"/>
              <w:rPr>
                <w:sz w:val="19"/>
              </w:rPr>
            </w:pPr>
            <w:r>
              <w:rPr>
                <w:sz w:val="19"/>
              </w:rPr>
              <w:t>21 of 2008</w:t>
            </w:r>
          </w:p>
        </w:tc>
        <w:tc>
          <w:tcPr>
            <w:tcW w:w="1134" w:type="dxa"/>
            <w:gridSpan w:val="2"/>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After w:val="1"/>
          <w:wAfter w:w="22"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72</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45" w:type="dxa"/>
            <w:tcBorders>
              <w:bottom w:val="single" w:sz="4" w:space="0" w:color="auto"/>
            </w:tcBorders>
          </w:tcPr>
          <w:p>
            <w:pPr>
              <w:pStyle w:val="nTable"/>
              <w:spacing w:after="40"/>
              <w:ind w:right="113"/>
              <w:rPr>
                <w:iCs/>
                <w:snapToGrid w:val="0"/>
                <w:sz w:val="19"/>
                <w:lang w:val="en-US"/>
              </w:rPr>
            </w:pPr>
            <w:r>
              <w:rPr>
                <w:i/>
                <w:snapToGrid w:val="0"/>
                <w:sz w:val="19"/>
                <w:lang w:val="en-US"/>
              </w:rPr>
              <w:t>Stand</w:t>
            </w:r>
            <w:bookmarkStart w:id="377" w:name="UpToHere"/>
            <w:bookmarkEnd w:id="377"/>
            <w:r>
              <w:rPr>
                <w:i/>
                <w:snapToGrid w:val="0"/>
                <w:sz w:val="19"/>
                <w:lang w:val="en-US"/>
              </w:rPr>
              <w:t>ardisation of Formatting Act 2010</w:t>
            </w:r>
            <w:r>
              <w:rPr>
                <w:iCs/>
                <w:snapToGrid w:val="0"/>
                <w:sz w:val="19"/>
                <w:lang w:val="en-US"/>
              </w:rPr>
              <w:t xml:space="preserve"> s. 4</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93" w:type="dxa"/>
            <w:gridSpan w:val="3"/>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378" w:name="_Toc20219085"/>
      <w:bookmarkStart w:id="379" w:name="_Toc20710666"/>
      <w:bookmarkStart w:id="380" w:name="_Toc22632825"/>
      <w:bookmarkStart w:id="381" w:name="_Toc44146574"/>
      <w:r>
        <w:rPr>
          <w:rStyle w:val="CharSectno"/>
        </w:rPr>
        <w:t>19</w:t>
      </w:r>
      <w:r>
        <w:t>.</w:t>
      </w:r>
      <w:r>
        <w:tab/>
        <w:t>Power to amend regulations</w:t>
      </w:r>
      <w:bookmarkEnd w:id="378"/>
      <w:bookmarkEnd w:id="379"/>
      <w:bookmarkEnd w:id="380"/>
      <w:bookmarkEnd w:id="381"/>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382" w:name="_Toc44146748"/>
      <w:r>
        <w:rPr>
          <w:rStyle w:val="CharSectno"/>
        </w:rPr>
        <w:t>193</w:t>
      </w:r>
      <w:r>
        <w:t>.</w:t>
      </w:r>
      <w:r>
        <w:tab/>
        <w:t>Appeals</w:t>
      </w:r>
      <w:bookmarkEnd w:id="382"/>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383" w:name="_Toc44146749"/>
      <w:r>
        <w:rPr>
          <w:rStyle w:val="CharSectno"/>
        </w:rPr>
        <w:t>194</w:t>
      </w:r>
      <w:r>
        <w:t>.</w:t>
      </w:r>
      <w:r>
        <w:tab/>
        <w:t>Funds of Tribunal</w:t>
      </w:r>
      <w:bookmarkEnd w:id="383"/>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F40C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3EE0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4890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F067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8D0E7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3167BE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D0EE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B6024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A0897E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8A31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2A92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7EE61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9852</Words>
  <Characters>46207</Characters>
  <Application>Microsoft Office Word</Application>
  <DocSecurity>0</DocSecurity>
  <Lines>1283</Lines>
  <Paragraphs>692</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55367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1990 - 02-i0-01</dc:title>
  <dc:subject/>
  <dc:creator/>
  <cp:keywords/>
  <dc:description/>
  <cp:lastModifiedBy>svcMRProcess</cp:lastModifiedBy>
  <cp:revision>4</cp:revision>
  <cp:lastPrinted>2006-09-08T07:23:00Z</cp:lastPrinted>
  <dcterms:created xsi:type="dcterms:W3CDTF">2018-09-07T20:02:00Z</dcterms:created>
  <dcterms:modified xsi:type="dcterms:W3CDTF">2018-09-07T20:03:00Z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652</vt:i4>
  </property>
  <property fmtid="{D5CDD505-2E9C-101B-9397-08002B2CF9AE}" pid="6" name="AsAtDate">
    <vt:lpwstr>11 Sep 2010</vt:lpwstr>
  </property>
  <property fmtid="{D5CDD505-2E9C-101B-9397-08002B2CF9AE}" pid="7" name="Suffix">
    <vt:lpwstr>02-i0-01</vt:lpwstr>
  </property>
</Properties>
</file>