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RuleErr_471"/>
      <w:bookmarkStart w:id="1" w:name="_GoBack"/>
      <w:bookmarkEnd w:id="1"/>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Roman Catholic Bishop of Broome Property Act 1957</w:t>
      </w:r>
      <w:r>
        <w:fldChar w:fldCharType="end"/>
      </w:r>
    </w:p>
    <w:bookmarkEnd w:id="0"/>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Roman Catholic Bishop of Broome Property Act 1957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_Toc378865648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_Toc378865649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w:t>
      </w:r>
      <w:r>
        <w:t>ertain property vested in Bishop of Broome</w:t>
      </w:r>
      <w:r>
        <w:tab/>
      </w:r>
      <w:r>
        <w:fldChar w:fldCharType="begin"/>
      </w:r>
      <w:r>
        <w:instrText xml:space="preserve"> PAGEREF _Toc378865650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Bishop of Broome to be a corporation sole</w:t>
      </w:r>
      <w:r>
        <w:tab/>
      </w:r>
      <w:r>
        <w:fldChar w:fldCharType="begin"/>
      </w:r>
      <w:r>
        <w:instrText xml:space="preserve"> PAGEREF _Toc378865651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sell, mortgage and lease lands</w:t>
      </w:r>
      <w:r>
        <w:tab/>
      </w:r>
      <w:r>
        <w:fldChar w:fldCharType="begin"/>
      </w:r>
      <w:r>
        <w:instrText xml:space="preserve"> PAGEREF _Toc378865652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Land titles, registration and fees</w:t>
      </w:r>
      <w:r>
        <w:tab/>
      </w:r>
      <w:r>
        <w:fldChar w:fldCharType="begin"/>
      </w:r>
      <w:r>
        <w:instrText xml:space="preserve"> PAGEREF _Toc378865653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appoint attorneys</w:t>
      </w:r>
      <w:r>
        <w:tab/>
      </w:r>
      <w:r>
        <w:fldChar w:fldCharType="begin"/>
      </w:r>
      <w:r>
        <w:instrText xml:space="preserve"> PAGEREF _Toc378865654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Acting Bishop or Bishop-Elect to act on death of Bishop until successor appointed</w:t>
      </w:r>
      <w:r>
        <w:tab/>
      </w:r>
      <w:r>
        <w:fldChar w:fldCharType="begin"/>
      </w:r>
      <w:r>
        <w:instrText xml:space="preserve"> PAGEREF _Toc378865655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References to Roman Catholic Vicariate of the Kimberleys and The Roman Catholic Vicar Apostolic, etc. changed</w:t>
      </w:r>
      <w:r>
        <w:tab/>
      </w:r>
      <w:r>
        <w:fldChar w:fldCharType="begin"/>
      </w:r>
      <w:r>
        <w:instrText xml:space="preserve"> PAGEREF _Toc378865656 \h </w:instrText>
      </w:r>
      <w:r>
        <w:fldChar w:fldCharType="separate"/>
      </w:r>
      <w:r>
        <w:t>5</w:t>
      </w:r>
      <w:r>
        <w:fldChar w:fldCharType="end"/>
      </w:r>
    </w:p>
    <w:p>
      <w:pPr>
        <w:pStyle w:val="TOC2"/>
        <w:keepNext w:val="0"/>
        <w:tabs>
          <w:tab w:val="right" w:leader="dot" w:pos="7086"/>
        </w:tabs>
        <w:rPr>
          <w:rFonts w:asciiTheme="minorHAnsi" w:eastAsiaTheme="minorEastAsia" w:hAnsiTheme="minorHAnsi" w:cstheme="minorBidi"/>
          <w:b w:val="0"/>
          <w:sz w:val="22"/>
          <w:szCs w:val="22"/>
        </w:rPr>
      </w:pPr>
      <w:r>
        <w:rPr>
          <w:rFonts w:eastAsia="MS Mincho"/>
        </w:rPr>
        <w:t>First Schedule — Land vested in Bishop of Broome</w:t>
      </w:r>
    </w:p>
    <w:p>
      <w:pPr>
        <w:pStyle w:val="TOC4"/>
        <w:keepNext w:val="0"/>
        <w:tabs>
          <w:tab w:val="right" w:leader="dot" w:pos="7086"/>
        </w:tabs>
        <w:rPr>
          <w:rFonts w:asciiTheme="minorHAnsi" w:eastAsiaTheme="minorEastAsia" w:hAnsiTheme="minorHAnsi" w:cstheme="minorBidi"/>
          <w:b w:val="0"/>
          <w:szCs w:val="22"/>
        </w:rPr>
      </w:pPr>
      <w:r>
        <w:rPr>
          <w:rFonts w:eastAsia="MS Mincho"/>
        </w:rPr>
        <w:t>Part I — Land transferred from Roman Catholic Bishop of Perth</w:t>
      </w:r>
    </w:p>
    <w:p>
      <w:pPr>
        <w:pStyle w:val="TOC4"/>
        <w:keepNext w:val="0"/>
        <w:tabs>
          <w:tab w:val="right" w:leader="dot" w:pos="7086"/>
        </w:tabs>
        <w:rPr>
          <w:rFonts w:asciiTheme="minorHAnsi" w:eastAsiaTheme="minorEastAsia" w:hAnsiTheme="minorHAnsi" w:cstheme="minorBidi"/>
          <w:b w:val="0"/>
          <w:szCs w:val="22"/>
        </w:rPr>
      </w:pPr>
      <w:r>
        <w:rPr>
          <w:rFonts w:eastAsia="MS Mincho"/>
        </w:rPr>
        <w:t>Part II — Land transferred from Roman Catholic Bishop of Geraldton</w:t>
      </w:r>
    </w:p>
    <w:p>
      <w:pPr>
        <w:pStyle w:val="TOC4"/>
        <w:keepNext w:val="0"/>
        <w:tabs>
          <w:tab w:val="right" w:leader="dot" w:pos="7086"/>
        </w:tabs>
        <w:rPr>
          <w:rFonts w:asciiTheme="minorHAnsi" w:eastAsiaTheme="minorEastAsia" w:hAnsiTheme="minorHAnsi" w:cstheme="minorBidi"/>
          <w:b w:val="0"/>
          <w:szCs w:val="22"/>
        </w:rPr>
      </w:pPr>
      <w:r>
        <w:rPr>
          <w:rFonts w:eastAsia="MS Mincho"/>
        </w:rPr>
        <w:t>Part III — Land transferred from Pious Society of Missions Incorporated of Broome</w:t>
      </w:r>
    </w:p>
    <w:p>
      <w:pPr>
        <w:pStyle w:val="TOC2"/>
        <w:tabs>
          <w:tab w:val="right" w:leader="dot" w:pos="7086"/>
        </w:tabs>
        <w:rPr>
          <w:rFonts w:asciiTheme="minorHAnsi" w:eastAsiaTheme="minorEastAsia" w:hAnsiTheme="minorHAnsi" w:cstheme="minorBidi"/>
          <w:b w:val="0"/>
          <w:sz w:val="22"/>
          <w:szCs w:val="22"/>
        </w:rPr>
      </w:pPr>
      <w:r>
        <w:rPr>
          <w:rFonts w:eastAsia="MS Mincho"/>
        </w:rPr>
        <w:t>Second Schedule — Acts overridden by section 5</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_Toc378865663 \h </w:instrText>
      </w:r>
      <w:r>
        <w:fldChar w:fldCharType="separate"/>
      </w:r>
      <w:r>
        <w:t>8</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Roman Catholic Bishop of Broome Property Act 1957 </w:t>
      </w:r>
    </w:p>
    <w:p>
      <w:pPr>
        <w:pStyle w:val="LongTitle"/>
        <w:spacing w:before="200"/>
        <w:rPr>
          <w:snapToGrid w:val="0"/>
        </w:rPr>
      </w:pPr>
      <w:r>
        <w:rPr>
          <w:snapToGrid w:val="0"/>
        </w:rPr>
        <w:t xml:space="preserve">An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2" w:name="_Toc37886564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3" w:name="_Toc378865649"/>
      <w:r>
        <w:rPr>
          <w:rStyle w:val="CharSectno"/>
        </w:rPr>
        <w:t>2</w:t>
      </w:r>
      <w:r>
        <w:rPr>
          <w:snapToGrid w:val="0"/>
        </w:rPr>
        <w:t>.</w:t>
      </w:r>
      <w:r>
        <w:rPr>
          <w:snapToGrid w:val="0"/>
        </w:rPr>
        <w:tab/>
        <w:t>Interpretation</w:t>
      </w:r>
      <w:bookmarkEnd w:id="3"/>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keepLines w:val="0"/>
      </w:pPr>
      <w:bookmarkStart w:id="4" w:name="_Toc378865650"/>
      <w:r>
        <w:rPr>
          <w:rStyle w:val="CharSectno"/>
        </w:rPr>
        <w:t>3</w:t>
      </w:r>
      <w:r>
        <w:rPr>
          <w:snapToGrid w:val="0"/>
        </w:rPr>
        <w:t>.</w:t>
      </w:r>
      <w:r>
        <w:rPr>
          <w:snapToGrid w:val="0"/>
        </w:rPr>
        <w:tab/>
        <w:t>C</w:t>
      </w:r>
      <w:r>
        <w:t>ertain property vested in Bishop of Broome</w:t>
      </w:r>
      <w:bookmarkEnd w:id="4"/>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5" w:name="_Toc378865651"/>
      <w:r>
        <w:rPr>
          <w:rStyle w:val="CharSectno"/>
        </w:rPr>
        <w:t>4</w:t>
      </w:r>
      <w:r>
        <w:rPr>
          <w:snapToGrid w:val="0"/>
        </w:rPr>
        <w:t>.</w:t>
      </w:r>
      <w:r>
        <w:rPr>
          <w:snapToGrid w:val="0"/>
        </w:rPr>
        <w:tab/>
        <w:t>Bishop of Broome to be a corporation sole</w:t>
      </w:r>
      <w:bookmarkEnd w:id="5"/>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6" w:name="_Toc378865652"/>
      <w:r>
        <w:rPr>
          <w:rStyle w:val="CharSectno"/>
        </w:rPr>
        <w:t>5</w:t>
      </w:r>
      <w:r>
        <w:rPr>
          <w:snapToGrid w:val="0"/>
        </w:rPr>
        <w:t>.</w:t>
      </w:r>
      <w:r>
        <w:rPr>
          <w:snapToGrid w:val="0"/>
        </w:rPr>
        <w:tab/>
        <w:t>Power to sell, mortgage and lease lands</w:t>
      </w:r>
      <w:bookmarkEnd w:id="6"/>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7" w:name="_Toc378865653"/>
      <w:r>
        <w:rPr>
          <w:rStyle w:val="CharSectno"/>
        </w:rPr>
        <w:t>6</w:t>
      </w:r>
      <w:r>
        <w:rPr>
          <w:snapToGrid w:val="0"/>
        </w:rPr>
        <w:t>.</w:t>
      </w:r>
      <w:r>
        <w:rPr>
          <w:snapToGrid w:val="0"/>
        </w:rPr>
        <w:tab/>
        <w:t>Land titles, registration and fees</w:t>
      </w:r>
      <w:bookmarkEnd w:id="7"/>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respective instrument of title to that land, free of charge.</w:t>
      </w:r>
    </w:p>
    <w:p>
      <w:pPr>
        <w:pStyle w:val="Footnotesection"/>
      </w:pPr>
      <w:r>
        <w:tab/>
        <w:t>[Section 6 amended by No. 60 of 2006 s. 152.]</w:t>
      </w:r>
    </w:p>
    <w:p>
      <w:pPr>
        <w:pStyle w:val="Heading5"/>
        <w:rPr>
          <w:snapToGrid w:val="0"/>
        </w:rPr>
      </w:pPr>
      <w:bookmarkStart w:id="8" w:name="_Toc378865654"/>
      <w:r>
        <w:rPr>
          <w:rStyle w:val="CharSectno"/>
        </w:rPr>
        <w:t>7</w:t>
      </w:r>
      <w:r>
        <w:rPr>
          <w:snapToGrid w:val="0"/>
        </w:rPr>
        <w:t>.</w:t>
      </w:r>
      <w:r>
        <w:rPr>
          <w:snapToGrid w:val="0"/>
        </w:rPr>
        <w:tab/>
        <w:t>Power to appoint attorneys</w:t>
      </w:r>
      <w:bookmarkEnd w:id="8"/>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9" w:name="_Toc378865655"/>
      <w:r>
        <w:rPr>
          <w:rStyle w:val="CharSectno"/>
        </w:rPr>
        <w:t>8</w:t>
      </w:r>
      <w:r>
        <w:rPr>
          <w:snapToGrid w:val="0"/>
        </w:rPr>
        <w:t>.</w:t>
      </w:r>
      <w:r>
        <w:rPr>
          <w:snapToGrid w:val="0"/>
        </w:rPr>
        <w:tab/>
        <w:t>Acting Bishop or Bishop-Elect to act on death of Bishop until successor appointed</w:t>
      </w:r>
      <w:bookmarkEnd w:id="9"/>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10" w:name="_Toc378865656"/>
      <w:r>
        <w:rPr>
          <w:rStyle w:val="CharSectno"/>
        </w:rPr>
        <w:t>9</w:t>
      </w:r>
      <w:r>
        <w:rPr>
          <w:snapToGrid w:val="0"/>
        </w:rPr>
        <w:t>.</w:t>
      </w:r>
      <w:r>
        <w:rPr>
          <w:snapToGrid w:val="0"/>
        </w:rPr>
        <w:tab/>
        <w:t>References to Roman Catholic Vicariate of the Kimberleys and The Roman Catholic Vicar Apostolic, etc. changed</w:t>
      </w:r>
      <w:bookmarkEnd w:id="10"/>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1" w:name="_Toc378865657"/>
      <w:r>
        <w:rPr>
          <w:rStyle w:val="CharSchNo"/>
          <w:rFonts w:eastAsia="MS Mincho"/>
        </w:rPr>
        <w:t>First Schedule</w:t>
      </w:r>
      <w:r>
        <w:rPr>
          <w:rFonts w:eastAsia="MS Mincho"/>
        </w:rPr>
        <w:t> — </w:t>
      </w:r>
      <w:r>
        <w:rPr>
          <w:rStyle w:val="CharSchText"/>
          <w:rFonts w:eastAsia="MS Mincho"/>
        </w:rPr>
        <w:t>Land vested in Bishop of Broome</w:t>
      </w:r>
      <w:bookmarkEnd w:id="11"/>
    </w:p>
    <w:p>
      <w:pPr>
        <w:pStyle w:val="yShoulderClause"/>
        <w:rPr>
          <w:rFonts w:eastAsia="MS Mincho"/>
        </w:rPr>
      </w:pPr>
      <w:r>
        <w:rPr>
          <w:rFonts w:eastAsia="MS Mincho"/>
        </w:rPr>
        <w:t>[s. 3]</w:t>
      </w:r>
    </w:p>
    <w:p>
      <w:pPr>
        <w:pStyle w:val="yFootnoteheading"/>
        <w:rPr>
          <w:rFonts w:eastAsia="MS Mincho"/>
        </w:rPr>
      </w:pPr>
      <w:r>
        <w:rPr>
          <w:rFonts w:eastAsia="MS Mincho"/>
        </w:rPr>
        <w:tab/>
        <w:t>[Heading inserted by No. 19 of 2010 s. 30(2).]</w:t>
      </w:r>
    </w:p>
    <w:p>
      <w:pPr>
        <w:pStyle w:val="yHeading3"/>
        <w:rPr>
          <w:rFonts w:eastAsia="MS Mincho"/>
        </w:rPr>
      </w:pPr>
      <w:bookmarkStart w:id="12" w:name="_Toc378865658"/>
      <w:r>
        <w:rPr>
          <w:rStyle w:val="CharSDivNo"/>
          <w:rFonts w:eastAsia="MS Mincho"/>
        </w:rPr>
        <w:t>Part I</w:t>
      </w:r>
      <w:r>
        <w:rPr>
          <w:rFonts w:eastAsia="MS Mincho"/>
        </w:rPr>
        <w:t> — </w:t>
      </w:r>
      <w:r>
        <w:rPr>
          <w:rStyle w:val="CharSDivText"/>
          <w:rFonts w:eastAsia="MS Mincho"/>
        </w:rPr>
        <w:t>Land transferred from Roman Catholic Bishop of Perth</w:t>
      </w:r>
      <w:bookmarkEnd w:id="12"/>
    </w:p>
    <w:p>
      <w:pPr>
        <w:pStyle w:val="yFootnoteheading"/>
        <w:rPr>
          <w:rFonts w:eastAsia="MS Mincho"/>
        </w:rPr>
      </w:pPr>
      <w:r>
        <w:rPr>
          <w:rFonts w:eastAsia="MS Mincho"/>
        </w:rPr>
        <w:tab/>
        <w:t>[Heading inserted by No. 19 of 2010 s. 30(2).]</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3"/>
        <w:rPr>
          <w:rFonts w:eastAsia="MS Mincho"/>
        </w:rPr>
      </w:pPr>
      <w:bookmarkStart w:id="13" w:name="_Toc378865659"/>
      <w:r>
        <w:rPr>
          <w:rStyle w:val="CharSDivNo"/>
          <w:rFonts w:eastAsia="MS Mincho"/>
        </w:rPr>
        <w:t>Part II</w:t>
      </w:r>
      <w:r>
        <w:rPr>
          <w:rFonts w:eastAsia="MS Mincho"/>
        </w:rPr>
        <w:t> — </w:t>
      </w:r>
      <w:r>
        <w:rPr>
          <w:rStyle w:val="CharSDivText"/>
          <w:rFonts w:eastAsia="MS Mincho"/>
        </w:rPr>
        <w:t>Land transferred from Roman Catholic Bishop of Geraldton</w:t>
      </w:r>
      <w:bookmarkEnd w:id="13"/>
    </w:p>
    <w:p>
      <w:pPr>
        <w:pStyle w:val="yFootnoteheading"/>
        <w:rPr>
          <w:rFonts w:eastAsia="MS Mincho"/>
        </w:rPr>
      </w:pPr>
      <w:r>
        <w:rPr>
          <w:rFonts w:eastAsia="MS Mincho"/>
        </w:rPr>
        <w:tab/>
        <w:t>[Heading inserted by No. 19 of 2010 s. 30(3).]</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3"/>
        <w:rPr>
          <w:rFonts w:eastAsia="MS Mincho"/>
        </w:rPr>
      </w:pPr>
      <w:bookmarkStart w:id="14" w:name="_Toc378865660"/>
      <w:r>
        <w:rPr>
          <w:rStyle w:val="CharSDivNo"/>
          <w:rFonts w:eastAsia="MS Mincho"/>
        </w:rPr>
        <w:t>Part III</w:t>
      </w:r>
      <w:r>
        <w:rPr>
          <w:rFonts w:eastAsia="MS Mincho"/>
        </w:rPr>
        <w:t> — </w:t>
      </w:r>
      <w:r>
        <w:rPr>
          <w:rStyle w:val="CharSDivText"/>
          <w:rFonts w:eastAsia="MS Mincho"/>
        </w:rPr>
        <w:t>Land transferred from Pious Society of Missions Incorporated of Broome</w:t>
      </w:r>
      <w:bookmarkEnd w:id="14"/>
    </w:p>
    <w:p>
      <w:pPr>
        <w:pStyle w:val="yFootnoteheading"/>
        <w:rPr>
          <w:rFonts w:eastAsia="MS Mincho"/>
        </w:rPr>
      </w:pPr>
      <w:r>
        <w:rPr>
          <w:rFonts w:eastAsia="MS Mincho"/>
        </w:rPr>
        <w:tab/>
        <w:t>[Heading inserted by No. 19 of 2010 s. 30(4).]</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rPr>
          <w:rFonts w:eastAsia="MS Mincho"/>
        </w:rPr>
      </w:pPr>
      <w:bookmarkStart w:id="15" w:name="_Toc378865661"/>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overridden by section 5</w:t>
      </w:r>
      <w:bookmarkEnd w:id="15"/>
    </w:p>
    <w:p>
      <w:pPr>
        <w:pStyle w:val="yShoulderClause"/>
        <w:rPr>
          <w:rFonts w:eastAsia="MS Mincho"/>
        </w:rPr>
      </w:pPr>
      <w:r>
        <w:rPr>
          <w:rFonts w:eastAsia="MS Mincho"/>
        </w:rPr>
        <w:t>[s. 5]</w:t>
      </w:r>
    </w:p>
    <w:p>
      <w:pPr>
        <w:pStyle w:val="yFootnoteheading"/>
        <w:rPr>
          <w:rFonts w:eastAsia="MS Mincho"/>
        </w:rPr>
      </w:pPr>
      <w:r>
        <w:rPr>
          <w:rFonts w:eastAsia="MS Mincho"/>
        </w:rPr>
        <w:tab/>
        <w:t>[Heading inserted by No. 19 of 2010 s. 30(5).]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by No. 74 of 2003 s. 149(2).]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 w:name="_Toc378865662"/>
      <w:r>
        <w:t>Notes</w:t>
      </w:r>
      <w:bookmarkEnd w:id="16"/>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 </w:t>
      </w:r>
      <w:r>
        <w:rPr>
          <w:snapToGrid w:val="0"/>
          <w:vertAlign w:val="superscript"/>
        </w:rPr>
        <w:t>7</w:t>
      </w:r>
      <w:r>
        <w:rPr>
          <w:snapToGrid w:val="0"/>
        </w:rPr>
        <w:t>.  The table also contains information about any reprint.</w:t>
      </w:r>
    </w:p>
    <w:p>
      <w:pPr>
        <w:pStyle w:val="nHeading3"/>
        <w:rPr>
          <w:snapToGrid w:val="0"/>
        </w:rPr>
      </w:pPr>
      <w:bookmarkStart w:id="17" w:name="_Toc378865663"/>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tblHeader/>
        </w:trPr>
        <w:tc>
          <w:tcPr>
            <w:tcW w:w="2273" w:type="dxa"/>
            <w:tcBorders>
              <w:top w:val="single" w:sz="8" w:space="0" w:color="auto"/>
              <w:bottom w:val="single" w:sz="8" w:space="0" w:color="auto"/>
            </w:tcBorders>
          </w:tcPr>
          <w:p>
            <w:pPr>
              <w:pStyle w:val="nTable"/>
              <w:rPr>
                <w:b/>
                <w:sz w:val="19"/>
              </w:rPr>
            </w:pPr>
            <w:r>
              <w:rPr>
                <w:b/>
                <w:sz w:val="19"/>
              </w:rPr>
              <w:t>Short title</w:t>
            </w:r>
          </w:p>
        </w:tc>
        <w:tc>
          <w:tcPr>
            <w:tcW w:w="1138" w:type="dxa"/>
            <w:tcBorders>
              <w:top w:val="single" w:sz="8" w:space="0" w:color="auto"/>
              <w:bottom w:val="single" w:sz="8" w:space="0" w:color="auto"/>
            </w:tcBorders>
          </w:tcPr>
          <w:p>
            <w:pPr>
              <w:pStyle w:val="nTable"/>
              <w:rPr>
                <w:b/>
                <w:sz w:val="19"/>
              </w:rPr>
            </w:pPr>
            <w:r>
              <w:rPr>
                <w:b/>
                <w:sz w:val="19"/>
              </w:rPr>
              <w:t>Number and year</w:t>
            </w:r>
          </w:p>
        </w:tc>
        <w:tc>
          <w:tcPr>
            <w:tcW w:w="1135" w:type="dxa"/>
            <w:tcBorders>
              <w:top w:val="single" w:sz="8" w:space="0" w:color="auto"/>
              <w:bottom w:val="single" w:sz="8" w:space="0" w:color="auto"/>
            </w:tcBorders>
          </w:tcPr>
          <w:p>
            <w:pPr>
              <w:pStyle w:val="nTable"/>
              <w:rPr>
                <w:b/>
                <w:sz w:val="19"/>
              </w:rPr>
            </w:pPr>
            <w:r>
              <w:rPr>
                <w:b/>
                <w:sz w:val="19"/>
              </w:rPr>
              <w:t>Assent</w:t>
            </w:r>
          </w:p>
        </w:tc>
        <w:tc>
          <w:tcPr>
            <w:tcW w:w="2553" w:type="dxa"/>
            <w:tcBorders>
              <w:top w:val="single" w:sz="8" w:space="0" w:color="auto"/>
              <w:bottom w:val="single" w:sz="8" w:space="0" w:color="auto"/>
            </w:tcBorders>
          </w:tcPr>
          <w:p>
            <w:pPr>
              <w:pStyle w:val="nTable"/>
              <w:rPr>
                <w:b/>
                <w:sz w:val="19"/>
              </w:rPr>
            </w:pPr>
            <w:r>
              <w:rPr>
                <w:b/>
                <w:sz w:val="19"/>
              </w:rPr>
              <w:t>Commencement</w:t>
            </w:r>
          </w:p>
        </w:tc>
      </w:tr>
      <w:tr>
        <w:tc>
          <w:tcPr>
            <w:tcW w:w="2273" w:type="dxa"/>
          </w:tcPr>
          <w:p>
            <w:pPr>
              <w:pStyle w:val="nTable"/>
              <w:rPr>
                <w:sz w:val="19"/>
                <w:vertAlign w:val="superscript"/>
              </w:rPr>
            </w:pPr>
            <w:r>
              <w:rPr>
                <w:i/>
                <w:sz w:val="19"/>
              </w:rPr>
              <w:t>Roman Catholic Vicariate of the Kimberleys Property Act 1957</w:t>
            </w:r>
            <w:r>
              <w:rPr>
                <w:sz w:val="19"/>
                <w:vertAlign w:val="superscript"/>
              </w:rPr>
              <w:t> 6</w:t>
            </w:r>
          </w:p>
        </w:tc>
        <w:tc>
          <w:tcPr>
            <w:tcW w:w="1138" w:type="dxa"/>
          </w:tcPr>
          <w:p>
            <w:pPr>
              <w:pStyle w:val="nTable"/>
              <w:rPr>
                <w:sz w:val="19"/>
              </w:rPr>
            </w:pPr>
            <w:r>
              <w:rPr>
                <w:sz w:val="19"/>
              </w:rPr>
              <w:t>32 of 1957</w:t>
            </w:r>
          </w:p>
        </w:tc>
        <w:tc>
          <w:tcPr>
            <w:tcW w:w="1135" w:type="dxa"/>
          </w:tcPr>
          <w:p>
            <w:pPr>
              <w:pStyle w:val="nTable"/>
              <w:rPr>
                <w:sz w:val="19"/>
              </w:rPr>
            </w:pPr>
            <w:r>
              <w:rPr>
                <w:sz w:val="19"/>
              </w:rPr>
              <w:t>5 Nov 1957</w:t>
            </w:r>
          </w:p>
        </w:tc>
        <w:tc>
          <w:tcPr>
            <w:tcW w:w="2553" w:type="dxa"/>
          </w:tcPr>
          <w:p>
            <w:pPr>
              <w:pStyle w:val="nTable"/>
              <w:rPr>
                <w:sz w:val="19"/>
              </w:rPr>
            </w:pPr>
            <w:r>
              <w:rPr>
                <w:sz w:val="19"/>
              </w:rPr>
              <w:t>5 Nov 1957</w:t>
            </w:r>
          </w:p>
        </w:tc>
      </w:tr>
      <w:tr>
        <w:tc>
          <w:tcPr>
            <w:tcW w:w="2273" w:type="dxa"/>
          </w:tcPr>
          <w:p>
            <w:pPr>
              <w:pStyle w:val="nTable"/>
              <w:rPr>
                <w:sz w:val="19"/>
              </w:rPr>
            </w:pPr>
            <w:r>
              <w:rPr>
                <w:i/>
                <w:sz w:val="19"/>
              </w:rPr>
              <w:t>Roman Catholic Vicariate of the Kimberleys Property Act Amendment Act 1970</w:t>
            </w:r>
          </w:p>
        </w:tc>
        <w:tc>
          <w:tcPr>
            <w:tcW w:w="1138" w:type="dxa"/>
          </w:tcPr>
          <w:p>
            <w:pPr>
              <w:pStyle w:val="nTable"/>
              <w:rPr>
                <w:sz w:val="19"/>
              </w:rPr>
            </w:pPr>
            <w:r>
              <w:rPr>
                <w:sz w:val="19"/>
              </w:rPr>
              <w:t>41 of 1970</w:t>
            </w:r>
          </w:p>
        </w:tc>
        <w:tc>
          <w:tcPr>
            <w:tcW w:w="1135" w:type="dxa"/>
          </w:tcPr>
          <w:p>
            <w:pPr>
              <w:pStyle w:val="nTable"/>
              <w:rPr>
                <w:sz w:val="19"/>
              </w:rPr>
            </w:pPr>
            <w:r>
              <w:rPr>
                <w:sz w:val="19"/>
              </w:rPr>
              <w:t>23 Sep 1970</w:t>
            </w:r>
          </w:p>
        </w:tc>
        <w:tc>
          <w:tcPr>
            <w:tcW w:w="2553"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99"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73" w:type="dxa"/>
          </w:tcPr>
          <w:p>
            <w:pPr>
              <w:pStyle w:val="nTable"/>
              <w:rPr>
                <w:sz w:val="19"/>
              </w:rPr>
            </w:pPr>
            <w:r>
              <w:rPr>
                <w:i/>
                <w:sz w:val="19"/>
              </w:rPr>
              <w:t>Statutes (Repeals and Minor Amendments) Act 2003</w:t>
            </w:r>
            <w:r>
              <w:rPr>
                <w:sz w:val="19"/>
              </w:rPr>
              <w:t xml:space="preserve"> s. 149(2)</w:t>
            </w:r>
          </w:p>
        </w:tc>
        <w:tc>
          <w:tcPr>
            <w:tcW w:w="1138" w:type="dxa"/>
          </w:tcPr>
          <w:p>
            <w:pPr>
              <w:pStyle w:val="nTable"/>
              <w:rPr>
                <w:sz w:val="19"/>
              </w:rPr>
            </w:pPr>
            <w:r>
              <w:rPr>
                <w:sz w:val="19"/>
              </w:rPr>
              <w:t>74 of 2003</w:t>
            </w:r>
          </w:p>
        </w:tc>
        <w:tc>
          <w:tcPr>
            <w:tcW w:w="1135" w:type="dxa"/>
          </w:tcPr>
          <w:p>
            <w:pPr>
              <w:pStyle w:val="nTable"/>
              <w:rPr>
                <w:sz w:val="19"/>
              </w:rPr>
            </w:pPr>
            <w:r>
              <w:rPr>
                <w:sz w:val="19"/>
              </w:rPr>
              <w:t>15 Dec 2003</w:t>
            </w:r>
          </w:p>
        </w:tc>
        <w:tc>
          <w:tcPr>
            <w:tcW w:w="2553" w:type="dxa"/>
          </w:tcPr>
          <w:p>
            <w:pPr>
              <w:pStyle w:val="nTable"/>
              <w:rPr>
                <w:sz w:val="19"/>
              </w:rPr>
            </w:pPr>
            <w:r>
              <w:rPr>
                <w:spacing w:val="-2"/>
                <w:sz w:val="19"/>
              </w:rPr>
              <w:t>15 Dec 2003 (see s. 2)</w:t>
            </w:r>
          </w:p>
        </w:tc>
      </w:tr>
      <w:tr>
        <w:tc>
          <w:tcPr>
            <w:tcW w:w="2273" w:type="dxa"/>
          </w:tcPr>
          <w:p>
            <w:pPr>
              <w:pStyle w:val="nTable"/>
              <w:rPr>
                <w:i/>
                <w:sz w:val="19"/>
              </w:rPr>
            </w:pPr>
            <w:r>
              <w:rPr>
                <w:i/>
                <w:snapToGrid w:val="0"/>
                <w:sz w:val="19"/>
              </w:rPr>
              <w:t>Land Information Authority Act 2006</w:t>
            </w:r>
            <w:r>
              <w:rPr>
                <w:iCs/>
                <w:snapToGrid w:val="0"/>
                <w:sz w:val="19"/>
              </w:rPr>
              <w:t xml:space="preserve"> s. 152</w:t>
            </w:r>
            <w:r>
              <w:rPr>
                <w:iCs/>
                <w:snapToGrid w:val="0"/>
                <w:sz w:val="19"/>
                <w:vertAlign w:val="superscript"/>
              </w:rPr>
              <w:t xml:space="preserve"> </w:t>
            </w:r>
          </w:p>
        </w:tc>
        <w:tc>
          <w:tcPr>
            <w:tcW w:w="1138" w:type="dxa"/>
          </w:tcPr>
          <w:p>
            <w:pPr>
              <w:pStyle w:val="nTable"/>
              <w:rPr>
                <w:sz w:val="19"/>
              </w:rPr>
            </w:pPr>
            <w:r>
              <w:rPr>
                <w:snapToGrid w:val="0"/>
                <w:sz w:val="19"/>
              </w:rPr>
              <w:t>60 of 2006</w:t>
            </w:r>
          </w:p>
        </w:tc>
        <w:tc>
          <w:tcPr>
            <w:tcW w:w="1135" w:type="dxa"/>
          </w:tcPr>
          <w:p>
            <w:pPr>
              <w:pStyle w:val="nTable"/>
              <w:rPr>
                <w:sz w:val="19"/>
              </w:rPr>
            </w:pPr>
            <w:r>
              <w:rPr>
                <w:snapToGrid w:val="0"/>
                <w:sz w:val="19"/>
              </w:rPr>
              <w:t>16 Nov 2006</w:t>
            </w:r>
          </w:p>
        </w:tc>
        <w:tc>
          <w:tcPr>
            <w:tcW w:w="2553" w:type="dxa"/>
          </w:tcPr>
          <w:p>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30</w:t>
            </w:r>
          </w:p>
        </w:tc>
        <w:tc>
          <w:tcPr>
            <w:tcW w:w="1138" w:type="dxa"/>
            <w:tcBorders>
              <w:bottom w:val="single" w:sz="4" w:space="0" w:color="auto"/>
            </w:tcBorders>
          </w:tcPr>
          <w:p>
            <w:pPr>
              <w:pStyle w:val="nTable"/>
              <w:spacing w:after="40"/>
              <w:rPr>
                <w:snapToGrid w:val="0"/>
                <w:sz w:val="19"/>
              </w:rPr>
            </w:pPr>
            <w:r>
              <w:rPr>
                <w:snapToGrid w:val="0"/>
                <w:sz w:val="19"/>
              </w:rPr>
              <w:t>19 of 2010</w:t>
            </w:r>
          </w:p>
        </w:tc>
        <w:tc>
          <w:tcPr>
            <w:tcW w:w="1135" w:type="dxa"/>
            <w:tcBorders>
              <w:bottom w:val="single" w:sz="4" w:space="0" w:color="auto"/>
            </w:tcBorders>
          </w:tcPr>
          <w:p>
            <w:pPr>
              <w:pStyle w:val="nTable"/>
              <w:spacing w:after="40"/>
              <w:rPr>
                <w:snapToGrid w:val="0"/>
                <w:sz w:val="19"/>
              </w:rPr>
            </w:pPr>
            <w:r>
              <w:rPr>
                <w:snapToGrid w:val="0"/>
                <w:sz w:val="19"/>
              </w:rPr>
              <w:t>28 Jun 2010</w:t>
            </w:r>
          </w:p>
        </w:tc>
        <w:tc>
          <w:tcPr>
            <w:tcW w:w="2553" w:type="dxa"/>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pPr>
      <w:r>
        <w:rPr>
          <w:vertAlign w:val="superscript"/>
        </w:rPr>
        <w:t>4</w:t>
      </w:r>
      <w:r>
        <w:rPr>
          <w:vertAlign w:val="superscript"/>
        </w:rPr>
        <w:tab/>
      </w:r>
      <w:r>
        <w:t>Footnote no longer applicable.</w:t>
      </w:r>
      <w:r>
        <w:rPr>
          <w:vertAlign w:val="superscript"/>
        </w:rPr>
        <w:t xml:space="preserve"> </w:t>
      </w:r>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 1895</w:t>
      </w: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MERGEFORMAT ">
            <w:r>
              <w:rPr>
                <w:noProof/>
              </w:rPr>
              <w:t>Roman Catholic Bishop of Broome Property Act 1957</w:t>
            </w:r>
          </w:fldSimple>
        </w:p>
      </w:tc>
    </w:tr>
    <w:tr>
      <w:tc>
        <w:tcPr>
          <w:tcW w:w="1850" w:type="dxa"/>
        </w:tcPr>
        <w:p>
          <w:pPr>
            <w:pStyle w:val="HeaderNumberLeft"/>
            <w:rPr>
              <w:b w:val="0"/>
            </w:rPr>
          </w:pPr>
          <w:r>
            <w:fldChar w:fldCharType="begin"/>
          </w:r>
          <w:r>
            <w:instrText xml:space="preserve"> styleref CharSchno </w:instrText>
          </w:r>
          <w:r>
            <w:rPr>
              <w:noProof/>
            </w:rPr>
            <w:fldChar w:fldCharType="end"/>
          </w:r>
        </w:p>
      </w:tc>
      <w:tc>
        <w:tcPr>
          <w:tcW w:w="5413" w:type="dxa"/>
        </w:tcPr>
        <w:p>
          <w:pPr>
            <w:pStyle w:val="HeaderTextLeft"/>
          </w:pPr>
          <w:r>
            <w:fldChar w:fldCharType="begin"/>
          </w:r>
          <w:r>
            <w:instrText xml:space="preserve"> styleref CharSchText </w:instrText>
          </w:r>
          <w:r>
            <w:rPr>
              <w:noProof/>
            </w:rPr>
            <w:fldChar w:fldCharType="end"/>
          </w:r>
        </w:p>
      </w:tc>
    </w:tr>
    <w:tr>
      <w:tc>
        <w:tcPr>
          <w:tcW w:w="1850"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413" w:type="dxa"/>
        </w:tcPr>
        <w:p>
          <w:pPr>
            <w:pStyle w:val="HeaderTextLeft"/>
          </w:pPr>
          <w:fldSimple w:instr=" styleref CharSDivText ">
            <w:r>
              <w:rPr>
                <w:noProof/>
              </w:rPr>
              <w:t>Land transferred from Roman Catholic Bishop of Perth</w:t>
            </w:r>
          </w:fldSimple>
        </w:p>
      </w:tc>
    </w:tr>
    <w:tr>
      <w:tc>
        <w:tcPr>
          <w:tcW w:w="1850" w:type="dxa"/>
        </w:tcPr>
        <w:p>
          <w:pPr>
            <w:pStyle w:val="HeaderNumberLeft"/>
          </w:pPr>
        </w:p>
      </w:tc>
      <w:tc>
        <w:tcPr>
          <w:tcW w:w="541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18"/>
      <w:gridCol w:w="5245"/>
    </w:tblGrid>
    <w:tr>
      <w:trPr>
        <w:cantSplit/>
      </w:trPr>
      <w:tc>
        <w:tcPr>
          <w:tcW w:w="7263" w:type="dxa"/>
          <w:gridSpan w:val="2"/>
        </w:tcPr>
        <w:p>
          <w:pPr>
            <w:pStyle w:val="HeaderActNameLeft"/>
          </w:pPr>
          <w:fldSimple w:instr=" STYLEREF &quot;Name of Act/Reg&quot; \* MERGEFORMAT ">
            <w:r>
              <w:rPr>
                <w:noProof/>
              </w:rPr>
              <w:t>Roman Catholic Bishop of Broome Property Act 1957</w:t>
            </w:r>
          </w:fldSimple>
        </w:p>
      </w:tc>
    </w:tr>
    <w:tr>
      <w:tc>
        <w:tcPr>
          <w:tcW w:w="2018" w:type="dxa"/>
        </w:tcPr>
        <w:p>
          <w:pPr>
            <w:pStyle w:val="HeaderNumberLeft"/>
            <w:rPr>
              <w:b w:val="0"/>
            </w:rPr>
          </w:pPr>
          <w:r>
            <w:fldChar w:fldCharType="begin"/>
          </w:r>
          <w:r>
            <w:instrText xml:space="preserve"> styleref CharSchno </w:instrText>
          </w:r>
          <w:r>
            <w:rPr>
              <w:noProof/>
            </w:rPr>
            <w:fldChar w:fldCharType="end"/>
          </w:r>
        </w:p>
      </w:tc>
      <w:tc>
        <w:tcPr>
          <w:tcW w:w="5245" w:type="dxa"/>
        </w:tcPr>
        <w:p>
          <w:pPr>
            <w:pStyle w:val="HeaderTextLeft"/>
          </w:pPr>
          <w:r>
            <w:fldChar w:fldCharType="begin"/>
          </w:r>
          <w:r>
            <w:instrText xml:space="preserve"> styleref CharSchText </w:instrText>
          </w:r>
          <w:r>
            <w:rPr>
              <w:noProof/>
            </w:rPr>
            <w:fldChar w:fldCharType="end"/>
          </w:r>
        </w:p>
      </w:tc>
    </w:tr>
    <w:tr>
      <w:tc>
        <w:tcPr>
          <w:tcW w:w="201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I</w:t>
          </w:r>
          <w:r>
            <w:rPr>
              <w:bCs/>
            </w:rPr>
            <w:fldChar w:fldCharType="end"/>
          </w:r>
        </w:p>
      </w:tc>
      <w:tc>
        <w:tcPr>
          <w:tcW w:w="5245" w:type="dxa"/>
        </w:tcPr>
        <w:p>
          <w:pPr>
            <w:pStyle w:val="HeaderTextLeft"/>
          </w:pPr>
          <w:fldSimple w:instr=" styleref CharSDivText ">
            <w:r>
              <w:rPr>
                <w:noProof/>
              </w:rPr>
              <w:t>Land transferred from Roman Catholic Bishop of Perth</w:t>
            </w:r>
          </w:fldSimple>
        </w:p>
      </w:tc>
    </w:tr>
    <w:tr>
      <w:tc>
        <w:tcPr>
          <w:tcW w:w="2018" w:type="dxa"/>
        </w:tcPr>
        <w:p>
          <w:pPr>
            <w:pStyle w:val="HeaderNumberLeft"/>
          </w:pPr>
        </w:p>
      </w:tc>
      <w:tc>
        <w:tcPr>
          <w:tcW w:w="524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144A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369A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BCE0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442C4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4E73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A967E8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42A0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CF82B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3E5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E1D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DA27B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5A6693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26"/>
    <w:docVar w:name="WAFER_20140130122340" w:val="RemoveTocBookmarks,RemoveUnusedBookmarks,RemoveLanguageTags,UsedStyles,ResetPageSize,UpdateArrangement"/>
    <w:docVar w:name="WAFER_20140130122340_GUID" w:val="66546222-9b89-427f-8ba7-32cca572af4e"/>
    <w:docVar w:name="WAFER_20140130143714" w:val="RemoveTocBookmarks,RunningHeaders"/>
    <w:docVar w:name="WAFER_20140130143714_GUID" w:val="8c686da7-99b3-4469-9480-7667783bfebb"/>
    <w:docVar w:name="WAFER_20151209141326" w:val="RemoveTrackChanges"/>
    <w:docVar w:name="WAFER_20151209141326_GUID" w:val="6bb95262-5425-4acf-bb00-82f97cbbce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2160</Words>
  <Characters>10174</Characters>
  <Application>Microsoft Office Word</Application>
  <DocSecurity>0</DocSecurity>
  <Lines>317</Lines>
  <Paragraphs>184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1957 - 01-f0-03</dc:title>
  <dc:subject/>
  <dc:creator/>
  <cp:keywords/>
  <dc:description/>
  <cp:lastModifiedBy>svcMRProcess</cp:lastModifiedBy>
  <cp:revision>4</cp:revision>
  <cp:lastPrinted>2003-02-26T08:56:00Z</cp:lastPrinted>
  <dcterms:created xsi:type="dcterms:W3CDTF">2018-09-07T18:38:00Z</dcterms:created>
  <dcterms:modified xsi:type="dcterms:W3CDTF">2018-09-07T18:38:00Z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704</vt:i4>
  </property>
  <property fmtid="{D5CDD505-2E9C-101B-9397-08002B2CF9AE}" pid="6" name="AsAtDate">
    <vt:lpwstr>11 Sep 2010</vt:lpwstr>
  </property>
  <property fmtid="{D5CDD505-2E9C-101B-9397-08002B2CF9AE}" pid="7" name="Suffix">
    <vt:lpwstr>01-f0-03</vt:lpwstr>
  </property>
</Properties>
</file>