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Act 1916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Act 1916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tab/>
        <w:t>Short title and commencement</w:t>
      </w:r>
      <w:r>
        <w:tab/>
      </w:r>
      <w:r>
        <w:fldChar w:fldCharType="begin"/>
      </w:r>
      <w:r>
        <w:instrText xml:space="preserve"> PAGEREF _Toc379194406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Continuance of specified concerns authorised</w:t>
      </w:r>
      <w:r>
        <w:tab/>
      </w:r>
      <w:r>
        <w:fldChar w:fldCharType="begin"/>
      </w:r>
      <w:r>
        <w:instrText xml:space="preserve"> PAGEREF _Toc379194407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_Toc379194408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Certain activities may be authorised by regulation</w:t>
      </w:r>
      <w:r>
        <w:tab/>
      </w:r>
      <w:r>
        <w:fldChar w:fldCharType="begin"/>
      </w:r>
      <w:r>
        <w:instrText xml:space="preserve"> PAGEREF _Toc379194409 \h </w:instrText>
      </w:r>
      <w:r>
        <w:fldChar w:fldCharType="separate"/>
      </w:r>
      <w:r>
        <w:t>2</w:t>
      </w:r>
      <w:r>
        <w:fldChar w:fldCharType="end"/>
      </w:r>
    </w:p>
    <w:p>
      <w:pPr>
        <w:pStyle w:val="TOC8"/>
        <w:rPr>
          <w:rFonts w:asciiTheme="minorHAnsi" w:eastAsiaTheme="minorEastAsia" w:hAnsiTheme="minorHAnsi" w:cstheme="minorBidi"/>
          <w:szCs w:val="22"/>
        </w:rPr>
      </w:pPr>
      <w:r>
        <w:t>4B.</w:t>
      </w:r>
      <w:r>
        <w:tab/>
        <w:t>Extension of statutory functions by regulation</w:t>
      </w:r>
      <w:r>
        <w:tab/>
      </w:r>
      <w:r>
        <w:fldChar w:fldCharType="begin"/>
      </w:r>
      <w:r>
        <w:instrText xml:space="preserve"> PAGEREF _Toc379194410 \h </w:instrText>
      </w:r>
      <w:r>
        <w:fldChar w:fldCharType="separate"/>
      </w:r>
      <w:r>
        <w:t>3</w:t>
      </w:r>
      <w:r>
        <w:fldChar w:fldCharType="end"/>
      </w:r>
    </w:p>
    <w:p>
      <w:pPr>
        <w:pStyle w:val="TOC8"/>
        <w:rPr>
          <w:rFonts w:asciiTheme="minorHAnsi" w:eastAsiaTheme="minorEastAsia" w:hAnsiTheme="minorHAnsi" w:cstheme="minorBidi"/>
          <w:szCs w:val="22"/>
        </w:rPr>
      </w:pPr>
      <w:r>
        <w:t>5A.</w:t>
      </w:r>
      <w:r>
        <w:tab/>
        <w:t>Credit card and debit card administration fee</w:t>
      </w:r>
      <w:r>
        <w:tab/>
      </w:r>
      <w:r>
        <w:fldChar w:fldCharType="begin"/>
      </w:r>
      <w:r>
        <w:instrText xml:space="preserve"> PAGEREF _Toc379194411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Funds</w:t>
      </w:r>
      <w:r>
        <w:tab/>
      </w:r>
      <w:r>
        <w:fldChar w:fldCharType="begin"/>
      </w:r>
      <w:r>
        <w:instrText xml:space="preserve"> PAGEREF _Toc379194412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Administration — trading concerns to be under the control of Minister</w:t>
      </w:r>
      <w:r>
        <w:tab/>
      </w:r>
      <w:r>
        <w:fldChar w:fldCharType="begin"/>
      </w:r>
      <w:r>
        <w:instrText xml:space="preserve"> PAGEREF _Toc379194413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Agency special purpose account for each concern to be kept in Treasury</w:t>
      </w:r>
      <w:r>
        <w:tab/>
      </w:r>
      <w:r>
        <w:fldChar w:fldCharType="begin"/>
      </w:r>
      <w:r>
        <w:instrText xml:space="preserve"> PAGEREF _Toc379194414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Contribution of interest and sinking fund</w:t>
      </w:r>
      <w:r>
        <w:tab/>
      </w:r>
      <w:r>
        <w:fldChar w:fldCharType="begin"/>
      </w:r>
      <w:r>
        <w:instrText xml:space="preserve"> PAGEREF _Toc379194415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Interest on capital expenditure from Consolidated Account</w:t>
      </w:r>
      <w:r>
        <w:tab/>
      </w:r>
      <w:r>
        <w:fldChar w:fldCharType="begin"/>
      </w:r>
      <w:r>
        <w:instrText xml:space="preserve"> PAGEREF _Toc379194416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Charges for use of property and services</w:t>
      </w:r>
      <w:r>
        <w:tab/>
      </w:r>
      <w:r>
        <w:fldChar w:fldCharType="begin"/>
      </w:r>
      <w:r>
        <w:instrText xml:space="preserve"> PAGEREF _Toc379194417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Temporary investment of moneys</w:t>
      </w:r>
      <w:r>
        <w:tab/>
      </w:r>
      <w:r>
        <w:fldChar w:fldCharType="begin"/>
      </w:r>
      <w:r>
        <w:instrText xml:space="preserve"> PAGEREF _Toc379194418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Balance to be carried forward</w:t>
      </w:r>
      <w:r>
        <w:tab/>
      </w:r>
      <w:r>
        <w:fldChar w:fldCharType="begin"/>
      </w:r>
      <w:r>
        <w:instrText xml:space="preserve"> PAGEREF _Toc379194419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_Toc379194420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Depreciation</w:t>
      </w:r>
      <w:r>
        <w:tab/>
      </w:r>
      <w:r>
        <w:fldChar w:fldCharType="begin"/>
      </w:r>
      <w:r>
        <w:instrText xml:space="preserve"> PAGEREF _Toc379194421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Provision to meet deficiency pending appropriation</w:t>
      </w:r>
      <w:r>
        <w:tab/>
      </w:r>
      <w:r>
        <w:fldChar w:fldCharType="begin"/>
      </w:r>
      <w:r>
        <w:instrText xml:space="preserve"> PAGEREF _Toc379194422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Treatment of profit and loss</w:t>
      </w:r>
      <w:r>
        <w:tab/>
      </w:r>
      <w:r>
        <w:fldChar w:fldCharType="begin"/>
      </w:r>
      <w:r>
        <w:instrText xml:space="preserve"> PAGEREF _Toc379194423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assets to a trading concern</w:t>
      </w:r>
      <w:r>
        <w:tab/>
      </w:r>
      <w:r>
        <w:fldChar w:fldCharType="begin"/>
      </w:r>
      <w:r>
        <w:instrText xml:space="preserve"> PAGEREF _Toc379194424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 of assets between trading concerns</w:t>
      </w:r>
      <w:r>
        <w:tab/>
      </w:r>
      <w:r>
        <w:fldChar w:fldCharType="begin"/>
      </w:r>
      <w:r>
        <w:instrText xml:space="preserve"> PAGEREF _Toc379194425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sell or lease trading concerns</w:t>
      </w:r>
      <w:r>
        <w:tab/>
      </w:r>
      <w:r>
        <w:fldChar w:fldCharType="begin"/>
      </w:r>
      <w:r>
        <w:instrText xml:space="preserve"> PAGEREF _Toc379194426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26.</w:t>
      </w:r>
      <w:r>
        <w:rPr>
          <w:snapToGrid w:val="0"/>
        </w:rPr>
        <w:tab/>
        <w:t>Application of proceeds of sale of assets</w:t>
      </w:r>
      <w:r>
        <w:tab/>
      </w:r>
      <w:r>
        <w:fldChar w:fldCharType="begin"/>
      </w:r>
      <w:r>
        <w:instrText xml:space="preserve"> PAGEREF _Toc379194427 \h </w:instrText>
      </w:r>
      <w:r>
        <w:fldChar w:fldCharType="separate"/>
      </w:r>
      <w:r>
        <w:t>13</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Discontinuance of State Quarry, Boya</w:t>
      </w:r>
      <w:r>
        <w:tab/>
      </w:r>
      <w:r>
        <w:fldChar w:fldCharType="begin"/>
      </w:r>
      <w:r>
        <w:instrText xml:space="preserve"> PAGEREF _Toc379194428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26B</w:t>
      </w:r>
      <w:r>
        <w:rPr>
          <w:snapToGrid w:val="0"/>
        </w:rPr>
        <w:t>.</w:t>
      </w:r>
      <w:r>
        <w:rPr>
          <w:snapToGrid w:val="0"/>
        </w:rPr>
        <w:tab/>
        <w:t>Amalgamation of State Saw Mills and State Brick Works into one trading concern as State Building Supplies</w:t>
      </w:r>
      <w:r>
        <w:tab/>
      </w:r>
      <w:r>
        <w:fldChar w:fldCharType="begin"/>
      </w:r>
      <w:r>
        <w:instrText xml:space="preserve"> PAGEREF _Toc379194429 \h </w:instrText>
      </w:r>
      <w:r>
        <w:fldChar w:fldCharType="separate"/>
      </w:r>
      <w:r>
        <w:t>14</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The West Australian Meat Export Works</w:t>
      </w:r>
      <w:r>
        <w:tab/>
      </w:r>
      <w:r>
        <w:fldChar w:fldCharType="begin"/>
      </w:r>
      <w:r>
        <w:instrText xml:space="preserve"> PAGEREF _Toc379194430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Settlement of disputes</w:t>
      </w:r>
      <w:r>
        <w:tab/>
      </w:r>
      <w:r>
        <w:fldChar w:fldCharType="begin"/>
      </w:r>
      <w:r>
        <w:instrText xml:space="preserve"> PAGEREF _Toc379194431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_Toc379194432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Schedule — Continuing trading concerns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_Toc379194435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State Trading Concerns Act 1916 </w:t>
      </w:r>
    </w:p>
    <w:p>
      <w:pPr>
        <w:pStyle w:val="LongTitle"/>
        <w:rPr>
          <w:snapToGrid w:val="0"/>
        </w:rPr>
      </w:pPr>
      <w:r>
        <w:rPr>
          <w:snapToGrid w:val="0"/>
        </w:rPr>
        <w:t xml:space="preserve">An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by No. 45 of 1999 s. 4.]</w:t>
      </w:r>
    </w:p>
    <w:p>
      <w:pPr>
        <w:pStyle w:val="Heading5"/>
        <w:spacing w:before="240"/>
      </w:pPr>
      <w:bookmarkStart w:id="1" w:name="_Toc379194406"/>
      <w:r>
        <w:rPr>
          <w:rStyle w:val="CharSectno"/>
        </w:rPr>
        <w:t>1</w:t>
      </w:r>
      <w:r>
        <w:t>.</w:t>
      </w:r>
      <w:r>
        <w:tab/>
        <w:t>Short title and commencement</w:t>
      </w:r>
      <w:bookmarkEnd w:id="1"/>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2" w:name="_Toc379194407"/>
      <w:r>
        <w:rPr>
          <w:rStyle w:val="CharSectno"/>
        </w:rPr>
        <w:t>3</w:t>
      </w:r>
      <w:r>
        <w:rPr>
          <w:snapToGrid w:val="0"/>
        </w:rPr>
        <w:t>.</w:t>
      </w:r>
      <w:r>
        <w:rPr>
          <w:snapToGrid w:val="0"/>
        </w:rPr>
        <w:tab/>
        <w:t>Continuance of specified concerns authorised</w:t>
      </w:r>
      <w:bookmarkEnd w:id="2"/>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3" w:name="_Toc379194408"/>
      <w:r>
        <w:rPr>
          <w:rStyle w:val="CharSectno"/>
        </w:rPr>
        <w:t>4</w:t>
      </w:r>
      <w:r>
        <w:rPr>
          <w:snapToGrid w:val="0"/>
        </w:rPr>
        <w:t>.</w:t>
      </w:r>
      <w:r>
        <w:rPr>
          <w:snapToGrid w:val="0"/>
        </w:rPr>
        <w:tab/>
        <w:t>Application of Act</w:t>
      </w:r>
      <w:bookmarkEnd w:id="3"/>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4" w:name="_Toc379194409"/>
      <w:r>
        <w:rPr>
          <w:rStyle w:val="CharSectno"/>
        </w:rPr>
        <w:t>4A</w:t>
      </w:r>
      <w:r>
        <w:rPr>
          <w:snapToGrid w:val="0"/>
        </w:rPr>
        <w:t>.</w:t>
      </w:r>
      <w:r>
        <w:rPr>
          <w:snapToGrid w:val="0"/>
        </w:rPr>
        <w:tab/>
        <w:t>Certain activities may be authorised by regulation</w:t>
      </w:r>
      <w:bookmarkEnd w:id="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 No. 77 of 2006 s. 6, 9 and Sch. 1 cl. 162(1).]</w:t>
      </w:r>
    </w:p>
    <w:p>
      <w:pPr>
        <w:pStyle w:val="Heading5"/>
      </w:pPr>
      <w:bookmarkStart w:id="5" w:name="_Toc379194410"/>
      <w:r>
        <w:rPr>
          <w:rStyle w:val="CharSectno"/>
        </w:rPr>
        <w:t>4B</w:t>
      </w:r>
      <w:r>
        <w:t>.</w:t>
      </w:r>
      <w:r>
        <w:tab/>
        <w:t>Extension of statutory functions by regulation</w:t>
      </w:r>
      <w:bookmarkEnd w:id="5"/>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 amended by No. 77 of 2006 Sch. 1 cl. 162(2) and (3).]</w:t>
      </w:r>
    </w:p>
    <w:p>
      <w:pPr>
        <w:pStyle w:val="Heading5"/>
      </w:pPr>
      <w:bookmarkStart w:id="6" w:name="_Toc379194411"/>
      <w:r>
        <w:rPr>
          <w:rStyle w:val="CharSectno"/>
        </w:rPr>
        <w:t>5A</w:t>
      </w:r>
      <w:r>
        <w:t>.</w:t>
      </w:r>
      <w:r>
        <w:tab/>
        <w:t>Credit card and debit card administration fee</w:t>
      </w:r>
      <w:bookmarkEnd w:id="6"/>
    </w:p>
    <w:p>
      <w:pPr>
        <w:pStyle w:val="Subsection"/>
      </w:pPr>
      <w:r>
        <w:tab/>
        <w:t>(1)</w:t>
      </w:r>
      <w:r>
        <w:tab/>
        <w:t xml:space="preserve">In this section — </w:t>
      </w:r>
    </w:p>
    <w:p>
      <w:pPr>
        <w:pStyle w:val="Defstart"/>
      </w:pPr>
      <w:r>
        <w:tab/>
      </w:r>
      <w:r>
        <w:rPr>
          <w:rStyle w:val="CharDefText"/>
        </w:rPr>
        <w:t>credit card</w:t>
      </w:r>
      <w:r>
        <w:t xml:space="preserve"> means — </w:t>
      </w:r>
    </w:p>
    <w:p>
      <w:pPr>
        <w:pStyle w:val="Defpara"/>
      </w:pPr>
      <w:r>
        <w:tab/>
        <w:t>(a)</w:t>
      </w:r>
      <w:r>
        <w:tab/>
        <w:t>an article of a kind commonly known as a credit card; or</w:t>
      </w:r>
    </w:p>
    <w:p>
      <w:pPr>
        <w:pStyle w:val="Defpara"/>
      </w:pPr>
      <w:r>
        <w:tab/>
        <w:t>(b)</w:t>
      </w:r>
      <w:r>
        <w:tab/>
        <w:t>any similar article intended for use in obtaining cash, goods or services on credit;</w:t>
      </w:r>
    </w:p>
    <w:p>
      <w:pPr>
        <w:pStyle w:val="Defstart"/>
      </w:pPr>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p>
    <w:p>
      <w:pPr>
        <w:pStyle w:val="Defstart"/>
      </w:pPr>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p>
    <w:p>
      <w:pPr>
        <w:pStyle w:val="Defstart"/>
      </w:pPr>
      <w:r>
        <w:tab/>
      </w:r>
      <w:r>
        <w:rPr>
          <w:rStyle w:val="CharDefText"/>
        </w:rPr>
        <w:t>statutory corporation</w:t>
      </w:r>
      <w:r>
        <w:t xml:space="preserve"> has the meaning given in section 4B(1).</w:t>
      </w:r>
    </w:p>
    <w:p>
      <w:pPr>
        <w:pStyle w:val="Subsection"/>
      </w:pPr>
      <w:r>
        <w:tab/>
        <w:t>(2)</w:t>
      </w:r>
      <w:r>
        <w:tab/>
        <w:t>The imposition of a credit or debit card administration fee is authorised for the purposes of section 4(2).</w:t>
      </w:r>
    </w:p>
    <w:p>
      <w:pPr>
        <w:pStyle w:val="Subsection"/>
      </w:pPr>
      <w:r>
        <w:tab/>
        <w:t>(3)</w:t>
      </w:r>
      <w:r>
        <w:tab/>
        <w:t>A credit or debit card administration fee can be imposed by a statutory corporation on a person making a payment to the statutory corporation by means of a credit card or debit card.</w:t>
      </w:r>
    </w:p>
    <w:p>
      <w:pPr>
        <w:pStyle w:val="Subsection"/>
      </w:pPr>
      <w:r>
        <w:tab/>
        <w:t>(4)</w:t>
      </w:r>
      <w:r>
        <w:tab/>
        <w:t>A credit or debit card administration fee must not exceed the amount approved by the Treasurer.</w:t>
      </w:r>
    </w:p>
    <w:p>
      <w:pPr>
        <w:pStyle w:val="Subsection"/>
      </w:pPr>
      <w:r>
        <w:tab/>
        <w:t>(5)</w:t>
      </w:r>
      <w:r>
        <w:tab/>
        <w:t>Different amounts can be approved in relation to different types of credit cards or debit cards.</w:t>
      </w:r>
    </w:p>
    <w:p>
      <w:pPr>
        <w:pStyle w:val="Subsection"/>
      </w:pPr>
      <w:r>
        <w:tab/>
        <w:t>(6)</w:t>
      </w:r>
      <w:r>
        <w:tab/>
        <w:t>The amount of a credit or debit card administration fee that is determined in a manner that has been approved by the Treasurer is to be regarded as having been approved by the Treasurer.</w:t>
      </w:r>
    </w:p>
    <w:p>
      <w:pPr>
        <w:pStyle w:val="Footnotesection"/>
      </w:pPr>
      <w:r>
        <w:tab/>
        <w:t>[Section 5A inserted by No. 17 of 2010 s. 21.]</w:t>
      </w:r>
    </w:p>
    <w:p>
      <w:pPr>
        <w:pStyle w:val="Heading5"/>
        <w:rPr>
          <w:snapToGrid w:val="0"/>
        </w:rPr>
      </w:pPr>
      <w:bookmarkStart w:id="7" w:name="_Toc379194412"/>
      <w:r>
        <w:rPr>
          <w:rStyle w:val="CharSectno"/>
        </w:rPr>
        <w:t>5</w:t>
      </w:r>
      <w:r>
        <w:rPr>
          <w:snapToGrid w:val="0"/>
        </w:rPr>
        <w:t>.</w:t>
      </w:r>
      <w:r>
        <w:rPr>
          <w:snapToGrid w:val="0"/>
        </w:rPr>
        <w:tab/>
        <w:t>Funds</w:t>
      </w:r>
      <w:bookmarkEnd w:id="7"/>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8" w:name="_Toc379194413"/>
      <w:r>
        <w:rPr>
          <w:rStyle w:val="CharSectno"/>
        </w:rPr>
        <w:t>6</w:t>
      </w:r>
      <w:r>
        <w:rPr>
          <w:snapToGrid w:val="0"/>
        </w:rPr>
        <w:t>.</w:t>
      </w:r>
      <w:r>
        <w:rPr>
          <w:snapToGrid w:val="0"/>
        </w:rPr>
        <w:tab/>
        <w:t>Administration — trading concerns to be under the control of Minister</w:t>
      </w:r>
      <w:bookmarkEnd w:id="8"/>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9" w:name="_Toc379194414"/>
      <w:r>
        <w:rPr>
          <w:rStyle w:val="CharSectno"/>
        </w:rPr>
        <w:t>7</w:t>
      </w:r>
      <w:r>
        <w:rPr>
          <w:snapToGrid w:val="0"/>
        </w:rPr>
        <w:t>.</w:t>
      </w:r>
      <w:r>
        <w:rPr>
          <w:snapToGrid w:val="0"/>
        </w:rPr>
        <w:tab/>
        <w:t>Agency special purpose account for each concern to be kept in Treasury</w:t>
      </w:r>
      <w:bookmarkEnd w:id="9"/>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Sch. 1 cl. 162(4).] </w:t>
      </w:r>
    </w:p>
    <w:p>
      <w:pPr>
        <w:pStyle w:val="Ednotesection"/>
        <w:keepNext/>
      </w:pPr>
      <w:r>
        <w:t>[</w:t>
      </w:r>
      <w:r>
        <w:rPr>
          <w:b/>
        </w:rPr>
        <w:t>7A.</w:t>
      </w:r>
      <w:r>
        <w:tab/>
        <w:t xml:space="preserve">Deleted by No. 66 of 1984 s. 41.] </w:t>
      </w:r>
    </w:p>
    <w:p>
      <w:pPr>
        <w:pStyle w:val="Heading5"/>
        <w:rPr>
          <w:snapToGrid w:val="0"/>
        </w:rPr>
      </w:pPr>
      <w:bookmarkStart w:id="10" w:name="_Toc379194415"/>
      <w:r>
        <w:rPr>
          <w:rStyle w:val="CharSectno"/>
        </w:rPr>
        <w:t>8</w:t>
      </w:r>
      <w:r>
        <w:rPr>
          <w:snapToGrid w:val="0"/>
        </w:rPr>
        <w:t>.</w:t>
      </w:r>
      <w:r>
        <w:rPr>
          <w:snapToGrid w:val="0"/>
        </w:rPr>
        <w:tab/>
        <w:t>Contribution of interest and sinking fund</w:t>
      </w:r>
      <w:bookmarkEnd w:id="10"/>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11" w:name="_Toc379194416"/>
      <w:r>
        <w:rPr>
          <w:rStyle w:val="CharSectno"/>
        </w:rPr>
        <w:t>9</w:t>
      </w:r>
      <w:r>
        <w:rPr>
          <w:snapToGrid w:val="0"/>
        </w:rPr>
        <w:t>.</w:t>
      </w:r>
      <w:r>
        <w:rPr>
          <w:snapToGrid w:val="0"/>
        </w:rPr>
        <w:tab/>
        <w:t>Interest on capital expenditure from Consolidated Account</w:t>
      </w:r>
      <w:bookmarkEnd w:id="11"/>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spacing w:before="180"/>
        <w:rPr>
          <w:snapToGrid w:val="0"/>
        </w:rPr>
      </w:pPr>
      <w:bookmarkStart w:id="12" w:name="_Toc379194417"/>
      <w:r>
        <w:rPr>
          <w:rStyle w:val="CharSectno"/>
        </w:rPr>
        <w:t>10</w:t>
      </w:r>
      <w:r>
        <w:rPr>
          <w:snapToGrid w:val="0"/>
        </w:rPr>
        <w:t>.</w:t>
      </w:r>
      <w:r>
        <w:rPr>
          <w:snapToGrid w:val="0"/>
        </w:rPr>
        <w:tab/>
        <w:t>Charges for use of property and services</w:t>
      </w:r>
      <w:bookmarkEnd w:id="12"/>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spacing w:before="180"/>
      </w:pPr>
      <w:r>
        <w:t>[</w:t>
      </w:r>
      <w:r>
        <w:rPr>
          <w:b/>
        </w:rPr>
        <w:t>11.</w:t>
      </w:r>
      <w:r>
        <w:tab/>
        <w:t xml:space="preserve">Deleted by No. 98 of 1985 s. 3.] </w:t>
      </w:r>
    </w:p>
    <w:p>
      <w:pPr>
        <w:pStyle w:val="Heading5"/>
        <w:spacing w:before="120"/>
        <w:rPr>
          <w:snapToGrid w:val="0"/>
        </w:rPr>
      </w:pPr>
      <w:bookmarkStart w:id="13" w:name="_Toc379194418"/>
      <w:r>
        <w:rPr>
          <w:rStyle w:val="CharSectno"/>
        </w:rPr>
        <w:t>12</w:t>
      </w:r>
      <w:r>
        <w:rPr>
          <w:snapToGrid w:val="0"/>
        </w:rPr>
        <w:t>.</w:t>
      </w:r>
      <w:r>
        <w:rPr>
          <w:snapToGrid w:val="0"/>
        </w:rPr>
        <w:tab/>
        <w:t>Temporary investment of moneys</w:t>
      </w:r>
      <w:bookmarkEnd w:id="13"/>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by No. 98 of 1985 s. 3; No. 49 of 1996 s. 64; No. 77 of 2006 Sch. 1 cl. 162(5).] </w:t>
      </w:r>
    </w:p>
    <w:p>
      <w:pPr>
        <w:pStyle w:val="Heading5"/>
        <w:rPr>
          <w:snapToGrid w:val="0"/>
        </w:rPr>
      </w:pPr>
      <w:bookmarkStart w:id="14" w:name="_Toc379194419"/>
      <w:r>
        <w:rPr>
          <w:rStyle w:val="CharSectno"/>
        </w:rPr>
        <w:t>13</w:t>
      </w:r>
      <w:r>
        <w:rPr>
          <w:snapToGrid w:val="0"/>
        </w:rPr>
        <w:t>.</w:t>
      </w:r>
      <w:r>
        <w:rPr>
          <w:snapToGrid w:val="0"/>
        </w:rPr>
        <w:tab/>
        <w:t>Balance to be carried forward</w:t>
      </w:r>
      <w:bookmarkEnd w:id="14"/>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15" w:name="_Toc379194420"/>
      <w:r>
        <w:rPr>
          <w:rStyle w:val="CharSectno"/>
        </w:rPr>
        <w:t>14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Sch. 1 cl. 162(6).] </w:t>
      </w:r>
    </w:p>
    <w:p>
      <w:pPr>
        <w:pStyle w:val="Heading5"/>
        <w:rPr>
          <w:snapToGrid w:val="0"/>
        </w:rPr>
      </w:pPr>
      <w:bookmarkStart w:id="16" w:name="_Toc379194421"/>
      <w:r>
        <w:rPr>
          <w:rStyle w:val="CharSectno"/>
        </w:rPr>
        <w:t>15</w:t>
      </w:r>
      <w:r>
        <w:rPr>
          <w:snapToGrid w:val="0"/>
        </w:rPr>
        <w:t>.</w:t>
      </w:r>
      <w:r>
        <w:rPr>
          <w:snapToGrid w:val="0"/>
        </w:rPr>
        <w:tab/>
        <w:t>Depreciation</w:t>
      </w:r>
      <w:bookmarkEnd w:id="16"/>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17" w:name="_Toc379194422"/>
      <w:r>
        <w:rPr>
          <w:rStyle w:val="CharSectno"/>
        </w:rPr>
        <w:t>17</w:t>
      </w:r>
      <w:r>
        <w:rPr>
          <w:snapToGrid w:val="0"/>
        </w:rPr>
        <w:t>.</w:t>
      </w:r>
      <w:r>
        <w:rPr>
          <w:snapToGrid w:val="0"/>
        </w:rPr>
        <w:tab/>
        <w:t>Provision to meet deficiency pending appropriation</w:t>
      </w:r>
      <w:bookmarkEnd w:id="17"/>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18" w:name="_Toc379194423"/>
      <w:r>
        <w:rPr>
          <w:rStyle w:val="CharSectno"/>
        </w:rPr>
        <w:t>18</w:t>
      </w:r>
      <w:r>
        <w:rPr>
          <w:snapToGrid w:val="0"/>
        </w:rPr>
        <w:t>.</w:t>
      </w:r>
      <w:r>
        <w:rPr>
          <w:snapToGrid w:val="0"/>
        </w:rPr>
        <w:tab/>
        <w:t>Treatment of profit and loss</w:t>
      </w:r>
      <w:bookmarkEnd w:id="18"/>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w:t>
      </w:r>
      <w:r>
        <w:rPr>
          <w:b/>
        </w:rPr>
        <w:noBreakHyphen/>
        <w:t>22.</w:t>
      </w:r>
      <w:r>
        <w:tab/>
        <w:t xml:space="preserve">Deleted by No. 98 of 1985 s. 3.] </w:t>
      </w:r>
    </w:p>
    <w:p>
      <w:pPr>
        <w:pStyle w:val="Heading5"/>
        <w:rPr>
          <w:snapToGrid w:val="0"/>
        </w:rPr>
      </w:pPr>
      <w:bookmarkStart w:id="19" w:name="_Toc379194424"/>
      <w:r>
        <w:rPr>
          <w:rStyle w:val="CharSectno"/>
        </w:rPr>
        <w:t>23</w:t>
      </w:r>
      <w:r>
        <w:rPr>
          <w:snapToGrid w:val="0"/>
        </w:rPr>
        <w:t>.</w:t>
      </w:r>
      <w:r>
        <w:rPr>
          <w:snapToGrid w:val="0"/>
        </w:rPr>
        <w:tab/>
        <w:t>Transfer of assets to a trading concern</w:t>
      </w:r>
      <w:bookmarkEnd w:id="19"/>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20" w:name="_Toc379194425"/>
      <w:r>
        <w:rPr>
          <w:rStyle w:val="CharSectno"/>
        </w:rPr>
        <w:t>24</w:t>
      </w:r>
      <w:r>
        <w:rPr>
          <w:snapToGrid w:val="0"/>
        </w:rPr>
        <w:t>.</w:t>
      </w:r>
      <w:r>
        <w:rPr>
          <w:snapToGrid w:val="0"/>
        </w:rPr>
        <w:tab/>
        <w:t>Transfer of assets between trading concerns</w:t>
      </w:r>
      <w:bookmarkEnd w:id="20"/>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21" w:name="_Toc379194426"/>
      <w:r>
        <w:rPr>
          <w:rStyle w:val="CharSectno"/>
        </w:rPr>
        <w:t>25</w:t>
      </w:r>
      <w:r>
        <w:rPr>
          <w:snapToGrid w:val="0"/>
        </w:rPr>
        <w:t>.</w:t>
      </w:r>
      <w:r>
        <w:rPr>
          <w:snapToGrid w:val="0"/>
        </w:rPr>
        <w:tab/>
        <w:t>Power to sell or lease trading concerns</w:t>
      </w:r>
      <w:bookmarkEnd w:id="21"/>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pPr>
      <w:bookmarkStart w:id="22" w:name="_Toc379194427"/>
      <w:r>
        <w:rPr>
          <w:snapToGrid w:val="0"/>
        </w:rPr>
        <w:t>26.</w:t>
      </w:r>
      <w:r>
        <w:rPr>
          <w:snapToGrid w:val="0"/>
        </w:rPr>
        <w:tab/>
        <w:t>Application of proceeds of sale of assets</w:t>
      </w:r>
      <w:bookmarkEnd w:id="22"/>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23" w:name="_Toc379194428"/>
      <w:r>
        <w:rPr>
          <w:rStyle w:val="CharSectno"/>
        </w:rPr>
        <w:t>26A</w:t>
      </w:r>
      <w:r>
        <w:rPr>
          <w:snapToGrid w:val="0"/>
        </w:rPr>
        <w:t>.</w:t>
      </w:r>
      <w:r>
        <w:rPr>
          <w:snapToGrid w:val="0"/>
        </w:rPr>
        <w:tab/>
        <w:t>Discontinuance of State Quarry, Boya</w:t>
      </w:r>
      <w:bookmarkEnd w:id="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24" w:name="_Toc379194429"/>
      <w:r>
        <w:rPr>
          <w:rStyle w:val="CharSectno"/>
        </w:rPr>
        <w:t>26B</w:t>
      </w:r>
      <w:r>
        <w:rPr>
          <w:snapToGrid w:val="0"/>
        </w:rPr>
        <w:t>.</w:t>
      </w:r>
      <w:r>
        <w:rPr>
          <w:snapToGrid w:val="0"/>
        </w:rPr>
        <w:tab/>
        <w:t>Amalgamation of State Saw Mills and State Brick Works into one trading concern as State Building Supplies</w:t>
      </w:r>
      <w:bookmarkEnd w:id="24"/>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25" w:name="_Toc379194430"/>
      <w:r>
        <w:rPr>
          <w:rStyle w:val="CharSectno"/>
        </w:rPr>
        <w:t>26C</w:t>
      </w:r>
      <w:r>
        <w:rPr>
          <w:snapToGrid w:val="0"/>
        </w:rPr>
        <w:t>.</w:t>
      </w:r>
      <w:r>
        <w:rPr>
          <w:snapToGrid w:val="0"/>
        </w:rPr>
        <w:tab/>
        <w:t>The West Australian Meat Export Works</w:t>
      </w:r>
      <w:bookmarkEnd w:id="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 xml:space="preserve">[Section 26C inserted by No. 70 of 1975 s. 35.] </w:t>
      </w:r>
    </w:p>
    <w:p>
      <w:pPr>
        <w:pStyle w:val="Subsection"/>
      </w:pPr>
    </w:p>
    <w:p>
      <w:pPr>
        <w:pStyle w:val="Heading5"/>
        <w:rPr>
          <w:snapToGrid w:val="0"/>
        </w:rPr>
      </w:pPr>
      <w:bookmarkStart w:id="26" w:name="_Toc379194431"/>
      <w:r>
        <w:rPr>
          <w:rStyle w:val="CharSectno"/>
        </w:rPr>
        <w:t>27</w:t>
      </w:r>
      <w:r>
        <w:rPr>
          <w:snapToGrid w:val="0"/>
        </w:rPr>
        <w:t>.</w:t>
      </w:r>
      <w:r>
        <w:rPr>
          <w:snapToGrid w:val="0"/>
        </w:rPr>
        <w:tab/>
        <w:t>Settlement of disputes</w:t>
      </w:r>
      <w:bookmarkEnd w:id="26"/>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27" w:name="_Toc379194432"/>
      <w:r>
        <w:rPr>
          <w:rStyle w:val="CharSectno"/>
        </w:rPr>
        <w:t>28</w:t>
      </w:r>
      <w:r>
        <w:rPr>
          <w:snapToGrid w:val="0"/>
        </w:rPr>
        <w:t>.</w:t>
      </w:r>
      <w:r>
        <w:rPr>
          <w:snapToGrid w:val="0"/>
        </w:rPr>
        <w:tab/>
        <w:t>Regulations</w:t>
      </w:r>
      <w:bookmarkEnd w:id="2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8" w:name="_Toc379194433"/>
      <w:r>
        <w:rPr>
          <w:rStyle w:val="CharSchNo"/>
        </w:rPr>
        <w:t>Schedule</w:t>
      </w:r>
      <w:r>
        <w:t> — </w:t>
      </w:r>
      <w:r>
        <w:rPr>
          <w:rStyle w:val="CharSchText"/>
        </w:rPr>
        <w:t>Continuing trading concerns</w:t>
      </w:r>
      <w:bookmarkEnd w:id="28"/>
    </w:p>
    <w:p>
      <w:pPr>
        <w:pStyle w:val="yShoulderClause"/>
      </w:pPr>
      <w:r>
        <w:t>[s. 3, 4 and 17]</w:t>
      </w:r>
    </w:p>
    <w:p>
      <w:pPr>
        <w:pStyle w:val="yFootnoteheading"/>
      </w:pPr>
      <w:r>
        <w:tab/>
        <w:t>[Heading amended by No. 19 of 2010 s. 4.]</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 xml:space="preserve">[Schedule amended by No. 5 of 1932 s. 3; No. 10 of 1950 s. 4; No. 26 of 1956 s. 4; No. 113 of 1965 s. 8(1).] </w:t>
      </w:r>
    </w:p>
    <w:p>
      <w:pPr>
        <w:tabs>
          <w:tab w:val="right" w:pos="482"/>
        </w:tabs>
        <w:sectPr>
          <w:headerReference w:type="even" r:id="rId27"/>
          <w:headerReference w:type="first" r:id="rId28"/>
          <w:pgSz w:w="11906" w:h="16838" w:code="9"/>
          <w:pgMar w:top="2376" w:right="2405" w:bottom="3542" w:left="2405" w:header="706" w:footer="3380" w:gutter="0"/>
          <w:cols w:space="720"/>
          <w:noEndnote/>
          <w:docGrid w:linePitch="326"/>
        </w:sectPr>
      </w:pPr>
    </w:p>
    <w:p>
      <w:pPr>
        <w:pStyle w:val="nHeading2"/>
      </w:pPr>
      <w:bookmarkStart w:id="29" w:name="_Toc379194434"/>
      <w:r>
        <w:t>Notes</w:t>
      </w:r>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7</w:t>
      </w:r>
      <w:r>
        <w:rPr>
          <w:snapToGrid w:val="0"/>
        </w:rPr>
        <w:t>.  The table also contains information about any reprint.</w:t>
      </w:r>
    </w:p>
    <w:p>
      <w:pPr>
        <w:pStyle w:val="nHeading3"/>
        <w:spacing w:before="120"/>
        <w:rPr>
          <w:snapToGrid w:val="0"/>
          <w:u w:val="single"/>
        </w:rPr>
      </w:pPr>
      <w:bookmarkStart w:id="30" w:name="_Toc379194435"/>
      <w:r>
        <w:rPr>
          <w:snapToGrid w:val="0"/>
        </w:rPr>
        <w:t>Compilation table</w:t>
      </w:r>
      <w:bookmarkEnd w:id="30"/>
    </w:p>
    <w:tbl>
      <w:tblPr>
        <w:tblW w:w="0" w:type="auto"/>
        <w:tblInd w:w="112" w:type="dxa"/>
        <w:tblLayout w:type="fixed"/>
        <w:tblCellMar>
          <w:left w:w="56" w:type="dxa"/>
          <w:right w:w="56" w:type="dxa"/>
        </w:tblCellMar>
        <w:tblLook w:val="0000" w:firstRow="0" w:lastRow="0" w:firstColumn="0" w:lastColumn="0" w:noHBand="0" w:noVBand="0"/>
      </w:tblPr>
      <w:tblGrid>
        <w:gridCol w:w="14"/>
        <w:gridCol w:w="2254"/>
        <w:gridCol w:w="14"/>
        <w:gridCol w:w="1106"/>
        <w:gridCol w:w="14"/>
        <w:gridCol w:w="1134"/>
        <w:gridCol w:w="2533"/>
        <w:gridCol w:w="1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Pr>
          <w:p>
            <w:pPr>
              <w:pStyle w:val="nTable"/>
              <w:spacing w:after="40"/>
              <w:rPr>
                <w:sz w:val="19"/>
              </w:rPr>
            </w:pPr>
            <w:r>
              <w:rPr>
                <w:i/>
                <w:sz w:val="19"/>
              </w:rPr>
              <w:t>State Trading Concerns Act 1916</w:t>
            </w:r>
          </w:p>
        </w:tc>
        <w:tc>
          <w:tcPr>
            <w:tcW w:w="1134" w:type="dxa"/>
            <w:gridSpan w:val="3"/>
          </w:tcPr>
          <w:p>
            <w:pPr>
              <w:pStyle w:val="nTable"/>
              <w:spacing w:after="40"/>
              <w:rPr>
                <w:sz w:val="19"/>
              </w:rPr>
            </w:pPr>
            <w:r>
              <w:rPr>
                <w:sz w:val="19"/>
              </w:rPr>
              <w:t>12 of 1917</w:t>
            </w:r>
            <w:r>
              <w:rPr>
                <w:color w:val="000000"/>
              </w:rPr>
              <w:t xml:space="preserve"> (7 Geo. V No. 32)</w:t>
            </w:r>
          </w:p>
        </w:tc>
        <w:tc>
          <w:tcPr>
            <w:tcW w:w="1134" w:type="dxa"/>
          </w:tcPr>
          <w:p>
            <w:pPr>
              <w:pStyle w:val="nTable"/>
              <w:spacing w:after="40"/>
              <w:rPr>
                <w:sz w:val="19"/>
              </w:rPr>
            </w:pPr>
            <w:r>
              <w:rPr>
                <w:sz w:val="19"/>
              </w:rPr>
              <w:t>28 Mar 1917</w:t>
            </w:r>
          </w:p>
        </w:tc>
        <w:tc>
          <w:tcPr>
            <w:tcW w:w="2551" w:type="dxa"/>
            <w:gridSpan w:val="2"/>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gridSpan w:val="2"/>
          </w:tcPr>
          <w:p>
            <w:pPr>
              <w:pStyle w:val="nTable"/>
              <w:spacing w:after="40"/>
              <w:rPr>
                <w:sz w:val="19"/>
              </w:rPr>
            </w:pPr>
            <w:r>
              <w:rPr>
                <w:i/>
                <w:sz w:val="19"/>
              </w:rPr>
              <w:t>State Trading Concerns Act Amendment Act 1930</w:t>
            </w:r>
          </w:p>
        </w:tc>
        <w:tc>
          <w:tcPr>
            <w:tcW w:w="1134" w:type="dxa"/>
            <w:gridSpan w:val="3"/>
          </w:tcPr>
          <w:p>
            <w:pPr>
              <w:pStyle w:val="nTable"/>
              <w:spacing w:after="40"/>
              <w:rPr>
                <w:sz w:val="19"/>
              </w:rPr>
            </w:pPr>
            <w:r>
              <w:rPr>
                <w:sz w:val="19"/>
              </w:rPr>
              <w:t xml:space="preserve">46 of 1930 </w:t>
            </w:r>
            <w:r>
              <w:rPr>
                <w:color w:val="000000"/>
              </w:rPr>
              <w:t>(21 Geo. V No. 46)</w:t>
            </w:r>
          </w:p>
        </w:tc>
        <w:tc>
          <w:tcPr>
            <w:tcW w:w="1134" w:type="dxa"/>
          </w:tcPr>
          <w:p>
            <w:pPr>
              <w:pStyle w:val="nTable"/>
              <w:spacing w:after="40"/>
              <w:rPr>
                <w:sz w:val="19"/>
              </w:rPr>
            </w:pPr>
            <w:r>
              <w:rPr>
                <w:sz w:val="19"/>
              </w:rPr>
              <w:t>30 Dec 1930</w:t>
            </w:r>
          </w:p>
        </w:tc>
        <w:tc>
          <w:tcPr>
            <w:tcW w:w="2551" w:type="dxa"/>
            <w:gridSpan w:val="2"/>
          </w:tcPr>
          <w:p>
            <w:pPr>
              <w:pStyle w:val="nTable"/>
              <w:spacing w:after="40"/>
              <w:rPr>
                <w:sz w:val="19"/>
              </w:rPr>
            </w:pPr>
            <w:r>
              <w:rPr>
                <w:sz w:val="19"/>
              </w:rPr>
              <w:t>30 Dec 1930</w:t>
            </w:r>
          </w:p>
        </w:tc>
      </w:tr>
      <w:tr>
        <w:trPr>
          <w:cantSplit/>
        </w:trPr>
        <w:tc>
          <w:tcPr>
            <w:tcW w:w="2268" w:type="dxa"/>
            <w:gridSpan w:val="2"/>
          </w:tcPr>
          <w:p>
            <w:pPr>
              <w:pStyle w:val="nTable"/>
              <w:spacing w:after="40"/>
              <w:rPr>
                <w:sz w:val="19"/>
                <w:vertAlign w:val="superscript"/>
              </w:rPr>
            </w:pPr>
            <w:r>
              <w:rPr>
                <w:i/>
                <w:sz w:val="19"/>
              </w:rPr>
              <w:t>State Trading Concerns Act Amendment Act (No. 2) 1932</w:t>
            </w:r>
            <w:r>
              <w:rPr>
                <w:sz w:val="19"/>
                <w:vertAlign w:val="superscript"/>
              </w:rPr>
              <w:t> 8</w:t>
            </w:r>
          </w:p>
        </w:tc>
        <w:tc>
          <w:tcPr>
            <w:tcW w:w="1134" w:type="dxa"/>
            <w:gridSpan w:val="3"/>
          </w:tcPr>
          <w:p>
            <w:pPr>
              <w:pStyle w:val="nTable"/>
              <w:spacing w:after="40"/>
              <w:rPr>
                <w:sz w:val="19"/>
              </w:rPr>
            </w:pPr>
            <w:r>
              <w:rPr>
                <w:sz w:val="19"/>
              </w:rPr>
              <w:t xml:space="preserve">5 of 1932 </w:t>
            </w:r>
            <w:r>
              <w:rPr>
                <w:color w:val="000000"/>
              </w:rPr>
              <w:t>(23 Geo. V No. 5)</w:t>
            </w:r>
          </w:p>
        </w:tc>
        <w:tc>
          <w:tcPr>
            <w:tcW w:w="1134" w:type="dxa"/>
          </w:tcPr>
          <w:p>
            <w:pPr>
              <w:pStyle w:val="nTable"/>
              <w:spacing w:after="40"/>
              <w:rPr>
                <w:sz w:val="19"/>
              </w:rPr>
            </w:pPr>
            <w:r>
              <w:rPr>
                <w:sz w:val="19"/>
              </w:rPr>
              <w:t>31 Oct 1932</w:t>
            </w:r>
          </w:p>
        </w:tc>
        <w:tc>
          <w:tcPr>
            <w:tcW w:w="2551" w:type="dxa"/>
            <w:gridSpan w:val="2"/>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gridSpan w:val="2"/>
          </w:tcPr>
          <w:p>
            <w:pPr>
              <w:pStyle w:val="nTable"/>
              <w:spacing w:after="40"/>
              <w:rPr>
                <w:sz w:val="19"/>
              </w:rPr>
            </w:pPr>
            <w:r>
              <w:rPr>
                <w:i/>
                <w:sz w:val="19"/>
              </w:rPr>
              <w:t>State Trading Concerns Act Amendment Act 1950</w:t>
            </w:r>
          </w:p>
        </w:tc>
        <w:tc>
          <w:tcPr>
            <w:tcW w:w="1134" w:type="dxa"/>
            <w:gridSpan w:val="3"/>
          </w:tcPr>
          <w:p>
            <w:pPr>
              <w:pStyle w:val="nTable"/>
              <w:spacing w:after="40"/>
              <w:rPr>
                <w:sz w:val="19"/>
              </w:rPr>
            </w:pPr>
            <w:r>
              <w:rPr>
                <w:sz w:val="19"/>
              </w:rPr>
              <w:t xml:space="preserve">10 of 1950 </w:t>
            </w:r>
            <w:r>
              <w:rPr>
                <w:color w:val="000000"/>
              </w:rPr>
              <w:t>(14 Geo. VI No. 10)</w:t>
            </w:r>
          </w:p>
        </w:tc>
        <w:tc>
          <w:tcPr>
            <w:tcW w:w="1134" w:type="dxa"/>
          </w:tcPr>
          <w:p>
            <w:pPr>
              <w:pStyle w:val="nTable"/>
              <w:spacing w:after="40"/>
              <w:rPr>
                <w:sz w:val="19"/>
              </w:rPr>
            </w:pPr>
            <w:r>
              <w:rPr>
                <w:sz w:val="19"/>
              </w:rPr>
              <w:t>17 Nov 1950</w:t>
            </w:r>
          </w:p>
        </w:tc>
        <w:tc>
          <w:tcPr>
            <w:tcW w:w="2551" w:type="dxa"/>
            <w:gridSpan w:val="2"/>
          </w:tcPr>
          <w:p>
            <w:pPr>
              <w:pStyle w:val="nTable"/>
              <w:spacing w:after="40"/>
              <w:rPr>
                <w:sz w:val="19"/>
              </w:rPr>
            </w:pPr>
            <w:r>
              <w:rPr>
                <w:sz w:val="19"/>
              </w:rPr>
              <w:t>17 Nov 1950</w:t>
            </w:r>
          </w:p>
        </w:tc>
      </w:tr>
      <w:tr>
        <w:trPr>
          <w:cantSplit/>
        </w:trPr>
        <w:tc>
          <w:tcPr>
            <w:tcW w:w="2268" w:type="dxa"/>
            <w:gridSpan w:val="2"/>
          </w:tcPr>
          <w:p>
            <w:pPr>
              <w:pStyle w:val="nTable"/>
              <w:spacing w:after="40"/>
              <w:rPr>
                <w:sz w:val="19"/>
              </w:rPr>
            </w:pPr>
            <w:r>
              <w:rPr>
                <w:i/>
                <w:sz w:val="19"/>
              </w:rPr>
              <w:t>State Trading Concerns Act Amendment Act 1956</w:t>
            </w:r>
          </w:p>
        </w:tc>
        <w:tc>
          <w:tcPr>
            <w:tcW w:w="1134" w:type="dxa"/>
            <w:gridSpan w:val="3"/>
          </w:tcPr>
          <w:p>
            <w:pPr>
              <w:pStyle w:val="nTable"/>
              <w:spacing w:after="40"/>
              <w:rPr>
                <w:sz w:val="19"/>
              </w:rPr>
            </w:pPr>
            <w:r>
              <w:rPr>
                <w:sz w:val="19"/>
              </w:rPr>
              <w:t xml:space="preserve">26 of 1956 </w:t>
            </w:r>
            <w:r>
              <w:rPr>
                <w:color w:val="000000"/>
              </w:rPr>
              <w:t>(5 Eliz. II No. 26)</w:t>
            </w:r>
          </w:p>
        </w:tc>
        <w:tc>
          <w:tcPr>
            <w:tcW w:w="1134" w:type="dxa"/>
          </w:tcPr>
          <w:p>
            <w:pPr>
              <w:pStyle w:val="nTable"/>
              <w:spacing w:after="40"/>
              <w:rPr>
                <w:sz w:val="19"/>
              </w:rPr>
            </w:pPr>
            <w:r>
              <w:rPr>
                <w:sz w:val="19"/>
              </w:rPr>
              <w:t>29 Nov 1956</w:t>
            </w:r>
          </w:p>
        </w:tc>
        <w:tc>
          <w:tcPr>
            <w:tcW w:w="2551" w:type="dxa"/>
            <w:gridSpan w:val="2"/>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gridSpan w:val="2"/>
          </w:tcPr>
          <w:p>
            <w:pPr>
              <w:pStyle w:val="nTable"/>
              <w:spacing w:after="40"/>
              <w:rPr>
                <w:i/>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2"/>
          </w:tcPr>
          <w:p>
            <w:pPr>
              <w:pStyle w:val="nTable"/>
              <w:spacing w:after="40"/>
              <w:ind w:right="-57"/>
              <w:rPr>
                <w:sz w:val="19"/>
              </w:rPr>
            </w:pPr>
            <w:r>
              <w:rPr>
                <w:sz w:val="19"/>
              </w:rPr>
              <w:t>Act other than s. 4</w:t>
            </w:r>
            <w:r>
              <w:rPr>
                <w:sz w:val="19"/>
              </w:rPr>
              <w:noBreakHyphen/>
              <w:t>9: 21 Dec 1965 (see s. 2(1));</w:t>
            </w:r>
            <w:r>
              <w:rPr>
                <w:sz w:val="19"/>
              </w:rPr>
              <w:br/>
              <w:t xml:space="preserve">s. 4-9: 14 Feb 1966 (see s. 2(2)) </w:t>
            </w:r>
            <w:r>
              <w:rPr>
                <w:sz w:val="19"/>
              </w:rPr>
              <w:br/>
            </w:r>
          </w:p>
        </w:tc>
      </w:tr>
      <w:tr>
        <w:trPr>
          <w:cantSplit/>
        </w:trPr>
        <w:tc>
          <w:tcPr>
            <w:tcW w:w="2268" w:type="dxa"/>
            <w:gridSpan w:val="2"/>
          </w:tcPr>
          <w:p>
            <w:pPr>
              <w:pStyle w:val="nTable"/>
              <w:spacing w:after="40"/>
              <w:rPr>
                <w:sz w:val="19"/>
              </w:rPr>
            </w:pPr>
            <w:r>
              <w:rPr>
                <w:i/>
                <w:sz w:val="19"/>
              </w:rPr>
              <w:t>State Trading Concerns Act Amendment Act 1968</w:t>
            </w:r>
          </w:p>
        </w:tc>
        <w:tc>
          <w:tcPr>
            <w:tcW w:w="1134" w:type="dxa"/>
            <w:gridSpan w:val="3"/>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gridSpan w:val="2"/>
          </w:tcPr>
          <w:p>
            <w:pPr>
              <w:pStyle w:val="nTable"/>
              <w:spacing w:after="40"/>
              <w:rPr>
                <w:sz w:val="19"/>
              </w:rPr>
            </w:pPr>
            <w:r>
              <w:rPr>
                <w:sz w:val="19"/>
              </w:rPr>
              <w:t>26 Sep 1968</w:t>
            </w:r>
          </w:p>
        </w:tc>
      </w:tr>
      <w:tr>
        <w:trPr>
          <w:cantSplit/>
        </w:trPr>
        <w:tc>
          <w:tcPr>
            <w:tcW w:w="2268" w:type="dxa"/>
            <w:gridSpan w:val="2"/>
          </w:tcPr>
          <w:p>
            <w:pPr>
              <w:pStyle w:val="nTable"/>
              <w:spacing w:after="40"/>
              <w:rPr>
                <w:sz w:val="19"/>
              </w:rPr>
            </w:pPr>
            <w:r>
              <w:rPr>
                <w:i/>
                <w:sz w:val="19"/>
              </w:rPr>
              <w:t>State Trading Concerns Act Amendment Act 1972</w:t>
            </w:r>
          </w:p>
        </w:tc>
        <w:tc>
          <w:tcPr>
            <w:tcW w:w="1134" w:type="dxa"/>
            <w:gridSpan w:val="3"/>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gridSpan w:val="2"/>
          </w:tcPr>
          <w:p>
            <w:pPr>
              <w:pStyle w:val="nTable"/>
              <w:spacing w:after="40"/>
              <w:rPr>
                <w:sz w:val="19"/>
              </w:rPr>
            </w:pPr>
            <w:r>
              <w:rPr>
                <w:sz w:val="19"/>
              </w:rPr>
              <w:t>9 Jun 1972</w:t>
            </w:r>
          </w:p>
        </w:tc>
      </w:tr>
      <w:tr>
        <w:trPr>
          <w:cantSplit/>
        </w:trPr>
        <w:tc>
          <w:tcPr>
            <w:tcW w:w="7087" w:type="dxa"/>
            <w:gridSpan w:val="8"/>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gridSpan w:val="2"/>
          </w:tcPr>
          <w:p>
            <w:pPr>
              <w:pStyle w:val="nTable"/>
              <w:spacing w:after="40"/>
              <w:rPr>
                <w:sz w:val="19"/>
              </w:rPr>
            </w:pPr>
            <w:r>
              <w:rPr>
                <w:i/>
                <w:sz w:val="19"/>
              </w:rPr>
              <w:t>Acts Amendment (Western Australian Meat Commission) Act 1975</w:t>
            </w:r>
            <w:r>
              <w:rPr>
                <w:sz w:val="19"/>
              </w:rPr>
              <w:t xml:space="preserve"> Pt. II</w:t>
            </w:r>
          </w:p>
        </w:tc>
        <w:tc>
          <w:tcPr>
            <w:tcW w:w="1134" w:type="dxa"/>
            <w:gridSpan w:val="3"/>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gridSpan w:val="2"/>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gridSpan w:val="2"/>
          </w:tcPr>
          <w:p>
            <w:pPr>
              <w:pStyle w:val="nTable"/>
              <w:spacing w:after="40"/>
              <w:rPr>
                <w:sz w:val="19"/>
              </w:rPr>
            </w:pPr>
            <w:r>
              <w:rPr>
                <w:i/>
                <w:sz w:val="19"/>
              </w:rPr>
              <w:t>State Engineering Works Act 1984</w:t>
            </w:r>
            <w:r>
              <w:rPr>
                <w:sz w:val="19"/>
              </w:rPr>
              <w:t xml:space="preserve"> s. 41</w:t>
            </w:r>
          </w:p>
        </w:tc>
        <w:tc>
          <w:tcPr>
            <w:tcW w:w="1134" w:type="dxa"/>
            <w:gridSpan w:val="3"/>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gridSpan w:val="2"/>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3"/>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 and 15</w:t>
            </w:r>
          </w:p>
        </w:tc>
        <w:tc>
          <w:tcPr>
            <w:tcW w:w="1134" w:type="dxa"/>
            <w:gridSpan w:val="3"/>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3"/>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State Trading Concerns Amendment Act 1997</w:t>
            </w:r>
          </w:p>
        </w:tc>
        <w:tc>
          <w:tcPr>
            <w:tcW w:w="1134" w:type="dxa"/>
            <w:gridSpan w:val="3"/>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gridSpan w:val="2"/>
          </w:tcPr>
          <w:p>
            <w:pPr>
              <w:pStyle w:val="nTable"/>
              <w:spacing w:after="40"/>
              <w:rPr>
                <w:sz w:val="19"/>
              </w:rPr>
            </w:pPr>
            <w:r>
              <w:rPr>
                <w:sz w:val="19"/>
              </w:rPr>
              <w:t>8 Jul 1997 (see s. 2)</w:t>
            </w:r>
          </w:p>
        </w:tc>
      </w:tr>
      <w:tr>
        <w:trPr>
          <w:cantSplit/>
        </w:trPr>
        <w:tc>
          <w:tcPr>
            <w:tcW w:w="7087" w:type="dxa"/>
            <w:gridSpan w:val="8"/>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gridSpan w:val="2"/>
          </w:tcPr>
          <w:p>
            <w:pPr>
              <w:pStyle w:val="nTable"/>
              <w:spacing w:after="40"/>
              <w:rPr>
                <w:i/>
                <w:sz w:val="19"/>
              </w:rPr>
            </w:pPr>
            <w:r>
              <w:rPr>
                <w:i/>
                <w:sz w:val="19"/>
              </w:rPr>
              <w:t>State Trading Concerns Amendment Act 1999</w:t>
            </w:r>
          </w:p>
        </w:tc>
        <w:tc>
          <w:tcPr>
            <w:tcW w:w="1134" w:type="dxa"/>
            <w:gridSpan w:val="3"/>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gridSpan w:val="2"/>
          </w:tcPr>
          <w:p>
            <w:pPr>
              <w:pStyle w:val="nTable"/>
              <w:spacing w:after="40"/>
              <w:rPr>
                <w:sz w:val="19"/>
              </w:rPr>
            </w:pPr>
            <w:r>
              <w:rPr>
                <w:sz w:val="19"/>
              </w:rPr>
              <w:t>7 Dec 1999 (see s. 2)</w:t>
            </w:r>
          </w:p>
        </w:tc>
      </w:tr>
      <w:tr>
        <w:trPr>
          <w:cantSplit/>
        </w:trPr>
        <w:tc>
          <w:tcPr>
            <w:tcW w:w="7087" w:type="dxa"/>
            <w:gridSpan w:val="8"/>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gridSpan w:val="2"/>
          </w:tcPr>
          <w:p>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r>
              <w:rPr>
                <w:rFonts w:ascii="Times" w:hAnsi="Times"/>
                <w:color w:val="000000"/>
                <w:sz w:val="19"/>
              </w:rPr>
              <w:t xml:space="preserve"> Sch. 1 cl. 162</w:t>
            </w:r>
          </w:p>
        </w:tc>
        <w:tc>
          <w:tcPr>
            <w:tcW w:w="1134" w:type="dxa"/>
            <w:gridSpan w:val="3"/>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8"/>
          </w:tcPr>
          <w:p>
            <w:pPr>
              <w:pStyle w:val="nTable"/>
              <w:spacing w:after="40"/>
              <w:rPr>
                <w:sz w:val="19"/>
              </w:rPr>
            </w:pPr>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p>
        </w:tc>
      </w:tr>
      <w:tr>
        <w:trPr>
          <w:cantSplit/>
        </w:trPr>
        <w:tc>
          <w:tcPr>
            <w:tcW w:w="2268" w:type="dxa"/>
            <w:gridSpan w:val="2"/>
          </w:tcPr>
          <w:p>
            <w:pPr>
              <w:pStyle w:val="nTable"/>
              <w:spacing w:after="40"/>
              <w:rPr>
                <w:sz w:val="19"/>
              </w:rPr>
            </w:pPr>
            <w:r>
              <w:rPr>
                <w:i/>
                <w:iCs/>
                <w:sz w:val="19"/>
              </w:rPr>
              <w:t>Revenue Laws Amendment and Repeal Act 2010</w:t>
            </w:r>
            <w:r>
              <w:rPr>
                <w:sz w:val="19"/>
              </w:rPr>
              <w:t xml:space="preserve"> Pt. 4</w:t>
            </w:r>
          </w:p>
        </w:tc>
        <w:tc>
          <w:tcPr>
            <w:tcW w:w="1134" w:type="dxa"/>
            <w:gridSpan w:val="3"/>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1" w:type="dxa"/>
            <w:gridSpan w:val="2"/>
          </w:tcPr>
          <w:p>
            <w:pPr>
              <w:pStyle w:val="nTable"/>
              <w:spacing w:after="40"/>
              <w:rPr>
                <w:sz w:val="19"/>
              </w:rPr>
            </w:pPr>
            <w:r>
              <w:rPr>
                <w:sz w:val="19"/>
              </w:rPr>
              <w:t>26 Jun 2010 (see s. 2(b))</w:t>
            </w:r>
          </w:p>
        </w:tc>
      </w:tr>
      <w:tr>
        <w:trPr>
          <w:gridBefore w:val="1"/>
          <w:gridAfter w:val="1"/>
          <w:wBefore w:w="14" w:type="dxa"/>
          <w:wAfter w:w="18" w:type="dxa"/>
          <w:cantSplit/>
        </w:trPr>
        <w:tc>
          <w:tcPr>
            <w:tcW w:w="2268" w:type="dxa"/>
            <w:gridSpan w:val="2"/>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06" w:type="dxa"/>
            <w:tcBorders>
              <w:bottom w:val="single" w:sz="4" w:space="0" w:color="auto"/>
            </w:tcBorders>
          </w:tcPr>
          <w:p>
            <w:pPr>
              <w:pStyle w:val="nTable"/>
              <w:spacing w:after="40"/>
              <w:rPr>
                <w:snapToGrid w:val="0"/>
                <w:sz w:val="19"/>
              </w:rPr>
            </w:pPr>
            <w:r>
              <w:rPr>
                <w:snapToGrid w:val="0"/>
                <w:sz w:val="19"/>
              </w:rPr>
              <w:t>19 of 2010</w:t>
            </w:r>
          </w:p>
        </w:tc>
        <w:tc>
          <w:tcPr>
            <w:tcW w:w="1148" w:type="dxa"/>
            <w:gridSpan w:val="2"/>
            <w:tcBorders>
              <w:bottom w:val="single" w:sz="4" w:space="0" w:color="auto"/>
            </w:tcBorders>
          </w:tcPr>
          <w:p>
            <w:pPr>
              <w:pStyle w:val="nTable"/>
              <w:spacing w:after="40"/>
              <w:rPr>
                <w:snapToGrid w:val="0"/>
                <w:sz w:val="19"/>
              </w:rPr>
            </w:pPr>
            <w:r>
              <w:rPr>
                <w:snapToGrid w:val="0"/>
                <w:sz w:val="19"/>
              </w:rPr>
              <w:t>28 Jun 2010</w:t>
            </w:r>
          </w:p>
        </w:tc>
        <w:tc>
          <w:tcPr>
            <w:tcW w:w="2533"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31" w:name="_Toc379194436"/>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 w:name="DefinedTerms"/>
      <w:bookmarkEnd w:id="32"/>
      <w:r>
        <w:t>accountable authority</w:t>
      </w:r>
      <w:r>
        <w:tab/>
        <w:t>4A(1), 4B(1)</w:t>
      </w:r>
    </w:p>
    <w:p>
      <w:pPr>
        <w:pStyle w:val="DefinedTerms"/>
      </w:pPr>
      <w:r>
        <w:t>appointed day</w:t>
      </w:r>
      <w:r>
        <w:tab/>
        <w:t>26A(1), 26B(1), 26C(1)</w:t>
      </w:r>
    </w:p>
    <w:p>
      <w:pPr>
        <w:pStyle w:val="DefinedTerms"/>
      </w:pPr>
      <w:r>
        <w:t>chief executive officer</w:t>
      </w:r>
      <w:r>
        <w:tab/>
        <w:t>4B(1)</w:t>
      </w:r>
    </w:p>
    <w:p>
      <w:pPr>
        <w:pStyle w:val="DefinedTerms"/>
      </w:pPr>
      <w:r>
        <w:t>concern</w:t>
      </w:r>
      <w:r>
        <w:tab/>
        <w:t>26A(1), 26C(1)</w:t>
      </w:r>
    </w:p>
    <w:p>
      <w:pPr>
        <w:pStyle w:val="DefinedTerms"/>
      </w:pPr>
      <w:r>
        <w:t>corporate body</w:t>
      </w:r>
      <w:r>
        <w:tab/>
        <w:t>26A(1) 26C(1)</w:t>
      </w:r>
    </w:p>
    <w:p>
      <w:pPr>
        <w:pStyle w:val="DefinedTerms"/>
      </w:pPr>
      <w:r>
        <w:t>credit card</w:t>
      </w:r>
      <w:r>
        <w:tab/>
        <w:t>5A</w:t>
      </w:r>
    </w:p>
    <w:p>
      <w:pPr>
        <w:pStyle w:val="DefinedTerms"/>
      </w:pPr>
      <w:r>
        <w:t>credit or debit card administration fee</w:t>
      </w:r>
      <w:r>
        <w:tab/>
        <w:t>5A</w:t>
      </w:r>
    </w:p>
    <w:p>
      <w:pPr>
        <w:pStyle w:val="DefinedTerms"/>
      </w:pPr>
      <w:r>
        <w:t>debit card</w:t>
      </w:r>
      <w:r>
        <w:tab/>
        <w:t>5A</w:t>
      </w:r>
    </w:p>
    <w:p>
      <w:pPr>
        <w:pStyle w:val="DefinedTerms"/>
      </w:pPr>
      <w:r>
        <w:t>financial entity</w:t>
      </w:r>
      <w:r>
        <w:tab/>
        <w:t>4A(1)</w:t>
      </w:r>
    </w:p>
    <w:p>
      <w:pPr>
        <w:pStyle w:val="DefinedTerms"/>
      </w:pPr>
      <w:r>
        <w:t>Minister</w:t>
      </w:r>
      <w:r>
        <w:tab/>
        <w:t>4B(1), 26B(1)</w:t>
      </w:r>
    </w:p>
    <w:p>
      <w:pPr>
        <w:pStyle w:val="DefinedTerms"/>
      </w:pPr>
      <w:r>
        <w:t>Minister responsible</w:t>
      </w:r>
      <w:r>
        <w:tab/>
        <w:t>4A(1), 4B(1)</w:t>
      </w:r>
    </w:p>
    <w:p>
      <w:pPr>
        <w:pStyle w:val="DefinedTerms"/>
      </w:pPr>
      <w:r>
        <w:t xml:space="preserve">Reserve </w:t>
      </w:r>
      <w:r>
        <w:tab/>
        <w:t>26A(1)</w:t>
      </w:r>
    </w:p>
    <w:p>
      <w:pPr>
        <w:pStyle w:val="DefinedTerms"/>
      </w:pPr>
      <w:r>
        <w:t>statutory corporation</w:t>
      </w:r>
      <w:r>
        <w:tab/>
        <w:t>4B(1), 5A</w:t>
      </w:r>
    </w:p>
    <w:p>
      <w:pPr>
        <w:pStyle w:val="DefinedTerms"/>
      </w:pPr>
      <w:r>
        <w:t>The Commission</w:t>
      </w:r>
      <w:r>
        <w:tab/>
        <w:t>26C(1)</w:t>
      </w:r>
    </w:p>
    <w:p>
      <w:pPr>
        <w:pStyle w:val="DefinedTerms"/>
      </w:pPr>
      <w:r>
        <w:t>trading concern</w:t>
      </w:r>
      <w:r>
        <w:tab/>
        <w:t>4(3)</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04-d0-03</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fldSimple w:instr=" styleref CharSchText ">
            <w:r>
              <w:rPr>
                <w:noProof/>
              </w:rPr>
              <w:t>Continuing trading concerns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Continuing trading concerns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fldSimple w:instr=" styleref CharSchText ">
            <w:r>
              <w:rPr>
                <w:noProof/>
              </w:rPr>
              <w:t>Continuing trading concerns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E81A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F44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4CB5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7079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E0C8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12B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089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68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541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CE43C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4C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A4E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14"/>
    <w:docVar w:name="WAFER_20140203120659" w:val="RemoveTocBookmarks,RemoveUnusedBookmarks,RemoveLanguageTags,UsedStyles,ResetPageSize,UpdateArrangement"/>
    <w:docVar w:name="WAFER_20140203120659_GUID" w:val="9d8ba08b-4a92-412a-93aa-d3382e48b063"/>
    <w:docVar w:name="WAFER_20140203122935" w:val="RemoveTocBookmarks,RunningHeaders"/>
    <w:docVar w:name="WAFER_20140203122935_GUID" w:val="30c3a724-fe46-4a20-96a5-025d216c9aa5"/>
    <w:docVar w:name="WAFER_20151210154714" w:val="RemoveTrackChanges"/>
    <w:docVar w:name="WAFER_20151210154714_GUID" w:val="a1c4d384-b6bb-4c8e-95e6-76f4b242de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111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6175</Words>
  <Characters>29521</Characters>
  <Application>Microsoft Office Word</Application>
  <DocSecurity>0</DocSecurity>
  <Lines>984</Lines>
  <Paragraphs>524</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35172</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1916 - 04-d0-03</dc:title>
  <dc:subject/>
  <dc:creator/>
  <cp:keywords/>
  <dc:description/>
  <cp:lastModifiedBy>svcMRProcess</cp:lastModifiedBy>
  <cp:revision>4</cp:revision>
  <cp:lastPrinted>2010-03-05T07:15:00Z</cp:lastPrinted>
  <dcterms:created xsi:type="dcterms:W3CDTF">2015-12-14T19:50:00Z</dcterms:created>
  <dcterms:modified xsi:type="dcterms:W3CDTF">2015-12-14T19:50:00Z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778</vt:i4>
  </property>
  <property fmtid="{D5CDD505-2E9C-101B-9397-08002B2CF9AE}" pid="6" name="AsAtDate">
    <vt:lpwstr>11 Sep 2010</vt:lpwstr>
  </property>
  <property fmtid="{D5CDD505-2E9C-101B-9397-08002B2CF9AE}" pid="7" name="Suffix">
    <vt:lpwstr>04-d0-03</vt:lpwstr>
  </property>
  <property fmtid="{D5CDD505-2E9C-101B-9397-08002B2CF9AE}" pid="8" name="ReprintNo">
    <vt:lpwstr>4</vt:lpwstr>
  </property>
</Properties>
</file>