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Royal Agricultural Society Act 1926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Agricultural Society Act 1926</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_Toc92704646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_Toc92704647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Registration of agricultural societies</w:t>
      </w:r>
      <w:r>
        <w:rPr>
          <w:noProof/>
        </w:rPr>
        <w:tab/>
      </w:r>
      <w:r>
        <w:rPr>
          <w:noProof/>
        </w:rPr>
        <w:fldChar w:fldCharType="begin"/>
      </w:r>
      <w:r>
        <w:rPr>
          <w:noProof/>
        </w:rPr>
        <w:instrText xml:space="preserve"> PAGEREF _Toc92704648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Register</w:t>
      </w:r>
      <w:r>
        <w:rPr>
          <w:noProof/>
        </w:rPr>
        <w:tab/>
      </w:r>
      <w:r>
        <w:rPr>
          <w:noProof/>
        </w:rPr>
        <w:fldChar w:fldCharType="begin"/>
      </w:r>
      <w:r>
        <w:rPr>
          <w:noProof/>
        </w:rPr>
        <w:instrText xml:space="preserve"> PAGEREF _Toc92704649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Shows in contravention of this Act may be restrained by injunction</w:t>
      </w:r>
      <w:r>
        <w:rPr>
          <w:noProof/>
        </w:rPr>
        <w:tab/>
      </w:r>
      <w:r>
        <w:rPr>
          <w:noProof/>
        </w:rPr>
        <w:fldChar w:fldCharType="begin"/>
      </w:r>
      <w:r>
        <w:rPr>
          <w:noProof/>
        </w:rPr>
        <w:instrText xml:space="preserve"> PAGEREF _Toc92704650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By</w:t>
      </w:r>
      <w:r>
        <w:rPr>
          <w:noProof/>
          <w:szCs w:val="24"/>
        </w:rPr>
        <w:noBreakHyphen/>
        <w:t>laws of registered societies</w:t>
      </w:r>
      <w:r>
        <w:rPr>
          <w:noProof/>
        </w:rPr>
        <w:tab/>
      </w:r>
      <w:r>
        <w:rPr>
          <w:noProof/>
        </w:rPr>
        <w:fldChar w:fldCharType="begin"/>
      </w:r>
      <w:r>
        <w:rPr>
          <w:noProof/>
        </w:rPr>
        <w:instrText xml:space="preserve"> PAGEREF _Toc92704651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zCs w:val="24"/>
        </w:rPr>
        <w:t>Regulations</w:t>
      </w:r>
      <w:r>
        <w:rPr>
          <w:noProof/>
        </w:rPr>
        <w:tab/>
      </w:r>
      <w:r>
        <w:rPr>
          <w:noProof/>
        </w:rPr>
        <w:fldChar w:fldCharType="begin"/>
      </w:r>
      <w:r>
        <w:rPr>
          <w:noProof/>
        </w:rPr>
        <w:instrText xml:space="preserve"> PAGEREF _Toc92704652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The Schedule</w:t>
      </w:r>
      <w:r>
        <w:rPr>
          <w:noProof/>
        </w:rPr>
        <w:tab/>
      </w:r>
      <w:r>
        <w:rPr>
          <w:b w:val="0"/>
          <w:noProof/>
          <w:sz w:val="22"/>
        </w:rPr>
        <w:fldChar w:fldCharType="begin"/>
      </w:r>
      <w:r>
        <w:rPr>
          <w:b w:val="0"/>
          <w:noProof/>
          <w:sz w:val="22"/>
        </w:rPr>
        <w:instrText xml:space="preserve"> PAGEREF _Toc92704653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_Toc92704655 \h </w:instrText>
      </w:r>
      <w:r>
        <w:rPr>
          <w:noProof/>
        </w:rPr>
      </w:r>
      <w:r>
        <w:rPr>
          <w:noProof/>
        </w:rPr>
        <w:fldChar w:fldCharType="separate"/>
      </w:r>
      <w:r>
        <w:rPr>
          <w:noProof/>
        </w:rPr>
        <w:t>6</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Royal Agricultural Society Act 1926 </w:t>
      </w:r>
    </w:p>
    <w:p>
      <w:pPr>
        <w:pStyle w:val="LongTitle"/>
        <w:spacing w:after="240"/>
        <w:rPr>
          <w:snapToGrid w:val="0"/>
        </w:rPr>
      </w:pPr>
      <w:r>
        <w:rPr>
          <w:snapToGrid w:val="0"/>
        </w:rPr>
        <w:t xml:space="preserve">An Act for the affiliation of Agricultural Societies with the Royal Agricultural Society of Western Australia. </w:t>
      </w:r>
    </w:p>
    <w:p>
      <w:pPr>
        <w:pStyle w:val="Heading5"/>
      </w:pPr>
      <w:bookmarkStart w:id="2" w:name="_Toc411747357"/>
      <w:bookmarkStart w:id="3" w:name="_Toc516990908"/>
      <w:bookmarkStart w:id="4" w:name="_Toc518700447"/>
      <w:bookmarkStart w:id="5" w:name="_Toc518700519"/>
      <w:bookmarkStart w:id="6" w:name="_Toc92704646"/>
      <w:r>
        <w:rPr>
          <w:rStyle w:val="CharSectno"/>
        </w:rPr>
        <w:t>1</w:t>
      </w:r>
      <w:r>
        <w:t>.</w:t>
      </w:r>
      <w:r>
        <w:tab/>
        <w:t>Short title</w:t>
      </w:r>
      <w:bookmarkEnd w:id="2"/>
      <w:bookmarkEnd w:id="3"/>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 w:name="_Toc411747358"/>
      <w:bookmarkStart w:id="8" w:name="_Toc516990909"/>
      <w:bookmarkStart w:id="9" w:name="_Toc518700448"/>
      <w:bookmarkStart w:id="10" w:name="_Toc518700520"/>
      <w:bookmarkStart w:id="11" w:name="_Toc92704647"/>
      <w:r>
        <w:rPr>
          <w:rStyle w:val="CharSectno"/>
        </w:rPr>
        <w:t>2</w:t>
      </w:r>
      <w:r>
        <w:t>.</w:t>
      </w:r>
      <w:r>
        <w:tab/>
        <w:t>Interpretation</w:t>
      </w:r>
      <w:bookmarkEnd w:id="7"/>
      <w:bookmarkEnd w:id="8"/>
      <w:bookmarkEnd w:id="9"/>
      <w:bookmarkEnd w:id="10"/>
      <w:bookmarkEnd w:id="11"/>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12" w:name="endcomma"/>
      <w:bookmarkEnd w:id="12"/>
      <w:r>
        <w:rPr>
          <w:rStyle w:val="CharDefText"/>
        </w:rPr>
        <w:t>The Royal Agricultural Society</w:t>
      </w:r>
      <w:r>
        <w:t xml:space="preserve"> </w:t>
      </w:r>
      <w:bookmarkStart w:id="13" w:name="comma"/>
      <w:bookmarkEnd w:id="13"/>
      <w:r>
        <w:t>means the Royal Agricultural Society of Western Australia Incorporated.</w:t>
      </w:r>
    </w:p>
    <w:p>
      <w:pPr>
        <w:pStyle w:val="Footnotesection"/>
      </w:pPr>
      <w:r>
        <w:tab/>
        <w:t>[Section 2 amended by No. 55 of 2004 s. 1066.]</w:t>
      </w:r>
    </w:p>
    <w:p>
      <w:pPr>
        <w:pStyle w:val="Heading5"/>
      </w:pPr>
      <w:bookmarkStart w:id="14" w:name="_Toc411747359"/>
      <w:bookmarkStart w:id="15" w:name="_Toc516990910"/>
      <w:bookmarkStart w:id="16" w:name="_Toc518700449"/>
      <w:bookmarkStart w:id="17" w:name="_Toc518700521"/>
      <w:bookmarkStart w:id="18" w:name="_Toc92704648"/>
      <w:r>
        <w:rPr>
          <w:rStyle w:val="CharSectno"/>
        </w:rPr>
        <w:t>3</w:t>
      </w:r>
      <w:r>
        <w:t>.</w:t>
      </w:r>
      <w:r>
        <w:tab/>
        <w:t>Registration of agricultural societies</w:t>
      </w:r>
      <w:bookmarkEnd w:id="14"/>
      <w:bookmarkEnd w:id="15"/>
      <w:bookmarkEnd w:id="16"/>
      <w:bookmarkEnd w:id="17"/>
      <w:bookmarkEnd w:id="18"/>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r>
      <w:r>
        <w:rPr>
          <w:snapToGrid w:val="0"/>
        </w:rPr>
        <w:tab/>
        <w:t>Provided that registration shall not be refused if the application is made by or on behalf of a society, club, association, or body of persons established for agricultural show purposes before the commencement of this Act </w:t>
      </w:r>
      <w:r>
        <w:rPr>
          <w:snapToGrid w:val="0"/>
          <w:vertAlign w:val="superscript"/>
        </w:rPr>
        <w:t>1</w:t>
      </w:r>
      <w:r>
        <w:rPr>
          <w:snapToGrid w:val="0"/>
        </w:rPr>
        <w:t>:</w:t>
      </w:r>
    </w:p>
    <w:p>
      <w:pPr>
        <w:pStyle w:val="Subsection"/>
        <w:rPr>
          <w:snapToGrid w:val="0"/>
        </w:rPr>
      </w:pPr>
      <w:r>
        <w:rPr>
          <w:snapToGrid w:val="0"/>
        </w:rPr>
        <w:tab/>
      </w:r>
      <w:r>
        <w:rPr>
          <w:snapToGrid w:val="0"/>
        </w:rPr>
        <w:tab/>
        <w:t>Provided also that, 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 by No. 55 of 2004 s. 1067.]</w:t>
      </w:r>
    </w:p>
    <w:p>
      <w:pPr>
        <w:pStyle w:val="Heading5"/>
      </w:pPr>
      <w:bookmarkStart w:id="19" w:name="_Toc411747360"/>
      <w:bookmarkStart w:id="20" w:name="_Toc516990911"/>
      <w:bookmarkStart w:id="21" w:name="_Toc518700450"/>
      <w:bookmarkStart w:id="22" w:name="_Toc518700522"/>
      <w:bookmarkStart w:id="23" w:name="_Toc92704649"/>
      <w:r>
        <w:rPr>
          <w:rStyle w:val="CharSectno"/>
        </w:rPr>
        <w:t>4</w:t>
      </w:r>
      <w:r>
        <w:t>.</w:t>
      </w:r>
      <w:r>
        <w:tab/>
        <w:t>Register</w:t>
      </w:r>
      <w:bookmarkEnd w:id="19"/>
      <w:bookmarkEnd w:id="20"/>
      <w:bookmarkEnd w:id="21"/>
      <w:bookmarkEnd w:id="22"/>
      <w:bookmarkEnd w:id="23"/>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24" w:name="_Toc411747361"/>
      <w:bookmarkStart w:id="25" w:name="_Toc516990912"/>
      <w:bookmarkStart w:id="26" w:name="_Toc518700451"/>
      <w:bookmarkStart w:id="27" w:name="_Toc518700523"/>
      <w:bookmarkStart w:id="28" w:name="_Toc92704650"/>
      <w:r>
        <w:rPr>
          <w:rStyle w:val="CharSectno"/>
        </w:rPr>
        <w:t>5</w:t>
      </w:r>
      <w:r>
        <w:t>.</w:t>
      </w:r>
      <w:r>
        <w:tab/>
        <w:t>Shows in contravention of this Act may be restrained by injunction</w:t>
      </w:r>
      <w:bookmarkEnd w:id="24"/>
      <w:bookmarkEnd w:id="25"/>
      <w:bookmarkEnd w:id="26"/>
      <w:bookmarkEnd w:id="27"/>
      <w:bookmarkEnd w:id="28"/>
      <w:r>
        <w:t xml:space="preserve"> </w:t>
      </w:r>
    </w:p>
    <w:p>
      <w:pPr>
        <w:pStyle w:val="Subsection"/>
        <w:spacing w:before="12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pPr>
      <w:bookmarkStart w:id="29" w:name="_Toc411747362"/>
      <w:bookmarkStart w:id="30" w:name="_Toc516990913"/>
      <w:bookmarkStart w:id="31" w:name="_Toc518700452"/>
      <w:bookmarkStart w:id="32" w:name="_Toc518700524"/>
      <w:bookmarkStart w:id="33" w:name="_Toc92704651"/>
      <w:r>
        <w:rPr>
          <w:rStyle w:val="CharSectno"/>
        </w:rPr>
        <w:t>6</w:t>
      </w:r>
      <w:r>
        <w:t>.</w:t>
      </w:r>
      <w:r>
        <w:tab/>
        <w:t>By</w:t>
      </w:r>
      <w:r>
        <w:noBreakHyphen/>
        <w:t>laws of registered societies</w:t>
      </w:r>
      <w:bookmarkEnd w:id="29"/>
      <w:bookmarkEnd w:id="30"/>
      <w:bookmarkEnd w:id="31"/>
      <w:bookmarkEnd w:id="32"/>
      <w:bookmarkEnd w:id="33"/>
      <w:r>
        <w:t xml:space="preserve"> </w:t>
      </w:r>
    </w:p>
    <w:p>
      <w:pPr>
        <w:pStyle w:val="Subsection"/>
        <w:spacing w:before="12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20"/>
        <w:rPr>
          <w:snapToGrid w:val="0"/>
        </w:rPr>
      </w:pPr>
      <w:r>
        <w:rPr>
          <w:snapToGrid w:val="0"/>
        </w:rPr>
        <w:tab/>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20"/>
        <w:rPr>
          <w:snapToGrid w:val="0"/>
        </w:rPr>
      </w:pPr>
      <w:r>
        <w:rPr>
          <w:snapToGrid w:val="0"/>
        </w:rPr>
        <w:tab/>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20"/>
        <w:rPr>
          <w:snapToGrid w:val="0"/>
          <w:spacing w:val="-4"/>
        </w:rPr>
      </w:pPr>
      <w:r>
        <w:rPr>
          <w:snapToGrid w:val="0"/>
          <w:spacing w:val="-4"/>
        </w:rPr>
        <w:tab/>
        <w:t>(2)</w:t>
      </w:r>
      <w:r>
        <w:rPr>
          <w:snapToGrid w:val="0"/>
          <w:spacing w:val="-4"/>
        </w:rPr>
        <w:tab/>
        <w:t>Uniform by</w:t>
      </w:r>
      <w:r>
        <w:rPr>
          <w:snapToGrid w:val="0"/>
          <w:spacing w:val="-4"/>
        </w:rPr>
        <w:noBreakHyphen/>
        <w:t xml:space="preserve">laws shall be subject to the approval of the Governor, and section 36 of the </w:t>
      </w:r>
      <w:r>
        <w:rPr>
          <w:i/>
          <w:snapToGrid w:val="0"/>
          <w:spacing w:val="-4"/>
        </w:rPr>
        <w:t>Interpretation Act 1918</w:t>
      </w:r>
      <w:r>
        <w:rPr>
          <w:snapToGrid w:val="0"/>
          <w:spacing w:val="-4"/>
        </w:rPr>
        <w:t xml:space="preserve"> </w:t>
      </w:r>
      <w:r>
        <w:rPr>
          <w:snapToGrid w:val="0"/>
          <w:spacing w:val="-4"/>
          <w:vertAlign w:val="superscript"/>
        </w:rPr>
        <w:t>3</w:t>
      </w:r>
      <w:r>
        <w:rPr>
          <w:snapToGrid w:val="0"/>
          <w:spacing w:val="-4"/>
        </w:rPr>
        <w:t>, shall apply.</w:t>
      </w:r>
    </w:p>
    <w:p>
      <w:pPr>
        <w:pStyle w:val="Subsection"/>
        <w:spacing w:before="12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36 of the </w:t>
      </w:r>
      <w:r>
        <w:rPr>
          <w:i/>
          <w:snapToGrid w:val="0"/>
        </w:rPr>
        <w:t>Interpretation Act 1918</w:t>
      </w:r>
      <w:r>
        <w:rPr>
          <w:snapToGrid w:val="0"/>
        </w:rPr>
        <w:t xml:space="preserve"> </w:t>
      </w:r>
      <w:r>
        <w:rPr>
          <w:snapToGrid w:val="0"/>
          <w:vertAlign w:val="superscript"/>
        </w:rPr>
        <w:t>3</w:t>
      </w:r>
      <w:r>
        <w:rPr>
          <w:snapToGrid w:val="0"/>
        </w:rPr>
        <w:t>, shall not apply to by</w:t>
      </w:r>
      <w:r>
        <w:rPr>
          <w:snapToGrid w:val="0"/>
        </w:rPr>
        <w:noBreakHyphen/>
        <w:t>laws made by registered agricultural societies under this subsection.</w:t>
      </w:r>
    </w:p>
    <w:p>
      <w:pPr>
        <w:pStyle w:val="Footnotesection"/>
        <w:keepLines w:val="0"/>
        <w:spacing w:before="80"/>
        <w:ind w:left="890" w:hanging="890"/>
      </w:pPr>
      <w:r>
        <w:tab/>
        <w:t xml:space="preserve">[Section 6 amended by No. 23 of 1940 s. 2.] </w:t>
      </w:r>
    </w:p>
    <w:p>
      <w:pPr>
        <w:pStyle w:val="Heading5"/>
      </w:pPr>
      <w:bookmarkStart w:id="34" w:name="_Toc411747363"/>
      <w:bookmarkStart w:id="35" w:name="_Toc516990914"/>
      <w:bookmarkStart w:id="36" w:name="_Toc518700453"/>
      <w:bookmarkStart w:id="37" w:name="_Toc518700525"/>
      <w:bookmarkStart w:id="38" w:name="_Toc92704652"/>
      <w:r>
        <w:rPr>
          <w:rStyle w:val="CharSectno"/>
        </w:rPr>
        <w:t>7</w:t>
      </w:r>
      <w:r>
        <w:t>.</w:t>
      </w:r>
      <w:r>
        <w:tab/>
        <w:t>Regulations</w:t>
      </w:r>
      <w:bookmarkEnd w:id="34"/>
      <w:bookmarkEnd w:id="35"/>
      <w:bookmarkEnd w:id="36"/>
      <w:bookmarkEnd w:id="37"/>
      <w:bookmarkEnd w:id="38"/>
      <w:r>
        <w:t xml:space="preserve"> </w:t>
      </w:r>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516990915"/>
      <w:bookmarkStart w:id="40" w:name="_Toc518700526"/>
      <w:bookmarkStart w:id="41" w:name="_Toc92704653"/>
      <w:r>
        <w:rPr>
          <w:rStyle w:val="CharSchNo"/>
        </w:rPr>
        <w:t>The Schedule</w:t>
      </w:r>
      <w:bookmarkEnd w:id="39"/>
      <w:bookmarkEnd w:id="40"/>
      <w:bookmarkEnd w:id="41"/>
      <w:r>
        <w:rPr>
          <w:rStyle w:val="CharSchText"/>
        </w:rPr>
        <w:t xml:space="preserve"> </w:t>
      </w:r>
    </w:p>
    <w:p>
      <w:pPr>
        <w:pStyle w:val="MiscellaneousHeading"/>
        <w:rPr>
          <w:i/>
          <w:snapToGrid w:val="0"/>
          <w:sz w:val="22"/>
        </w:rPr>
      </w:pPr>
      <w:r>
        <w:rPr>
          <w:i/>
          <w:snapToGrid w:val="0"/>
          <w:sz w:val="22"/>
        </w:rPr>
        <w:t>THE ROYAL AGRICULTURAL SOCIETY ACT 1926</w:t>
      </w:r>
    </w:p>
    <w:p>
      <w:pPr>
        <w:pStyle w:val="MiscellaneousHeading"/>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2" w:name="_Toc92704654"/>
      <w:r>
        <w:t>Notes</w:t>
      </w:r>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1926</w:t>
      </w:r>
      <w:r>
        <w:rPr>
          <w:snapToGrid w:val="0"/>
        </w:rPr>
        <w:t xml:space="preserve"> and includes the amendments made by the other written laws referred to in the following table.  The table also contains information about any previous reprint.</w:t>
      </w:r>
    </w:p>
    <w:p>
      <w:pPr>
        <w:pStyle w:val="nHeading3"/>
      </w:pPr>
      <w:bookmarkStart w:id="43" w:name="_Toc92704655"/>
      <w: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Royal Agricultural Society Act 1926</w:t>
            </w:r>
          </w:p>
        </w:tc>
        <w:tc>
          <w:tcPr>
            <w:tcW w:w="1134" w:type="dxa"/>
          </w:tcPr>
          <w:p>
            <w:pPr>
              <w:pStyle w:val="nTable"/>
              <w:spacing w:before="120"/>
              <w:rPr>
                <w:sz w:val="19"/>
              </w:rPr>
            </w:pPr>
            <w:r>
              <w:rPr>
                <w:sz w:val="19"/>
              </w:rPr>
              <w:t>41 of 1926</w:t>
            </w:r>
          </w:p>
        </w:tc>
        <w:tc>
          <w:tcPr>
            <w:tcW w:w="1134" w:type="dxa"/>
          </w:tcPr>
          <w:p>
            <w:pPr>
              <w:pStyle w:val="nTable"/>
              <w:spacing w:before="120"/>
              <w:rPr>
                <w:sz w:val="19"/>
              </w:rPr>
            </w:pPr>
            <w:r>
              <w:rPr>
                <w:sz w:val="19"/>
              </w:rPr>
              <w:t>16 Dec 1926</w:t>
            </w:r>
          </w:p>
        </w:tc>
        <w:tc>
          <w:tcPr>
            <w:tcW w:w="2552" w:type="dxa"/>
          </w:tcPr>
          <w:p>
            <w:pPr>
              <w:pStyle w:val="nTable"/>
              <w:spacing w:before="120"/>
              <w:rPr>
                <w:sz w:val="19"/>
              </w:rPr>
            </w:pPr>
            <w:r>
              <w:rPr>
                <w:sz w:val="19"/>
              </w:rPr>
              <w:t xml:space="preserve">1 Mar 1927 (see s. 1 and </w:t>
            </w:r>
            <w:r>
              <w:rPr>
                <w:i/>
                <w:sz w:val="19"/>
              </w:rPr>
              <w:t>Gazette</w:t>
            </w:r>
            <w:r>
              <w:rPr>
                <w:sz w:val="19"/>
              </w:rPr>
              <w:t xml:space="preserve"> 18 Feb 1927 p. 358)</w:t>
            </w:r>
          </w:p>
        </w:tc>
      </w:tr>
      <w:tr>
        <w:trPr>
          <w:cantSplit/>
        </w:trPr>
        <w:tc>
          <w:tcPr>
            <w:tcW w:w="2268" w:type="dxa"/>
          </w:tcPr>
          <w:p>
            <w:pPr>
              <w:pStyle w:val="nTable"/>
              <w:spacing w:before="120" w:after="60"/>
              <w:ind w:right="113"/>
              <w:rPr>
                <w:sz w:val="19"/>
              </w:rPr>
            </w:pPr>
            <w:r>
              <w:rPr>
                <w:i/>
                <w:sz w:val="19"/>
              </w:rPr>
              <w:t>Royal Agricultural Society Act Amendment Act 1940</w:t>
            </w:r>
          </w:p>
        </w:tc>
        <w:tc>
          <w:tcPr>
            <w:tcW w:w="1134" w:type="dxa"/>
          </w:tcPr>
          <w:p>
            <w:pPr>
              <w:pStyle w:val="nTable"/>
              <w:spacing w:before="120" w:after="60"/>
              <w:rPr>
                <w:sz w:val="19"/>
              </w:rPr>
            </w:pPr>
            <w:r>
              <w:rPr>
                <w:sz w:val="19"/>
              </w:rPr>
              <w:t>23 of 1940</w:t>
            </w:r>
          </w:p>
        </w:tc>
        <w:tc>
          <w:tcPr>
            <w:tcW w:w="1134" w:type="dxa"/>
          </w:tcPr>
          <w:p>
            <w:pPr>
              <w:pStyle w:val="nTable"/>
              <w:spacing w:before="120" w:after="60"/>
              <w:rPr>
                <w:sz w:val="19"/>
              </w:rPr>
            </w:pPr>
            <w:r>
              <w:rPr>
                <w:sz w:val="19"/>
              </w:rPr>
              <w:t>29 Nov 1940</w:t>
            </w:r>
          </w:p>
        </w:tc>
        <w:tc>
          <w:tcPr>
            <w:tcW w:w="2552" w:type="dxa"/>
          </w:tcPr>
          <w:p>
            <w:pPr>
              <w:pStyle w:val="nTable"/>
              <w:spacing w:before="120" w:after="60"/>
              <w:rPr>
                <w:sz w:val="19"/>
              </w:rPr>
            </w:pPr>
            <w:r>
              <w:rPr>
                <w:sz w:val="19"/>
              </w:rPr>
              <w:t>29 Nov 1940</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trPr>
          <w:cantSplit/>
        </w:trPr>
        <w:tc>
          <w:tcPr>
            <w:tcW w:w="7088" w:type="dxa"/>
            <w:gridSpan w:val="4"/>
          </w:tcPr>
          <w:p>
            <w:pPr>
              <w:pStyle w:val="nTable"/>
              <w:spacing w:before="120" w:after="6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trPr>
          <w:cantSplit/>
        </w:trPr>
        <w:tc>
          <w:tcPr>
            <w:tcW w:w="2268" w:type="dxa"/>
            <w:tcBorders>
              <w:bottom w:val="single" w:sz="4" w:space="0" w:color="auto"/>
            </w:tcBorders>
          </w:tcPr>
          <w:p>
            <w:pPr>
              <w:pStyle w:val="nTable"/>
              <w:spacing w:before="120" w:after="6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4</w:t>
            </w:r>
          </w:p>
        </w:tc>
        <w:tc>
          <w:tcPr>
            <w:tcW w:w="1134" w:type="dxa"/>
            <w:tcBorders>
              <w:bottom w:val="single" w:sz="4" w:space="0" w:color="auto"/>
            </w:tcBorders>
          </w:tcPr>
          <w:p>
            <w:pPr>
              <w:pStyle w:val="nTable"/>
              <w:spacing w:before="120" w:after="60"/>
              <w:rPr>
                <w:sz w:val="19"/>
              </w:rPr>
            </w:pPr>
            <w:r>
              <w:rPr>
                <w:sz w:val="19"/>
              </w:rPr>
              <w:t>55 of 2004</w:t>
            </w:r>
          </w:p>
        </w:tc>
        <w:tc>
          <w:tcPr>
            <w:tcW w:w="1134" w:type="dxa"/>
            <w:tcBorders>
              <w:bottom w:val="single" w:sz="4" w:space="0" w:color="auto"/>
            </w:tcBorders>
          </w:tcPr>
          <w:p>
            <w:pPr>
              <w:pStyle w:val="nTable"/>
              <w:spacing w:before="120" w:after="60"/>
              <w:rPr>
                <w:sz w:val="19"/>
              </w:rPr>
            </w:pPr>
            <w:r>
              <w:rPr>
                <w:sz w:val="19"/>
              </w:rPr>
              <w:t>24 Nov 2004</w:t>
            </w:r>
          </w:p>
        </w:tc>
        <w:tc>
          <w:tcPr>
            <w:tcW w:w="2552" w:type="dxa"/>
            <w:tcBorders>
              <w:bottom w:val="single" w:sz="4" w:space="0" w:color="auto"/>
            </w:tcBorders>
          </w:tcPr>
          <w:p>
            <w:pPr>
              <w:pStyle w:val="nTable"/>
              <w:spacing w:before="120" w:after="60"/>
              <w:rPr>
                <w:sz w:val="19"/>
              </w:rPr>
            </w:pPr>
            <w:r>
              <w:rPr>
                <w:sz w:val="19"/>
              </w:rPr>
              <w:t xml:space="preserve">1 Jan 2005 (see s. 2 and </w:t>
            </w:r>
            <w:r>
              <w:rPr>
                <w:i/>
                <w:iCs/>
                <w:sz w:val="19"/>
              </w:rPr>
              <w:t>Gazette</w:t>
            </w:r>
            <w:r>
              <w:rPr>
                <w:sz w:val="19"/>
              </w:rPr>
              <w:t xml:space="preserve"> 31 Dec 2004 p. 7130)</w:t>
            </w:r>
          </w:p>
        </w:tc>
      </w:tr>
    </w:tbl>
    <w:p>
      <w:pPr>
        <w:pStyle w:val="nSubsection"/>
      </w:pPr>
      <w:r>
        <w:rPr>
          <w:snapToGrid w:val="0"/>
          <w:vertAlign w:val="superscript"/>
        </w:rPr>
        <w:t>2</w:t>
      </w:r>
      <w:r>
        <w:rPr>
          <w:snapToGrid w:val="0"/>
        </w:rPr>
        <w:tab/>
      </w:r>
      <w:r>
        <w:t>Now known as Minister for Primary Industries.</w:t>
      </w:r>
    </w:p>
    <w:p>
      <w:pPr>
        <w:pStyle w:val="nSubsection"/>
      </w:pPr>
      <w:r>
        <w:rPr>
          <w:vertAlign w:val="superscript"/>
        </w:rPr>
        <w:t>3</w:t>
      </w:r>
      <w:r>
        <w:tab/>
        <w:t xml:space="preserve">Repealed by </w:t>
      </w:r>
      <w:r>
        <w:rPr>
          <w:snapToGrid w:val="0"/>
        </w:rPr>
        <w:t xml:space="preserve">the </w:t>
      </w:r>
      <w:r>
        <w:rPr>
          <w:i/>
          <w:snapToGrid w:val="0"/>
        </w:rPr>
        <w:t>Interpretation Act 1984.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AC06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B66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158D0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66E0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D983B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6A0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4659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54AA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543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58DB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AEF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29A14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56"/>
    <w:docVar w:name="WAFER_20151209141656" w:val="RemoveTrackChanges"/>
    <w:docVar w:name="WAFER_20151209141656_GUID" w:val="e1d0b5f3-d22e-4cf5-a7f5-fa47dc96c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1218</Words>
  <Characters>6324</Characters>
  <Application>Microsoft Office Word</Application>
  <DocSecurity>0</DocSecurity>
  <Lines>186</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1926 - 02-b0-06</dc:title>
  <dc:subject/>
  <dc:creator/>
  <cp:keywords/>
  <dc:description/>
  <cp:lastModifiedBy>svcMRProcess</cp:lastModifiedBy>
  <cp:revision>4</cp:revision>
  <cp:lastPrinted>2001-08-29T01:35:00Z</cp:lastPrinted>
  <dcterms:created xsi:type="dcterms:W3CDTF">2015-12-10T22:43:00Z</dcterms:created>
  <dcterms:modified xsi:type="dcterms:W3CDTF">2015-12-10T22:43:00Z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715</vt:i4>
  </property>
  <property fmtid="{D5CDD505-2E9C-101B-9397-08002B2CF9AE}" pid="6" name="AsAtDate">
    <vt:lpwstr>01 Jan 2005</vt:lpwstr>
  </property>
  <property fmtid="{D5CDD505-2E9C-101B-9397-08002B2CF9AE}" pid="7" name="Suffix">
    <vt:lpwstr>02-b0-06</vt:lpwstr>
  </property>
</Properties>
</file>