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Trading Concerns (Authorisation)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_Toc273622016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Prescribed financial entities (section 4A(2)(a))</w:t>
      </w:r>
      <w:r>
        <w:tab/>
      </w:r>
      <w:r>
        <w:fldChar w:fldCharType="begin"/>
      </w:r>
      <w:r>
        <w:instrText xml:space="preserve"> PAGEREF _Toc273622017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Prescribed activities by financial entities (section 4A(2)(b))</w:t>
      </w:r>
      <w:r>
        <w:tab/>
      </w:r>
      <w:r>
        <w:fldChar w:fldCharType="begin"/>
      </w:r>
      <w:r>
        <w:instrText xml:space="preserve"> PAGEREF _Toc273622018 \h </w:instrText>
      </w:r>
      <w:r>
        <w:fldChar w:fldCharType="separate"/>
      </w:r>
      <w:r>
        <w:t>1</w:t>
      </w:r>
      <w:r>
        <w:fldChar w:fldCharType="end"/>
      </w:r>
    </w:p>
    <w:p>
      <w:pPr>
        <w:pStyle w:val="TOC8"/>
        <w:rPr>
          <w:sz w:val="24"/>
          <w:szCs w:val="24"/>
        </w:rPr>
      </w:pPr>
      <w:r>
        <w:rPr>
          <w:szCs w:val="24"/>
        </w:rPr>
        <w:t>4.</w:t>
      </w:r>
      <w:r>
        <w:rPr>
          <w:szCs w:val="24"/>
        </w:rPr>
        <w:tab/>
        <w:t>Prescribed statutory corporations (section 4B(2))</w:t>
      </w:r>
      <w:r>
        <w:tab/>
      </w:r>
      <w:r>
        <w:fldChar w:fldCharType="begin"/>
      </w:r>
      <w:r>
        <w:instrText xml:space="preserve"> PAGEREF _Toc273622019 \h </w:instrText>
      </w:r>
      <w:r>
        <w:fldChar w:fldCharType="separate"/>
      </w:r>
      <w:r>
        <w:t>1</w:t>
      </w:r>
      <w:r>
        <w:fldChar w:fldCharType="end"/>
      </w:r>
    </w:p>
    <w:p>
      <w:pPr>
        <w:pStyle w:val="TOC8"/>
        <w:rPr>
          <w:sz w:val="24"/>
          <w:szCs w:val="24"/>
        </w:rPr>
      </w:pPr>
      <w:r>
        <w:rPr>
          <w:szCs w:val="24"/>
        </w:rPr>
        <w:t>5.</w:t>
      </w:r>
      <w:r>
        <w:rPr>
          <w:szCs w:val="24"/>
        </w:rPr>
        <w:tab/>
        <w:t>Prescribed activities by statutory corporations (section 4B(2))</w:t>
      </w:r>
      <w:r>
        <w:tab/>
      </w:r>
      <w:r>
        <w:fldChar w:fldCharType="begin"/>
      </w:r>
      <w:r>
        <w:instrText xml:space="preserve"> PAGEREF _Toc273622020 \h </w:instrText>
      </w:r>
      <w:r>
        <w:fldChar w:fldCharType="separate"/>
      </w:r>
      <w:r>
        <w:t>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4"/>
          <w:szCs w:val="28"/>
        </w:rPr>
        <w:t>Part 1 — Prescribed financial entities (regulation 2)</w:t>
      </w:r>
    </w:p>
    <w:p>
      <w:pPr>
        <w:pStyle w:val="TOC2"/>
        <w:tabs>
          <w:tab w:val="right" w:leader="dot" w:pos="7086"/>
        </w:tabs>
        <w:rPr>
          <w:b w:val="0"/>
          <w:sz w:val="24"/>
          <w:szCs w:val="24"/>
        </w:rPr>
      </w:pPr>
      <w:r>
        <w:rPr>
          <w:sz w:val="24"/>
          <w:szCs w:val="28"/>
        </w:rPr>
        <w:t>Part 2 — Prescribed activities (regulation 3)</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 w:val="24"/>
          <w:szCs w:val="28"/>
        </w:rPr>
        <w:t>Part 1</w:t>
      </w:r>
      <w:r>
        <w:rPr>
          <w:szCs w:val="28"/>
        </w:rPr>
        <w:t xml:space="preserve"> — </w:t>
      </w:r>
      <w:r>
        <w:rPr>
          <w:sz w:val="24"/>
          <w:szCs w:val="28"/>
        </w:rPr>
        <w:t>Prescribed statutory corporations (regulation 4)</w:t>
      </w:r>
    </w:p>
    <w:p>
      <w:pPr>
        <w:pStyle w:val="TOC2"/>
        <w:tabs>
          <w:tab w:val="right" w:leader="dot" w:pos="7086"/>
        </w:tabs>
        <w:rPr>
          <w:b w:val="0"/>
          <w:sz w:val="24"/>
          <w:szCs w:val="24"/>
        </w:rPr>
      </w:pPr>
      <w:r>
        <w:rPr>
          <w:sz w:val="24"/>
          <w:szCs w:val="28"/>
        </w:rPr>
        <w:t>Part 2</w:t>
      </w:r>
      <w:r>
        <w:rPr>
          <w:szCs w:val="28"/>
        </w:rPr>
        <w:t xml:space="preserve"> — </w:t>
      </w:r>
      <w:r>
        <w:rPr>
          <w:sz w:val="24"/>
          <w:szCs w:val="28"/>
        </w:rPr>
        <w:t>Prescribed activities (regulation 5)</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_Toc273622028 \h </w:instrText>
      </w:r>
      <w:r>
        <w:fldChar w:fldCharType="separate"/>
      </w:r>
      <w:r>
        <w:t>14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482153362"/>
      <w:bookmarkStart w:id="2" w:name="_Toc490884512"/>
      <w:bookmarkStart w:id="3" w:name="_Toc36529206"/>
      <w:bookmarkStart w:id="4" w:name="_Toc151273234"/>
      <w:bookmarkStart w:id="5" w:name="_Toc273622016"/>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482153363"/>
      <w:bookmarkStart w:id="7" w:name="_Toc490884513"/>
      <w:bookmarkStart w:id="8" w:name="_Toc36529207"/>
      <w:bookmarkStart w:id="9" w:name="_Toc151273235"/>
      <w:bookmarkStart w:id="10" w:name="_Toc273622017"/>
      <w:r>
        <w:rPr>
          <w:rStyle w:val="CharSectno"/>
        </w:rPr>
        <w:t>2</w:t>
      </w:r>
      <w:r>
        <w:rPr>
          <w:snapToGrid w:val="0"/>
        </w:rPr>
        <w:t>.</w:t>
      </w:r>
      <w:r>
        <w:rPr>
          <w:snapToGrid w:val="0"/>
        </w:rPr>
        <w:tab/>
        <w:t>Prescribed financial entities (section 4A(2)(a))</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1" w:name="_Toc482153364"/>
      <w:bookmarkStart w:id="12" w:name="_Toc490884514"/>
      <w:bookmarkStart w:id="13" w:name="_Toc36529208"/>
      <w:bookmarkStart w:id="14" w:name="_Toc151273236"/>
      <w:bookmarkStart w:id="15" w:name="_Toc273622018"/>
      <w:r>
        <w:rPr>
          <w:rStyle w:val="CharSectno"/>
        </w:rPr>
        <w:t>3</w:t>
      </w:r>
      <w:r>
        <w:rPr>
          <w:snapToGrid w:val="0"/>
        </w:rPr>
        <w:t>.</w:t>
      </w:r>
      <w:r>
        <w:rPr>
          <w:snapToGrid w:val="0"/>
        </w:rPr>
        <w:tab/>
        <w:t>Prescribed activities by financial entities (section 4A(2)(b))</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6" w:name="_Toc482153365"/>
      <w:bookmarkStart w:id="17" w:name="_Toc490884515"/>
      <w:bookmarkStart w:id="18" w:name="_Toc36529209"/>
      <w:bookmarkStart w:id="19" w:name="_Toc151273237"/>
      <w:bookmarkStart w:id="20" w:name="_Toc273622019"/>
      <w:r>
        <w:rPr>
          <w:rStyle w:val="CharSectno"/>
        </w:rPr>
        <w:t>4</w:t>
      </w:r>
      <w:r>
        <w:t>.</w:t>
      </w:r>
      <w:r>
        <w:tab/>
        <w:t>Prescribed statutory corporations (section 4B(2))</w:t>
      </w:r>
      <w:bookmarkEnd w:id="16"/>
      <w:bookmarkEnd w:id="17"/>
      <w:bookmarkEnd w:id="18"/>
      <w:bookmarkEnd w:id="19"/>
      <w:bookmarkEnd w:id="20"/>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1" w:name="_Toc482153366"/>
      <w:bookmarkStart w:id="22" w:name="_Toc490884516"/>
      <w:bookmarkStart w:id="23" w:name="_Toc36529210"/>
      <w:bookmarkStart w:id="24" w:name="_Toc151273238"/>
      <w:bookmarkStart w:id="25" w:name="_Toc273622020"/>
      <w:r>
        <w:rPr>
          <w:rStyle w:val="CharSectno"/>
        </w:rPr>
        <w:t>5</w:t>
      </w:r>
      <w:r>
        <w:t>.</w:t>
      </w:r>
      <w:r>
        <w:tab/>
        <w:t>Prescribed activities by statutory corporations (section 4B(2))</w:t>
      </w:r>
      <w:bookmarkEnd w:id="21"/>
      <w:bookmarkEnd w:id="22"/>
      <w:bookmarkEnd w:id="23"/>
      <w:bookmarkEnd w:id="24"/>
      <w:bookmarkEnd w:id="25"/>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6" w:name="_Toc148755068"/>
      <w:bookmarkStart w:id="27" w:name="_Toc148755149"/>
      <w:bookmarkStart w:id="28" w:name="_Toc148755206"/>
      <w:bookmarkStart w:id="29" w:name="_Toc148756372"/>
      <w:bookmarkStart w:id="30" w:name="_Toc151261971"/>
    </w:p>
    <w:p>
      <w:pPr>
        <w:pStyle w:val="yScheduleHeading"/>
      </w:pPr>
      <w:bookmarkStart w:id="31" w:name="_Toc151273239"/>
      <w:bookmarkStart w:id="32" w:name="_Toc155002619"/>
      <w:bookmarkStart w:id="33" w:name="_Toc155078577"/>
      <w:bookmarkStart w:id="34" w:name="_Toc172090108"/>
      <w:bookmarkStart w:id="35" w:name="_Toc199299380"/>
      <w:bookmarkStart w:id="36" w:name="_Toc254860845"/>
      <w:bookmarkStart w:id="37" w:name="_Toc254941773"/>
      <w:bookmarkStart w:id="38" w:name="_Toc268515564"/>
      <w:bookmarkStart w:id="39" w:name="_Toc268515907"/>
      <w:bookmarkStart w:id="40" w:name="_Toc273622021"/>
      <w:r>
        <w:rPr>
          <w:rStyle w:val="CharSchNo"/>
        </w:rPr>
        <w:t>Schedule 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SchText"/>
        </w:rPr>
        <w:t xml:space="preserve"> </w:t>
      </w:r>
    </w:p>
    <w:p>
      <w:pPr>
        <w:pStyle w:val="yFootnoteheading"/>
        <w:tabs>
          <w:tab w:val="left" w:pos="600"/>
        </w:tabs>
      </w:pPr>
      <w:r>
        <w:tab/>
        <w:t>[Heading inserted in Gazette 31 Aug 1999 p. 4241.]</w:t>
      </w:r>
    </w:p>
    <w:p>
      <w:pPr>
        <w:pStyle w:val="yHeading2"/>
        <w:jc w:val="left"/>
        <w:outlineLvl w:val="9"/>
        <w:rPr>
          <w:sz w:val="24"/>
        </w:rPr>
      </w:pPr>
      <w:bookmarkStart w:id="41" w:name="_Toc148755069"/>
      <w:bookmarkStart w:id="42" w:name="_Toc148755150"/>
      <w:bookmarkStart w:id="43" w:name="_Toc148755207"/>
      <w:bookmarkStart w:id="44" w:name="_Toc148756373"/>
      <w:bookmarkStart w:id="45" w:name="_Toc151261972"/>
      <w:bookmarkStart w:id="46" w:name="_Toc151273240"/>
      <w:bookmarkStart w:id="47" w:name="_Toc155002620"/>
      <w:bookmarkStart w:id="48" w:name="_Toc155078578"/>
      <w:bookmarkStart w:id="49" w:name="_Toc172090109"/>
      <w:bookmarkStart w:id="50" w:name="_Toc199299381"/>
      <w:bookmarkStart w:id="51" w:name="_Toc254860846"/>
      <w:bookmarkStart w:id="52" w:name="_Toc254941774"/>
      <w:bookmarkStart w:id="53" w:name="_Toc268515565"/>
      <w:bookmarkStart w:id="54" w:name="_Toc268515908"/>
      <w:bookmarkStart w:id="55" w:name="_Toc273622022"/>
      <w:r>
        <w:rPr>
          <w:rStyle w:val="CharSDivNo"/>
        </w:rPr>
        <w:t>Part 1</w:t>
      </w:r>
      <w:r>
        <w:rPr>
          <w:sz w:val="24"/>
        </w:rPr>
        <w:t xml:space="preserve"> — </w:t>
      </w:r>
      <w:r>
        <w:rPr>
          <w:rStyle w:val="CharSDivText"/>
        </w:rPr>
        <w:t>Prescribed financial entities (regulation 2)</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pPr>
      <w:r>
        <w:t>Department for Community Development</w:t>
      </w:r>
    </w:p>
    <w:p>
      <w:pPr>
        <w:pStyle w:val="yMiscellaneousBody"/>
        <w:spacing w:before="240"/>
        <w:ind w:left="567"/>
      </w:pPr>
      <w:r>
        <w:t>Department for Planning and Infrastructure</w:t>
      </w:r>
    </w:p>
    <w:p>
      <w:pPr>
        <w:pStyle w:val="yMiscellaneousBody"/>
        <w:spacing w:before="240"/>
        <w:ind w:left="567"/>
      </w:pPr>
      <w:r>
        <w:t>Department of Consumer and Employment Protection</w:t>
      </w:r>
    </w:p>
    <w:p>
      <w:pPr>
        <w:pStyle w:val="yMiscellaneousBody"/>
        <w:spacing w:before="240"/>
        <w:ind w:left="567"/>
      </w:pPr>
      <w:r>
        <w:t>Department of Environment and Conservation</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 xml:space="preserve">Department of Industry and Resources </w:t>
      </w:r>
    </w:p>
    <w:p>
      <w:pPr>
        <w:pStyle w:val="yMiscellaneousBody"/>
        <w:spacing w:before="240"/>
        <w:ind w:left="567"/>
        <w:rPr>
          <w:vertAlign w:val="superscript"/>
        </w:rPr>
      </w:pPr>
      <w:r>
        <w:t>Department of Justice</w:t>
      </w:r>
      <w:r>
        <w:rPr>
          <w:vertAlign w:val="superscript"/>
        </w:rPr>
        <w:t> 2</w:t>
      </w:r>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pPr>
      <w:r>
        <w:t>Office of Water Regulation</w:t>
      </w:r>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 22 Dec 2006 p. 5810; 13 Jul 2007 p. 3455; 23 May 2008 p. 1994; 26 Feb 2010 p. 819.]</w:t>
      </w:r>
    </w:p>
    <w:p>
      <w:pPr>
        <w:pStyle w:val="yHeading2"/>
        <w:jc w:val="left"/>
        <w:outlineLvl w:val="9"/>
        <w:rPr>
          <w:sz w:val="24"/>
        </w:rPr>
      </w:pPr>
      <w:bookmarkStart w:id="56" w:name="_Toc151261973"/>
      <w:bookmarkStart w:id="57" w:name="_Toc151273241"/>
      <w:bookmarkStart w:id="58" w:name="_Toc155002621"/>
      <w:bookmarkStart w:id="59" w:name="_Toc155078579"/>
      <w:bookmarkStart w:id="60" w:name="_Toc172090110"/>
      <w:bookmarkStart w:id="61" w:name="_Toc199299382"/>
      <w:bookmarkStart w:id="62" w:name="_Toc254860847"/>
      <w:bookmarkStart w:id="63" w:name="_Toc254941775"/>
      <w:bookmarkStart w:id="64" w:name="_Toc268515566"/>
      <w:bookmarkStart w:id="65" w:name="_Toc268515909"/>
      <w:bookmarkStart w:id="66" w:name="_Toc273622023"/>
      <w:bookmarkStart w:id="67" w:name="_Toc148755070"/>
      <w:bookmarkStart w:id="68" w:name="_Toc148755151"/>
      <w:bookmarkStart w:id="69" w:name="_Toc148755208"/>
      <w:bookmarkStart w:id="70" w:name="_Toc148756374"/>
      <w:r>
        <w:rPr>
          <w:rStyle w:val="CharSDivNo"/>
        </w:rPr>
        <w:t>Part 2</w:t>
      </w:r>
      <w:r>
        <w:rPr>
          <w:sz w:val="24"/>
        </w:rPr>
        <w:t xml:space="preserve"> — </w:t>
      </w:r>
      <w:r>
        <w:rPr>
          <w:rStyle w:val="CharSDivText"/>
        </w:rPr>
        <w:t>Prescribed activities (regulation 3)</w:t>
      </w:r>
      <w:bookmarkEnd w:id="56"/>
      <w:bookmarkEnd w:id="57"/>
      <w:bookmarkEnd w:id="58"/>
      <w:bookmarkEnd w:id="59"/>
      <w:bookmarkEnd w:id="60"/>
      <w:bookmarkEnd w:id="61"/>
      <w:bookmarkEnd w:id="62"/>
      <w:bookmarkEnd w:id="63"/>
      <w:bookmarkEnd w:id="64"/>
      <w:bookmarkEnd w:id="65"/>
      <w:bookmarkEnd w:id="66"/>
    </w:p>
    <w:bookmarkEnd w:id="67"/>
    <w:bookmarkEnd w:id="68"/>
    <w:bookmarkEnd w:id="69"/>
    <w:bookmarkEnd w:id="70"/>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w:t>
      </w:r>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rPr>
      </w:pPr>
      <w:r>
        <w:rPr>
          <w:u w:val="single"/>
        </w:rPr>
        <w:t>Department for Planning and Infrastructure</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rPr>
      </w:pPr>
      <w:r>
        <w:rPr>
          <w:u w:val="single"/>
        </w:rPr>
        <w:t>Department of Consumer and Employment Protection</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Fisheries</w:t>
      </w:r>
    </w:p>
    <w:p>
      <w:pPr>
        <w:pStyle w:val="ySubsection"/>
      </w:pPr>
      <w:r>
        <w:tab/>
      </w:r>
      <w:r>
        <w:tab/>
        <w:t>The sale by the Department of Fisheries of publications relating to fisheries matters.</w:t>
      </w:r>
    </w:p>
    <w:p>
      <w:pPr>
        <w:pStyle w:val="ySubsection"/>
        <w:keepNext/>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2</w:t>
      </w:r>
    </w:p>
    <w:p>
      <w:pPr>
        <w:pStyle w:val="ySubsection"/>
        <w:ind w:left="851" w:hanging="590"/>
        <w:rPr>
          <w:u w:val="single"/>
        </w:rPr>
      </w:pPr>
      <w:r>
        <w:tab/>
      </w:r>
      <w:r>
        <w:tab/>
        <w:t>The provision of information or intellectual property that is or has been developed by the Department of Justice</w:t>
      </w:r>
      <w:r>
        <w:rPr>
          <w:vertAlign w:val="superscript"/>
        </w:rPr>
        <w:t> 2</w:t>
      </w:r>
      <w:r>
        <w:t xml:space="preserve"> in relation to scientific, technical, educational, training, management and advisory services provided by the Department of Justice</w:t>
      </w:r>
      <w:r>
        <w:rPr>
          <w:vertAlign w:val="superscript"/>
        </w:rPr>
        <w:t> 2</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keepNext/>
        <w:rPr>
          <w:u w:val="single"/>
        </w:rPr>
      </w:pPr>
      <w:r>
        <w:rPr>
          <w:u w:val="single"/>
        </w:rPr>
        <w:t>Office of Water Regulation</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5; 26 Feb 2010 p. 819.]</w:t>
      </w:r>
    </w:p>
    <w:p>
      <w:pPr>
        <w:pStyle w:val="yScheduleHeading"/>
      </w:pPr>
      <w:bookmarkStart w:id="71" w:name="_Toc148755071"/>
      <w:bookmarkStart w:id="72" w:name="_Toc148755152"/>
      <w:bookmarkStart w:id="73" w:name="_Toc148755209"/>
      <w:bookmarkStart w:id="74" w:name="_Toc148756375"/>
      <w:bookmarkStart w:id="75" w:name="_Toc151261974"/>
      <w:bookmarkStart w:id="76" w:name="_Toc151273242"/>
      <w:bookmarkStart w:id="77" w:name="_Toc155002622"/>
      <w:bookmarkStart w:id="78" w:name="_Toc155078580"/>
      <w:bookmarkStart w:id="79" w:name="_Toc172090111"/>
      <w:bookmarkStart w:id="80" w:name="_Toc199299383"/>
      <w:bookmarkStart w:id="81" w:name="_Toc254860848"/>
      <w:bookmarkStart w:id="82" w:name="_Toc254941776"/>
      <w:bookmarkStart w:id="83" w:name="_Toc268515567"/>
      <w:bookmarkStart w:id="84" w:name="_Toc268515910"/>
      <w:bookmarkStart w:id="85" w:name="_Toc273622024"/>
      <w:r>
        <w:rPr>
          <w:rStyle w:val="CharSchNo"/>
        </w:rPr>
        <w:t>Schedule 2</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jc w:val="left"/>
        <w:outlineLvl w:val="9"/>
      </w:pPr>
      <w:bookmarkStart w:id="86" w:name="_Toc148755072"/>
      <w:bookmarkStart w:id="87" w:name="_Toc148755153"/>
      <w:bookmarkStart w:id="88" w:name="_Toc148755210"/>
      <w:bookmarkStart w:id="89" w:name="_Toc148756376"/>
      <w:bookmarkStart w:id="90" w:name="_Toc151261975"/>
      <w:bookmarkStart w:id="91" w:name="_Toc151273243"/>
      <w:bookmarkStart w:id="92" w:name="_Toc155002623"/>
      <w:bookmarkStart w:id="93" w:name="_Toc155078581"/>
      <w:bookmarkStart w:id="94" w:name="_Toc172090112"/>
      <w:bookmarkStart w:id="95" w:name="_Toc199299384"/>
      <w:bookmarkStart w:id="96" w:name="_Toc254860849"/>
      <w:bookmarkStart w:id="97" w:name="_Toc254941777"/>
      <w:bookmarkStart w:id="98" w:name="_Toc268515568"/>
      <w:bookmarkStart w:id="99" w:name="_Toc268515911"/>
      <w:bookmarkStart w:id="100" w:name="_Toc273622025"/>
      <w:r>
        <w:rPr>
          <w:rStyle w:val="CharSDivNo"/>
        </w:rPr>
        <w:t>Part 1</w:t>
      </w:r>
      <w:r>
        <w:t xml:space="preserve"> — </w:t>
      </w:r>
      <w:r>
        <w:rPr>
          <w:rStyle w:val="CharSDivText"/>
        </w:rPr>
        <w:t>Prescribed statutory corporations (regulation 4)</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pPr>
      <w:r>
        <w:t>Chemistry Centre (WA)</w:t>
      </w:r>
    </w:p>
    <w:p>
      <w:pPr>
        <w:pStyle w:val="yMiscellaneousBody"/>
      </w:pPr>
      <w:r>
        <w:t>Commissioner of Main Roads</w:t>
      </w:r>
    </w:p>
    <w:p>
      <w:pPr>
        <w:pStyle w:val="yMiscellaneousBody"/>
      </w:pPr>
      <w:r>
        <w:t>Disability Services Commission</w:t>
      </w:r>
    </w:p>
    <w:p>
      <w:pPr>
        <w:pStyle w:val="yMiscellaneousBody"/>
      </w:pPr>
      <w:r>
        <w:t>Fire and Emergency Services Authority of Western Australia</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r>
        <w:t>Swan River Trust</w:t>
      </w:r>
    </w:p>
    <w:p>
      <w:pPr>
        <w:pStyle w:val="yMiscellaneousBody"/>
      </w:pPr>
      <w:r>
        <w:t>The Western Australian Government Railways Commission</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w:t>
      </w:r>
    </w:p>
    <w:p>
      <w:pPr>
        <w:pStyle w:val="yHeading2"/>
        <w:jc w:val="left"/>
        <w:outlineLvl w:val="9"/>
      </w:pPr>
      <w:bookmarkStart w:id="101" w:name="_Toc148755073"/>
      <w:bookmarkStart w:id="102" w:name="_Toc148755154"/>
      <w:bookmarkStart w:id="103" w:name="_Toc148755211"/>
      <w:bookmarkStart w:id="104" w:name="_Toc148756377"/>
      <w:bookmarkStart w:id="105" w:name="_Toc151261976"/>
      <w:bookmarkStart w:id="106" w:name="_Toc151273244"/>
      <w:bookmarkStart w:id="107" w:name="_Toc155002624"/>
      <w:bookmarkStart w:id="108" w:name="_Toc155078582"/>
      <w:bookmarkStart w:id="109" w:name="_Toc172090113"/>
      <w:bookmarkStart w:id="110" w:name="_Toc199299385"/>
      <w:bookmarkStart w:id="111" w:name="_Toc254860850"/>
      <w:bookmarkStart w:id="112" w:name="_Toc254941778"/>
      <w:bookmarkStart w:id="113" w:name="_Toc268515569"/>
      <w:bookmarkStart w:id="114" w:name="_Toc268515912"/>
      <w:bookmarkStart w:id="115" w:name="_Toc273622026"/>
      <w:r>
        <w:rPr>
          <w:rStyle w:val="CharSDivNo"/>
        </w:rPr>
        <w:t>Part 2</w:t>
      </w:r>
      <w:r>
        <w:t xml:space="preserve"> — </w:t>
      </w:r>
      <w:r>
        <w:rPr>
          <w:rStyle w:val="CharSDivText"/>
        </w:rPr>
        <w:t>Prescribed activities (regulation 5)</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pPr>
      <w:r>
        <w:tab/>
      </w:r>
      <w:r>
        <w:rPr>
          <w:rStyle w:val="CharDefText"/>
          <w:bCs/>
        </w:rPr>
        <w:t>scientific support</w:t>
      </w:r>
      <w:r>
        <w:t xml:space="preserve"> includes —</w:t>
      </w:r>
    </w:p>
    <w:p>
      <w:pPr>
        <w:pStyle w:val="yDefpara"/>
      </w:pPr>
      <w:r>
        <w:tab/>
        <w:t>(a)</w:t>
      </w:r>
      <w:r>
        <w:tab/>
        <w:t>providing analytical information; and</w:t>
      </w:r>
    </w:p>
    <w:p>
      <w:pPr>
        <w:pStyle w:val="yDefpara"/>
      </w:pPr>
      <w:r>
        <w:tab/>
        <w:t>(b)</w:t>
      </w:r>
      <w:r>
        <w:tab/>
        <w:t>providing expert advice and expert evidence; and</w:t>
      </w:r>
    </w:p>
    <w:p>
      <w:pPr>
        <w:pStyle w:val="yDefpara"/>
      </w:pPr>
      <w:r>
        <w:tab/>
        <w:t>(c)</w:t>
      </w:r>
      <w:r>
        <w:tab/>
        <w:t>solving problems; and</w:t>
      </w:r>
    </w:p>
    <w:p>
      <w:pPr>
        <w:pStyle w:val="yDefpara"/>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ind w:left="546" w:hanging="546"/>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Fire and Emergency Services Authority of Western Australia</w:t>
      </w:r>
    </w:p>
    <w:p>
      <w:pPr>
        <w:pStyle w:val="yMiscellaneousBody"/>
        <w:tabs>
          <w:tab w:val="left" w:pos="532"/>
        </w:tabs>
        <w:ind w:left="546" w:hanging="546"/>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993"/>
          <w:tab w:val="left" w:pos="1560"/>
        </w:tabs>
        <w:ind w:left="1560" w:hanging="156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r>
        <w:rPr>
          <w:u w:val="single"/>
        </w:rPr>
        <w:t xml:space="preserve">Swan River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pPr>
      <w: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WorkCover Western Australia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16" w:name="_Toc78268369"/>
      <w:bookmarkStart w:id="117" w:name="_Toc78691804"/>
      <w:bookmarkStart w:id="118" w:name="_Toc78779391"/>
      <w:bookmarkStart w:id="119" w:name="_Toc78779448"/>
      <w:bookmarkStart w:id="120" w:name="_Toc80516916"/>
      <w:bookmarkStart w:id="121" w:name="_Toc80757874"/>
      <w:bookmarkStart w:id="122" w:name="_Toc81368845"/>
      <w:bookmarkStart w:id="123" w:name="_Toc82932363"/>
      <w:bookmarkStart w:id="124" w:name="_Toc84323492"/>
      <w:bookmarkStart w:id="125" w:name="_Toc84387648"/>
      <w:bookmarkStart w:id="126" w:name="_Toc109117898"/>
      <w:bookmarkStart w:id="127" w:name="_Toc109198193"/>
      <w:bookmarkStart w:id="128" w:name="_Toc111526201"/>
      <w:bookmarkStart w:id="129" w:name="_Toc111543374"/>
      <w:bookmarkStart w:id="130" w:name="_Toc111543450"/>
      <w:bookmarkStart w:id="131" w:name="_Toc119750152"/>
      <w:bookmarkStart w:id="132" w:name="_Toc148754265"/>
      <w:bookmarkStart w:id="133" w:name="_Toc148755074"/>
      <w:bookmarkStart w:id="134" w:name="_Toc148755155"/>
      <w:bookmarkStart w:id="135" w:name="_Toc148755212"/>
      <w:bookmarkStart w:id="136" w:name="_Toc148756378"/>
      <w:bookmarkStart w:id="137" w:name="_Toc151261977"/>
    </w:p>
    <w:p>
      <w:pPr>
        <w:pStyle w:val="nHeading2"/>
      </w:pPr>
      <w:bookmarkStart w:id="138" w:name="_Toc151273245"/>
      <w:bookmarkStart w:id="139" w:name="_Toc155002625"/>
      <w:bookmarkStart w:id="140" w:name="_Toc155078583"/>
      <w:bookmarkStart w:id="141" w:name="_Toc172090114"/>
      <w:bookmarkStart w:id="142" w:name="_Toc199299386"/>
      <w:bookmarkStart w:id="143" w:name="_Toc254860851"/>
      <w:bookmarkStart w:id="144" w:name="_Toc254941779"/>
      <w:bookmarkStart w:id="145" w:name="_Toc268515570"/>
      <w:bookmarkStart w:id="146" w:name="_Toc268515913"/>
      <w:bookmarkStart w:id="147" w:name="_Toc273622027"/>
      <w:r>
        <w:t>Notes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8" w:name="_Toc151273246"/>
      <w:bookmarkStart w:id="149" w:name="_Toc273622028"/>
      <w:r>
        <w:rPr>
          <w:snapToGrid w:val="0"/>
        </w:rPr>
        <w:t>Compilation table</w:t>
      </w:r>
      <w:bookmarkEnd w:id="148"/>
      <w:bookmarkEnd w:id="1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3454-5</w:t>
            </w:r>
          </w:p>
        </w:tc>
        <w:tc>
          <w:tcPr>
            <w:tcW w:w="2693" w:type="dxa"/>
          </w:tcPr>
          <w:p>
            <w:pPr>
              <w:pStyle w:val="nTable"/>
              <w:spacing w:after="40"/>
              <w:rPr>
                <w:sz w:val="19"/>
              </w:rPr>
            </w:pPr>
            <w:r>
              <w:rPr>
                <w:sz w:val="19"/>
              </w:rPr>
              <w:t>r. 1 and 2: 13 Jul 2007 (see r. 2(a));</w:t>
            </w:r>
          </w:p>
          <w:p>
            <w:pPr>
              <w:pStyle w:val="nTable"/>
              <w:spacing w:before="0" w:after="40"/>
              <w:rPr>
                <w:sz w:val="19"/>
              </w:rPr>
            </w:pPr>
            <w:r>
              <w:rPr>
                <w:sz w:val="19"/>
              </w:rPr>
              <w:t>Regulations other than r. 1 and 2: 14 Jul 2007 (see s.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trPr>
        <w:tc>
          <w:tcPr>
            <w:tcW w:w="3119" w:type="dxa"/>
            <w:tcBorders>
              <w:bottom w:val="single" w:sz="4" w:space="0" w:color="auto"/>
            </w:tcBorders>
          </w:tcPr>
          <w:p>
            <w:pPr>
              <w:pStyle w:val="nTable"/>
              <w:spacing w:after="40"/>
              <w:ind w:right="170"/>
              <w:rPr>
                <w:i/>
                <w:sz w:val="19"/>
              </w:rPr>
            </w:pPr>
            <w:r>
              <w:rPr>
                <w:i/>
                <w:sz w:val="19"/>
              </w:rPr>
              <w:t>State Trading Concerns (Authorisation) Amendment Regulations (No. 2) 2010</w:t>
            </w:r>
          </w:p>
        </w:tc>
        <w:tc>
          <w:tcPr>
            <w:tcW w:w="1276" w:type="dxa"/>
            <w:tcBorders>
              <w:bottom w:val="single" w:sz="4" w:space="0" w:color="auto"/>
            </w:tcBorders>
          </w:tcPr>
          <w:p>
            <w:pPr>
              <w:pStyle w:val="nTable"/>
              <w:spacing w:after="40"/>
              <w:rPr>
                <w:sz w:val="19"/>
              </w:rPr>
            </w:pPr>
            <w:r>
              <w:rPr>
                <w:sz w:val="19"/>
              </w:rPr>
              <w:t>1 Oct 2010 p. 5077</w:t>
            </w:r>
          </w:p>
        </w:tc>
        <w:tc>
          <w:tcPr>
            <w:tcW w:w="2693" w:type="dxa"/>
            <w:tcBorders>
              <w:bottom w:val="single" w:sz="4" w:space="0" w:color="auto"/>
            </w:tcBorders>
          </w:tcPr>
          <w:p>
            <w:pPr>
              <w:pStyle w:val="nTable"/>
              <w:spacing w:after="40"/>
              <w:rPr>
                <w:sz w:val="19"/>
              </w:rPr>
            </w:pPr>
            <w:r>
              <w:rPr>
                <w:snapToGrid w:val="0"/>
                <w:spacing w:val="-2"/>
                <w:sz w:val="19"/>
                <w:lang w:val="en-US"/>
              </w:rPr>
              <w:t>r. 1 and 2: 1 Oct 2010 (see r. 2(a));</w:t>
            </w:r>
            <w:r>
              <w:rPr>
                <w:snapToGrid w:val="0"/>
                <w:spacing w:val="-2"/>
                <w:sz w:val="19"/>
                <w:lang w:val="en-US"/>
              </w:rPr>
              <w:br/>
              <w:t>Regulations other than r. 1 and 2: 2 Oct 2010 (see r. 2(b))</w:t>
            </w:r>
          </w:p>
        </w:tc>
      </w:tr>
    </w:tbl>
    <w:p>
      <w:pPr>
        <w:pStyle w:val="nSubsection"/>
        <w:keepLines/>
        <w:rPr>
          <w:snapToGrid w:val="0"/>
        </w:rPr>
      </w:pPr>
      <w:bookmarkStart w:id="150" w:name="UpToHere"/>
      <w:bookmarkEnd w:id="150"/>
      <w:r>
        <w:rPr>
          <w:snapToGrid w:val="0"/>
          <w:vertAlign w:val="superscript"/>
        </w:rPr>
        <w:t>2</w:t>
      </w:r>
      <w:r>
        <w:rPr>
          <w:snapToGrid w:val="0"/>
        </w:rPr>
        <w:tab/>
        <w:t xml:space="preserve">Under the </w:t>
      </w:r>
      <w:r>
        <w:rPr>
          <w:i/>
          <w:iCs/>
          <w:snapToGrid w:val="0"/>
        </w:rPr>
        <w:t xml:space="preserve">Public Sector Management Act 1994 </w:t>
      </w:r>
      <w:r>
        <w:rPr>
          <w:snapToGrid w:val="0"/>
        </w:rPr>
        <w:t>departments can be established and named.  At the time of this compilation, the designation of the department known as the Department of Justice has been altered to the Department of the Attorney General and the Department of Corrective Services is established.</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bookmarkStart w:id="151" w:name="_Toc140397906"/>
      <w:bookmarkStart w:id="152" w:name="_Toc140980041"/>
      <w:bookmarkStart w:id="153" w:name="_Toc140980256"/>
      <w:bookmarkStart w:id="154" w:name="_Toc151261979"/>
    </w:p>
    <w:bookmarkEnd w:id="151"/>
    <w:bookmarkEnd w:id="152"/>
    <w:bookmarkEnd w:id="153"/>
    <w:bookmarkEnd w:id="154"/>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fldSimple w:instr=" styleref CharSDivText ">
            <w:r>
              <w:rPr>
                <w:noProof/>
              </w:rPr>
              <w:t>Prescribed financial entities (regulation 2)</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Prescribed financial entities (regulation 2)</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DC82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E2306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0A83F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BEC4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C48B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1E23E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4692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569B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2C6ECE"/>
    <w:lvl w:ilvl="0">
      <w:start w:val="1"/>
      <w:numFmt w:val="decimal"/>
      <w:pStyle w:val="ListNumber"/>
      <w:lvlText w:val="%1."/>
      <w:lvlJc w:val="left"/>
      <w:pPr>
        <w:tabs>
          <w:tab w:val="num" w:pos="360"/>
        </w:tabs>
        <w:ind w:left="360" w:hanging="360"/>
      </w:pPr>
    </w:lvl>
  </w:abstractNum>
  <w:abstractNum w:abstractNumId="9">
    <w:nsid w:val="FFFFFF89"/>
    <w:multiLevelType w:val="singleLevel"/>
    <w:tmpl w:val="50CE7E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6F8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A621B7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737"/>
    <w:docVar w:name="WAFER_20151210154737" w:val="RemoveTrackChanges"/>
    <w:docVar w:name="WAFER_20151210154737_GUID" w:val="28e478d0-a813-4649-9c60-e6b320271a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3677</Words>
  <Characters>20191</Characters>
  <Application>Microsoft Office Word</Application>
  <DocSecurity>0</DocSecurity>
  <Lines>673</Lines>
  <Paragraphs>397</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23471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1998 - 03-g0-03</dc:title>
  <dc:subject/>
  <dc:creator/>
  <cp:keywords/>
  <dc:description/>
  <cp:lastModifiedBy>svcMRProcess</cp:lastModifiedBy>
  <cp:revision>4</cp:revision>
  <cp:lastPrinted>2006-11-27T03:56:00Z</cp:lastPrinted>
  <dcterms:created xsi:type="dcterms:W3CDTF">2018-09-16T21:44:00Z</dcterms:created>
  <dcterms:modified xsi:type="dcterms:W3CDTF">2018-09-16T21:44:00Z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20101002</vt:lpwstr>
  </property>
  <property fmtid="{D5CDD505-2E9C-101B-9397-08002B2CF9AE}" pid="4" name="DocumentType">
    <vt:lpwstr>Reg</vt:lpwstr>
  </property>
  <property fmtid="{D5CDD505-2E9C-101B-9397-08002B2CF9AE}" pid="5" name="OwlsUID">
    <vt:i4>89</vt:i4>
  </property>
  <property fmtid="{D5CDD505-2E9C-101B-9397-08002B2CF9AE}" pid="6" name="ReprintNo">
    <vt:lpwstr>3</vt:lpwstr>
  </property>
  <property fmtid="{D5CDD505-2E9C-101B-9397-08002B2CF9AE}" pid="7" name="AsAtDate">
    <vt:lpwstr>02 Oct 2010</vt:lpwstr>
  </property>
  <property fmtid="{D5CDD505-2E9C-101B-9397-08002B2CF9AE}" pid="8" name="Suffix">
    <vt:lpwstr>03-g0-03</vt:lpwstr>
  </property>
</Properties>
</file>