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A5E" w:rsidRDefault="00626DE9">
      <w:pPr>
        <w:pStyle w:val="WA"/>
      </w:pPr>
      <w:bookmarkStart w:id="0" w:name="_GoBack"/>
      <w:bookmarkEnd w:id="0"/>
      <w:r>
        <w:t>Western Australia</w:t>
      </w:r>
    </w:p>
    <w:p w:rsidR="00B90A5E" w:rsidRDefault="00626DE9">
      <w:pPr>
        <w:pStyle w:val="NameofActRegPage1"/>
        <w:spacing w:before="3760" w:after="4200"/>
      </w:pPr>
      <w:r>
        <w:fldChar w:fldCharType="begin"/>
      </w:r>
      <w:r>
        <w:instrText xml:space="preserve"> STYLEREF "Name Of Act/Reg"</w:instrText>
      </w:r>
      <w:r>
        <w:fldChar w:fldCharType="separate"/>
      </w:r>
      <w:r w:rsidR="00B8591F">
        <w:rPr>
          <w:noProof/>
        </w:rPr>
        <w:t>Nurse Practitioners Code of Practice 2004</w:t>
      </w:r>
      <w:r>
        <w:fldChar w:fldCharType="end"/>
      </w:r>
    </w:p>
    <w:p w:rsidR="00B90A5E" w:rsidRDefault="00B90A5E">
      <w:pPr>
        <w:jc w:val="center"/>
        <w:rPr>
          <w:b/>
        </w:rPr>
        <w:sectPr w:rsidR="00B90A5E">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B90A5E" w:rsidRDefault="00626DE9">
      <w:pPr>
        <w:pStyle w:val="WA"/>
      </w:pPr>
      <w:r>
        <w:lastRenderedPageBreak/>
        <w:t>Western Australia</w:t>
      </w:r>
    </w:p>
    <w:p w:rsidR="00B90A5E" w:rsidRDefault="00626DE9">
      <w:pPr>
        <w:pStyle w:val="NameofActRegPage1"/>
      </w:pPr>
      <w:r>
        <w:fldChar w:fldCharType="begin"/>
      </w:r>
      <w:r>
        <w:instrText xml:space="preserve"> STYLEREF "Name Of Act/Reg"</w:instrText>
      </w:r>
      <w:r>
        <w:fldChar w:fldCharType="separate"/>
      </w:r>
      <w:r w:rsidR="00B8591F">
        <w:rPr>
          <w:noProof/>
        </w:rPr>
        <w:t>Nurse Practitioners Code of Practice 2004</w:t>
      </w:r>
      <w:r>
        <w:fldChar w:fldCharType="end"/>
      </w:r>
    </w:p>
    <w:p w:rsidR="00B90A5E" w:rsidRDefault="00626DE9">
      <w:pPr>
        <w:pStyle w:val="Arrangement"/>
      </w:pPr>
      <w:r>
        <w:t>CONTENTS</w:t>
      </w:r>
    </w:p>
    <w:p w:rsidR="00B90A5E" w:rsidRDefault="00626DE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_Toc271202028 \h </w:instrText>
      </w:r>
      <w:r>
        <w:fldChar w:fldCharType="separate"/>
      </w:r>
      <w:r w:rsidR="00B8591F">
        <w:t>1</w:t>
      </w:r>
      <w:r>
        <w:fldChar w:fldCharType="end"/>
      </w:r>
    </w:p>
    <w:p w:rsidR="00B90A5E" w:rsidRDefault="00626DE9">
      <w:pPr>
        <w:pStyle w:val="TOC8"/>
        <w:rPr>
          <w:sz w:val="24"/>
          <w:szCs w:val="24"/>
        </w:rPr>
      </w:pPr>
      <w:r>
        <w:rPr>
          <w:szCs w:val="24"/>
        </w:rPr>
        <w:t>2.</w:t>
      </w:r>
      <w:r>
        <w:rPr>
          <w:szCs w:val="24"/>
        </w:rPr>
        <w:tab/>
        <w:t>Interpretation</w:t>
      </w:r>
      <w:r>
        <w:tab/>
      </w:r>
      <w:r>
        <w:fldChar w:fldCharType="begin"/>
      </w:r>
      <w:r>
        <w:instrText xml:space="preserve"> PAGEREF _Toc271202029 \h </w:instrText>
      </w:r>
      <w:r>
        <w:fldChar w:fldCharType="separate"/>
      </w:r>
      <w:r w:rsidR="00B8591F">
        <w:t>1</w:t>
      </w:r>
      <w:r>
        <w:fldChar w:fldCharType="end"/>
      </w:r>
    </w:p>
    <w:p w:rsidR="00B90A5E" w:rsidRDefault="00626DE9">
      <w:pPr>
        <w:pStyle w:val="TOC8"/>
        <w:rPr>
          <w:sz w:val="24"/>
          <w:szCs w:val="24"/>
        </w:rPr>
      </w:pPr>
      <w:r>
        <w:rPr>
          <w:szCs w:val="24"/>
        </w:rPr>
        <w:t>3.</w:t>
      </w:r>
      <w:r>
        <w:rPr>
          <w:szCs w:val="24"/>
        </w:rPr>
        <w:tab/>
      </w:r>
      <w:r>
        <w:rPr>
          <w:i/>
          <w:szCs w:val="24"/>
        </w:rPr>
        <w:t>Nurses Code of Practice 2000</w:t>
      </w:r>
      <w:r>
        <w:rPr>
          <w:szCs w:val="24"/>
        </w:rPr>
        <w:t xml:space="preserve"> applies to nurse practitioners</w:t>
      </w:r>
      <w:r>
        <w:tab/>
      </w:r>
      <w:r>
        <w:fldChar w:fldCharType="begin"/>
      </w:r>
      <w:r>
        <w:instrText xml:space="preserve"> PAGEREF _Toc271202030 \h </w:instrText>
      </w:r>
      <w:r>
        <w:fldChar w:fldCharType="separate"/>
      </w:r>
      <w:r w:rsidR="00B8591F">
        <w:t>1</w:t>
      </w:r>
      <w:r>
        <w:fldChar w:fldCharType="end"/>
      </w:r>
    </w:p>
    <w:p w:rsidR="00B90A5E" w:rsidRDefault="00626DE9">
      <w:pPr>
        <w:pStyle w:val="TOC8"/>
        <w:rPr>
          <w:sz w:val="24"/>
          <w:szCs w:val="24"/>
        </w:rPr>
      </w:pPr>
      <w:r>
        <w:rPr>
          <w:szCs w:val="24"/>
        </w:rPr>
        <w:t>4.</w:t>
      </w:r>
      <w:r>
        <w:rPr>
          <w:szCs w:val="24"/>
        </w:rPr>
        <w:tab/>
        <w:t>Role of other health care workers</w:t>
      </w:r>
      <w:r>
        <w:tab/>
      </w:r>
      <w:r>
        <w:fldChar w:fldCharType="begin"/>
      </w:r>
      <w:r>
        <w:instrText xml:space="preserve"> PAGEREF _Toc271202031 \h </w:instrText>
      </w:r>
      <w:r>
        <w:fldChar w:fldCharType="separate"/>
      </w:r>
      <w:r w:rsidR="00B8591F">
        <w:t>1</w:t>
      </w:r>
      <w:r>
        <w:fldChar w:fldCharType="end"/>
      </w:r>
    </w:p>
    <w:p w:rsidR="00B90A5E" w:rsidRDefault="00626DE9">
      <w:pPr>
        <w:pStyle w:val="TOC8"/>
        <w:rPr>
          <w:sz w:val="24"/>
          <w:szCs w:val="24"/>
        </w:rPr>
      </w:pPr>
      <w:r>
        <w:rPr>
          <w:szCs w:val="24"/>
        </w:rPr>
        <w:t>5.</w:t>
      </w:r>
      <w:r>
        <w:rPr>
          <w:szCs w:val="24"/>
        </w:rPr>
        <w:tab/>
        <w:t>Diagnostic tests and investigations</w:t>
      </w:r>
      <w:r>
        <w:tab/>
      </w:r>
      <w:r>
        <w:fldChar w:fldCharType="begin"/>
      </w:r>
      <w:r>
        <w:instrText xml:space="preserve"> PAGEREF _Toc271202032 \h </w:instrText>
      </w:r>
      <w:r>
        <w:fldChar w:fldCharType="separate"/>
      </w:r>
      <w:r w:rsidR="00B8591F">
        <w:t>2</w:t>
      </w:r>
      <w:r>
        <w:fldChar w:fldCharType="end"/>
      </w:r>
    </w:p>
    <w:p w:rsidR="00B90A5E" w:rsidRDefault="00626DE9">
      <w:pPr>
        <w:pStyle w:val="TOC8"/>
        <w:rPr>
          <w:sz w:val="24"/>
          <w:szCs w:val="24"/>
        </w:rPr>
      </w:pPr>
      <w:r>
        <w:rPr>
          <w:szCs w:val="24"/>
        </w:rPr>
        <w:t>6.</w:t>
      </w:r>
      <w:r>
        <w:rPr>
          <w:szCs w:val="24"/>
        </w:rPr>
        <w:tab/>
        <w:t>Supplying and prescribing poisons</w:t>
      </w:r>
      <w:r>
        <w:tab/>
      </w:r>
      <w:r>
        <w:fldChar w:fldCharType="begin"/>
      </w:r>
      <w:r>
        <w:instrText xml:space="preserve"> PAGEREF _Toc271202033 \h </w:instrText>
      </w:r>
      <w:r>
        <w:fldChar w:fldCharType="separate"/>
      </w:r>
      <w:r w:rsidR="00B8591F">
        <w:t>2</w:t>
      </w:r>
      <w:r>
        <w:fldChar w:fldCharType="end"/>
      </w:r>
    </w:p>
    <w:p w:rsidR="00B90A5E" w:rsidRDefault="00626DE9">
      <w:pPr>
        <w:pStyle w:val="TOC8"/>
        <w:rPr>
          <w:sz w:val="24"/>
          <w:szCs w:val="24"/>
        </w:rPr>
      </w:pPr>
      <w:r>
        <w:rPr>
          <w:szCs w:val="24"/>
        </w:rPr>
        <w:t>7.</w:t>
      </w:r>
      <w:r>
        <w:rPr>
          <w:szCs w:val="24"/>
        </w:rPr>
        <w:tab/>
        <w:t>Awareness of laws relating to nurse practitioners</w:t>
      </w:r>
      <w:r>
        <w:tab/>
      </w:r>
      <w:r>
        <w:fldChar w:fldCharType="begin"/>
      </w:r>
      <w:r>
        <w:instrText xml:space="preserve"> PAGEREF _Toc271202034 \h </w:instrText>
      </w:r>
      <w:r>
        <w:fldChar w:fldCharType="separate"/>
      </w:r>
      <w:r w:rsidR="00B8591F">
        <w:t>3</w:t>
      </w:r>
      <w:r>
        <w:fldChar w:fldCharType="end"/>
      </w:r>
    </w:p>
    <w:p w:rsidR="00B90A5E" w:rsidRDefault="00626DE9">
      <w:pPr>
        <w:pStyle w:val="TOC2"/>
        <w:tabs>
          <w:tab w:val="right" w:leader="dot" w:pos="7086"/>
        </w:tabs>
        <w:rPr>
          <w:b w:val="0"/>
          <w:sz w:val="24"/>
          <w:szCs w:val="24"/>
        </w:rPr>
      </w:pPr>
      <w:r>
        <w:rPr>
          <w:szCs w:val="26"/>
        </w:rPr>
        <w:t>Notes</w:t>
      </w:r>
    </w:p>
    <w:p w:rsidR="00B90A5E" w:rsidRDefault="00626DE9">
      <w:pPr>
        <w:pStyle w:val="TOC8"/>
        <w:rPr>
          <w:sz w:val="24"/>
          <w:szCs w:val="24"/>
        </w:rPr>
      </w:pPr>
      <w:r>
        <w:rPr>
          <w:szCs w:val="24"/>
        </w:rPr>
        <w:tab/>
        <w:t>Compilation table</w:t>
      </w:r>
      <w:r>
        <w:tab/>
      </w:r>
      <w:r>
        <w:fldChar w:fldCharType="begin"/>
      </w:r>
      <w:r>
        <w:instrText xml:space="preserve"> PAGEREF _Toc271202036 \h </w:instrText>
      </w:r>
      <w:r>
        <w:fldChar w:fldCharType="separate"/>
      </w:r>
      <w:r w:rsidR="00B8591F">
        <w:t>4</w:t>
      </w:r>
      <w:r>
        <w:fldChar w:fldCharType="end"/>
      </w:r>
    </w:p>
    <w:p w:rsidR="00B90A5E" w:rsidRDefault="00626DE9">
      <w:pPr>
        <w:pStyle w:val="TOC8"/>
        <w:rPr>
          <w:sz w:val="24"/>
        </w:rPr>
      </w:pPr>
      <w:r>
        <w:tab/>
        <w:t>Provisions that have not come into operation</w:t>
      </w:r>
      <w:r>
        <w:tab/>
      </w:r>
      <w:r>
        <w:fldChar w:fldCharType="begin"/>
      </w:r>
      <w:r>
        <w:instrText xml:space="preserve"> PAGEREF _Toc271202037 \h </w:instrText>
      </w:r>
      <w:r>
        <w:fldChar w:fldCharType="separate"/>
      </w:r>
      <w:r w:rsidR="00B8591F">
        <w:t>4</w:t>
      </w:r>
      <w:r>
        <w:fldChar w:fldCharType="end"/>
      </w:r>
    </w:p>
    <w:p w:rsidR="00B90A5E" w:rsidRDefault="00626DE9">
      <w:pPr>
        <w:pStyle w:val="TOC2"/>
      </w:pPr>
      <w:r>
        <w:fldChar w:fldCharType="end"/>
      </w:r>
    </w:p>
    <w:p w:rsidR="00B90A5E" w:rsidRDefault="00626DE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90A5E" w:rsidRDefault="00B90A5E">
      <w:pPr>
        <w:pStyle w:val="NoteHeading"/>
        <w:sectPr w:rsidR="00B90A5E">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B90A5E" w:rsidRDefault="00626DE9">
      <w:pPr>
        <w:pStyle w:val="WA"/>
      </w:pPr>
      <w:r>
        <w:t>Western Australia</w:t>
      </w:r>
    </w:p>
    <w:p w:rsidR="00B90A5E" w:rsidRDefault="00626DE9">
      <w:pPr>
        <w:pStyle w:val="PrincipalActReg"/>
        <w:rPr>
          <w:vertAlign w:val="superscript"/>
        </w:rPr>
      </w:pPr>
      <w:r>
        <w:t>Nurses and Midwives Act 2006 </w:t>
      </w:r>
      <w:r>
        <w:rPr>
          <w:vertAlign w:val="superscript"/>
        </w:rPr>
        <w:t>2</w:t>
      </w:r>
    </w:p>
    <w:p w:rsidR="00B90A5E" w:rsidRDefault="00626DE9">
      <w:pPr>
        <w:pStyle w:val="NameofActReg"/>
      </w:pPr>
      <w:r>
        <w:t>Nurse Practitioners Code of Practice 2004</w:t>
      </w:r>
    </w:p>
    <w:p w:rsidR="00B90A5E" w:rsidRDefault="00626DE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93292740"/>
      <w:bookmarkStart w:id="9" w:name="_Toc271202028"/>
      <w:r>
        <w:rPr>
          <w:rStyle w:val="CharSectno"/>
        </w:rPr>
        <w:t>1</w:t>
      </w:r>
      <w:r>
        <w:t>.</w:t>
      </w:r>
      <w:r>
        <w:tab/>
        <w:t>Citation</w:t>
      </w:r>
      <w:bookmarkEnd w:id="1"/>
      <w:bookmarkEnd w:id="2"/>
      <w:bookmarkEnd w:id="3"/>
      <w:bookmarkEnd w:id="4"/>
      <w:bookmarkEnd w:id="5"/>
      <w:bookmarkEnd w:id="6"/>
      <w:bookmarkEnd w:id="7"/>
      <w:bookmarkEnd w:id="8"/>
      <w:bookmarkEnd w:id="9"/>
    </w:p>
    <w:p w:rsidR="00B90A5E" w:rsidRDefault="00626DE9">
      <w:pPr>
        <w:pStyle w:val="Subsection"/>
      </w:pPr>
      <w:r>
        <w:tab/>
      </w:r>
      <w:r>
        <w:tab/>
      </w:r>
      <w:bookmarkStart w:id="10" w:name="Start_Cursor"/>
      <w:bookmarkEnd w:id="10"/>
      <w:r>
        <w:rPr>
          <w:spacing w:val="-2"/>
        </w:rPr>
        <w:t>This</w:t>
      </w:r>
      <w:r>
        <w:t xml:space="preserve"> </w:t>
      </w:r>
      <w:r>
        <w:rPr>
          <w:spacing w:val="-2"/>
        </w:rPr>
        <w:t>code</w:t>
      </w:r>
      <w:r>
        <w:t xml:space="preserve"> may be cited as the </w:t>
      </w:r>
      <w:r>
        <w:rPr>
          <w:i/>
        </w:rPr>
        <w:t>Nurse Practitioners Code of Practice 2004</w:t>
      </w:r>
      <w:r>
        <w:t>.</w:t>
      </w:r>
    </w:p>
    <w:p w:rsidR="00B90A5E" w:rsidRDefault="00626DE9">
      <w:pPr>
        <w:pStyle w:val="Heading5"/>
      </w:pPr>
      <w:bookmarkStart w:id="11" w:name="_Toc93292741"/>
      <w:bookmarkStart w:id="12" w:name="_Toc271202029"/>
      <w:r>
        <w:rPr>
          <w:rStyle w:val="CharSectno"/>
        </w:rPr>
        <w:t>2</w:t>
      </w:r>
      <w:r>
        <w:t>.</w:t>
      </w:r>
      <w:r>
        <w:tab/>
        <w:t>Interpretation</w:t>
      </w:r>
      <w:bookmarkEnd w:id="11"/>
      <w:bookmarkEnd w:id="12"/>
    </w:p>
    <w:p w:rsidR="00B90A5E" w:rsidRDefault="00626DE9">
      <w:pPr>
        <w:pStyle w:val="Subsection"/>
      </w:pPr>
      <w:r>
        <w:tab/>
      </w:r>
      <w:r>
        <w:tab/>
        <w:t>In this code —</w:t>
      </w:r>
    </w:p>
    <w:p w:rsidR="00B90A5E" w:rsidRDefault="00626DE9">
      <w:pPr>
        <w:pStyle w:val="Defstart"/>
      </w:pPr>
      <w:r>
        <w:rPr>
          <w:b/>
        </w:rPr>
        <w:tab/>
      </w:r>
      <w:r>
        <w:rPr>
          <w:rStyle w:val="CharDefText"/>
        </w:rPr>
        <w:t>client</w:t>
      </w:r>
      <w:r>
        <w:t xml:space="preserve"> includes patient;</w:t>
      </w:r>
    </w:p>
    <w:p w:rsidR="00B90A5E" w:rsidRDefault="00626DE9">
      <w:pPr>
        <w:pStyle w:val="Defstart"/>
      </w:pPr>
      <w:r>
        <w:rPr>
          <w:b/>
        </w:rPr>
        <w:tab/>
      </w:r>
      <w:r>
        <w:rPr>
          <w:rStyle w:val="CharDefText"/>
        </w:rPr>
        <w:t>poison</w:t>
      </w:r>
      <w:r>
        <w:t xml:space="preserve"> has the meaning given to that term in the </w:t>
      </w:r>
      <w:r>
        <w:rPr>
          <w:i/>
        </w:rPr>
        <w:t xml:space="preserve">Poisons Act 1964 </w:t>
      </w:r>
      <w:r>
        <w:t>section 5.</w:t>
      </w:r>
    </w:p>
    <w:p w:rsidR="00B90A5E" w:rsidRDefault="00626DE9">
      <w:pPr>
        <w:pStyle w:val="Heading5"/>
      </w:pPr>
      <w:bookmarkStart w:id="13" w:name="_Toc93292742"/>
      <w:bookmarkStart w:id="14" w:name="_Toc271202030"/>
      <w:r>
        <w:rPr>
          <w:rStyle w:val="CharSectno"/>
        </w:rPr>
        <w:t>3</w:t>
      </w:r>
      <w:r>
        <w:t>.</w:t>
      </w:r>
      <w:r>
        <w:tab/>
      </w:r>
      <w:r>
        <w:rPr>
          <w:i/>
        </w:rPr>
        <w:t>Nurses Code of Practice 2000</w:t>
      </w:r>
      <w:r>
        <w:t xml:space="preserve"> applies to nurse practitioners</w:t>
      </w:r>
      <w:bookmarkEnd w:id="13"/>
      <w:bookmarkEnd w:id="14"/>
    </w:p>
    <w:p w:rsidR="00B90A5E" w:rsidRDefault="00626DE9">
      <w:pPr>
        <w:pStyle w:val="Subsection"/>
      </w:pPr>
      <w:r>
        <w:tab/>
      </w:r>
      <w:r>
        <w:tab/>
        <w:t xml:space="preserve">The </w:t>
      </w:r>
      <w:r>
        <w:rPr>
          <w:i/>
        </w:rPr>
        <w:t xml:space="preserve">Nurses Code of Practice 2000 </w:t>
      </w:r>
      <w:r>
        <w:t>applies to a nurse practitioner in addition to this code.</w:t>
      </w:r>
    </w:p>
    <w:p w:rsidR="00B90A5E" w:rsidRDefault="00626DE9">
      <w:pPr>
        <w:pStyle w:val="Heading5"/>
      </w:pPr>
      <w:bookmarkStart w:id="15" w:name="_Toc93292743"/>
      <w:bookmarkStart w:id="16" w:name="_Toc271202031"/>
      <w:r>
        <w:rPr>
          <w:rStyle w:val="CharSectno"/>
        </w:rPr>
        <w:t>4</w:t>
      </w:r>
      <w:r>
        <w:t>.</w:t>
      </w:r>
      <w:r>
        <w:tab/>
        <w:t>Role of other health care workers</w:t>
      </w:r>
      <w:bookmarkEnd w:id="15"/>
      <w:bookmarkEnd w:id="16"/>
    </w:p>
    <w:p w:rsidR="00B90A5E" w:rsidRDefault="00626DE9">
      <w:pPr>
        <w:pStyle w:val="Subsection"/>
      </w:pPr>
      <w:r>
        <w:tab/>
        <w:t>(1)</w:t>
      </w:r>
      <w:r>
        <w:tab/>
        <w:t>Before undertaking treatment of a client, a nurse practitioner should give due consideration to consulting with any other health care worker who may have additional relevant skills or knowledge.</w:t>
      </w:r>
    </w:p>
    <w:p w:rsidR="00B90A5E" w:rsidRDefault="00626DE9">
      <w:pPr>
        <w:pStyle w:val="Subsection"/>
      </w:pPr>
      <w:r>
        <w:tab/>
        <w:t>(2)</w:t>
      </w:r>
      <w:r>
        <w:tab/>
        <w:t>Before undertaking treatment of a client, a nurse practitioner should give due consideration to giving a client a referral to, or advising the client to seek advice from, another health care worker.</w:t>
      </w:r>
    </w:p>
    <w:p w:rsidR="00B90A5E" w:rsidRDefault="00626DE9">
      <w:pPr>
        <w:pStyle w:val="Heading5"/>
      </w:pPr>
      <w:bookmarkStart w:id="17" w:name="_Toc93292744"/>
      <w:bookmarkStart w:id="18" w:name="_Toc271202032"/>
      <w:r>
        <w:rPr>
          <w:rStyle w:val="CharSectno"/>
        </w:rPr>
        <w:t>5</w:t>
      </w:r>
      <w:r>
        <w:t>.</w:t>
      </w:r>
      <w:r>
        <w:tab/>
        <w:t>Diagnostic tests and investigations</w:t>
      </w:r>
      <w:bookmarkEnd w:id="17"/>
      <w:bookmarkEnd w:id="18"/>
    </w:p>
    <w:p w:rsidR="00B90A5E" w:rsidRDefault="00626DE9">
      <w:pPr>
        <w:pStyle w:val="Subsection"/>
      </w:pPr>
      <w:r>
        <w:tab/>
        <w:t>(1)</w:t>
      </w:r>
      <w:r>
        <w:tab/>
        <w:t xml:space="preserve">A nurse practitioner who — </w:t>
      </w:r>
    </w:p>
    <w:p w:rsidR="00B90A5E" w:rsidRDefault="00626DE9">
      <w:pPr>
        <w:pStyle w:val="Indenta"/>
      </w:pPr>
      <w:r>
        <w:tab/>
        <w:t>(a)</w:t>
      </w:r>
      <w:r>
        <w:tab/>
        <w:t>undertakes a diagnostic test or investigation on a client, or requests that such a test or investigation be undertaken on the client; or</w:t>
      </w:r>
    </w:p>
    <w:p w:rsidR="00B90A5E" w:rsidRDefault="00626DE9">
      <w:pPr>
        <w:pStyle w:val="Indenta"/>
      </w:pPr>
      <w:r>
        <w:tab/>
        <w:t>(b)</w:t>
      </w:r>
      <w:r>
        <w:tab/>
        <w:t>proposes to a client that the nurse practitioner undertake a particular treatment of the client based on the results of such a test or investigation,</w:t>
      </w:r>
    </w:p>
    <w:p w:rsidR="00B90A5E" w:rsidRDefault="00626DE9">
      <w:pPr>
        <w:pStyle w:val="Subsection"/>
      </w:pPr>
      <w:r>
        <w:tab/>
      </w:r>
      <w:r>
        <w:tab/>
        <w:t>should have a detailed knowledge of current science</w:t>
      </w:r>
      <w:r>
        <w:noBreakHyphen/>
        <w:t>based practices and information relating to the test or investigation.</w:t>
      </w:r>
    </w:p>
    <w:p w:rsidR="00B90A5E" w:rsidRDefault="00626DE9">
      <w:pPr>
        <w:pStyle w:val="Subsection"/>
      </w:pPr>
      <w:r>
        <w:tab/>
        <w:t>(2)</w:t>
      </w:r>
      <w:r>
        <w:tab/>
        <w:t>A nurse practitioner who, based on the results of a diagnostic test or investigation, proposes to a client that the nurse practitioner undertake a particular treatment of the client, should have given due consideration to consulting with any other health care worker who may have additional relevant skills or knowledge in the interpretation of the results of such a test or investigation.</w:t>
      </w:r>
    </w:p>
    <w:p w:rsidR="00B90A5E" w:rsidRDefault="00626DE9">
      <w:pPr>
        <w:pStyle w:val="Heading5"/>
      </w:pPr>
      <w:bookmarkStart w:id="19" w:name="_Toc93292745"/>
      <w:bookmarkStart w:id="20" w:name="_Toc271202033"/>
      <w:r>
        <w:rPr>
          <w:rStyle w:val="CharSectno"/>
        </w:rPr>
        <w:t>6</w:t>
      </w:r>
      <w:r>
        <w:t>.</w:t>
      </w:r>
      <w:r>
        <w:tab/>
        <w:t>Supplying and prescribing poisons</w:t>
      </w:r>
      <w:bookmarkEnd w:id="19"/>
      <w:bookmarkEnd w:id="20"/>
    </w:p>
    <w:p w:rsidR="00B90A5E" w:rsidRDefault="00626DE9">
      <w:pPr>
        <w:pStyle w:val="Subsection"/>
      </w:pPr>
      <w:r>
        <w:tab/>
        <w:t>(1)</w:t>
      </w:r>
      <w:r>
        <w:tab/>
        <w:t>Before proposing to a client that the nurse practitioner undertake a particular treatment of the client involving a poison the nurse practitioner should give due consideration to consulting with another health care worker who may have additional relevant skills or knowledge.</w:t>
      </w:r>
    </w:p>
    <w:p w:rsidR="00B90A5E" w:rsidRDefault="00626DE9">
      <w:pPr>
        <w:pStyle w:val="Subsection"/>
      </w:pPr>
      <w:r>
        <w:tab/>
        <w:t>(2)</w:t>
      </w:r>
      <w:r>
        <w:tab/>
        <w:t xml:space="preserve">A nurse practitioner who supplies or prescribes a poison for a client should — </w:t>
      </w:r>
    </w:p>
    <w:p w:rsidR="00B90A5E" w:rsidRDefault="00626DE9">
      <w:pPr>
        <w:pStyle w:val="Indenta"/>
      </w:pPr>
      <w:r>
        <w:tab/>
        <w:t>(a)</w:t>
      </w:r>
      <w:r>
        <w:tab/>
        <w:t>follow best clinical practice for the prescription of poisons and related record keeping; and</w:t>
      </w:r>
    </w:p>
    <w:p w:rsidR="00B90A5E" w:rsidRDefault="00626DE9">
      <w:pPr>
        <w:pStyle w:val="Indenta"/>
      </w:pPr>
      <w:r>
        <w:tab/>
        <w:t>(b)</w:t>
      </w:r>
      <w:r>
        <w:tab/>
        <w:t>have a detailed knowledge of current science</w:t>
      </w:r>
      <w:r>
        <w:noBreakHyphen/>
        <w:t>based practices and information relating to the poison.</w:t>
      </w:r>
    </w:p>
    <w:p w:rsidR="00B90A5E" w:rsidRDefault="00626DE9">
      <w:pPr>
        <w:pStyle w:val="Heading5"/>
      </w:pPr>
      <w:bookmarkStart w:id="21" w:name="_Toc93292746"/>
      <w:bookmarkStart w:id="22" w:name="_Toc271202034"/>
      <w:r>
        <w:rPr>
          <w:rStyle w:val="CharSectno"/>
        </w:rPr>
        <w:t>7</w:t>
      </w:r>
      <w:r>
        <w:t>.</w:t>
      </w:r>
      <w:r>
        <w:tab/>
        <w:t>Awareness of laws relating to nurse practitioners</w:t>
      </w:r>
      <w:bookmarkEnd w:id="21"/>
      <w:bookmarkEnd w:id="22"/>
    </w:p>
    <w:p w:rsidR="00B90A5E" w:rsidRDefault="00626DE9">
      <w:pPr>
        <w:pStyle w:val="Subsection"/>
      </w:pPr>
      <w:r>
        <w:tab/>
      </w:r>
      <w:r>
        <w:tab/>
        <w:t>A nurse practitioner should ensure that she or he is informed in relation to Commonwealth and State laws affecting the practice of nurse practitioners, including subsidiary legislation, common law and professional codes of practice and ethics that may be in force from time to time.</w:t>
      </w:r>
    </w:p>
    <w:p w:rsidR="00B90A5E" w:rsidRDefault="00B90A5E">
      <w:pPr>
        <w:rPr>
          <w:rStyle w:val="CharDivText"/>
        </w:rPr>
        <w:sectPr w:rsidR="00B90A5E">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B90A5E" w:rsidRDefault="00626DE9">
      <w:pPr>
        <w:pStyle w:val="nHeading2"/>
      </w:pPr>
      <w:bookmarkStart w:id="23" w:name="_Toc93292465"/>
      <w:bookmarkStart w:id="24" w:name="_Toc93292747"/>
      <w:bookmarkStart w:id="25" w:name="_Toc177968928"/>
      <w:bookmarkStart w:id="26" w:name="_Toc271202035"/>
      <w:r>
        <w:t>Notes</w:t>
      </w:r>
      <w:bookmarkEnd w:id="23"/>
      <w:bookmarkEnd w:id="24"/>
      <w:bookmarkEnd w:id="25"/>
      <w:bookmarkEnd w:id="26"/>
    </w:p>
    <w:p w:rsidR="00B90A5E" w:rsidRDefault="00626DE9">
      <w:pPr>
        <w:pStyle w:val="nSubsection"/>
        <w:rPr>
          <w:snapToGrid w:val="0"/>
        </w:rPr>
      </w:pPr>
      <w:r>
        <w:rPr>
          <w:snapToGrid w:val="0"/>
          <w:vertAlign w:val="superscript"/>
        </w:rPr>
        <w:t>1</w:t>
      </w:r>
      <w:r>
        <w:rPr>
          <w:snapToGrid w:val="0"/>
        </w:rPr>
        <w:tab/>
        <w:t xml:space="preserve">This is a compilation of the </w:t>
      </w:r>
      <w:r>
        <w:rPr>
          <w:i/>
          <w:noProof/>
          <w:snapToGrid w:val="0"/>
        </w:rPr>
        <w:t>Nurse Practitioners Code of Practice 2004</w:t>
      </w:r>
      <w:r>
        <w:rPr>
          <w:snapToGrid w:val="0"/>
        </w:rPr>
        <w:t>.  The following table contains information about that code </w:t>
      </w:r>
      <w:r>
        <w:rPr>
          <w:snapToGrid w:val="0"/>
          <w:vertAlign w:val="superscript"/>
        </w:rPr>
        <w:t>1a</w:t>
      </w:r>
      <w:r>
        <w:rPr>
          <w:snapToGrid w:val="0"/>
        </w:rPr>
        <w:t xml:space="preserve">. </w:t>
      </w:r>
    </w:p>
    <w:p w:rsidR="00B90A5E" w:rsidRDefault="00626DE9">
      <w:pPr>
        <w:pStyle w:val="nHeading3"/>
      </w:pPr>
      <w:bookmarkStart w:id="27" w:name="_Toc70311430"/>
      <w:bookmarkStart w:id="28" w:name="_Toc93292748"/>
      <w:bookmarkStart w:id="29" w:name="_Toc271202036"/>
      <w:r>
        <w:t>Compilation table</w:t>
      </w:r>
      <w:bookmarkEnd w:id="27"/>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B90A5E">
        <w:trPr>
          <w:tblHeader/>
        </w:trPr>
        <w:tc>
          <w:tcPr>
            <w:tcW w:w="3118" w:type="dxa"/>
            <w:tcBorders>
              <w:top w:val="single" w:sz="8" w:space="0" w:color="auto"/>
              <w:bottom w:val="single" w:sz="8" w:space="0" w:color="auto"/>
            </w:tcBorders>
          </w:tcPr>
          <w:p w:rsidR="00B90A5E" w:rsidRDefault="00626DE9">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B90A5E" w:rsidRDefault="00626DE9">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B90A5E" w:rsidRDefault="00626DE9">
            <w:pPr>
              <w:pStyle w:val="nTable"/>
              <w:spacing w:before="60" w:after="60"/>
              <w:rPr>
                <w:b/>
                <w:sz w:val="19"/>
              </w:rPr>
            </w:pPr>
            <w:r>
              <w:rPr>
                <w:b/>
                <w:sz w:val="19"/>
              </w:rPr>
              <w:t>Commencement</w:t>
            </w:r>
          </w:p>
        </w:tc>
      </w:tr>
      <w:tr w:rsidR="00B90A5E">
        <w:tc>
          <w:tcPr>
            <w:tcW w:w="3118" w:type="dxa"/>
            <w:tcBorders>
              <w:top w:val="single" w:sz="8" w:space="0" w:color="auto"/>
              <w:bottom w:val="single" w:sz="4" w:space="0" w:color="auto"/>
            </w:tcBorders>
          </w:tcPr>
          <w:p w:rsidR="00B90A5E" w:rsidRDefault="00626DE9">
            <w:pPr>
              <w:pStyle w:val="nTable"/>
              <w:rPr>
                <w:sz w:val="19"/>
              </w:rPr>
            </w:pPr>
            <w:r>
              <w:rPr>
                <w:i/>
                <w:noProof/>
                <w:snapToGrid w:val="0"/>
                <w:sz w:val="19"/>
              </w:rPr>
              <w:t>Nurse Practitioners Code of Practice 2004</w:t>
            </w:r>
          </w:p>
        </w:tc>
        <w:tc>
          <w:tcPr>
            <w:tcW w:w="1276" w:type="dxa"/>
            <w:tcBorders>
              <w:top w:val="single" w:sz="8" w:space="0" w:color="auto"/>
              <w:bottom w:val="single" w:sz="4" w:space="0" w:color="auto"/>
            </w:tcBorders>
          </w:tcPr>
          <w:p w:rsidR="00B90A5E" w:rsidRDefault="00626DE9">
            <w:pPr>
              <w:pStyle w:val="nTable"/>
              <w:rPr>
                <w:sz w:val="19"/>
              </w:rPr>
            </w:pPr>
            <w:r>
              <w:rPr>
                <w:sz w:val="19"/>
              </w:rPr>
              <w:t>11 Jan 2005 p. 95-6</w:t>
            </w:r>
          </w:p>
        </w:tc>
        <w:tc>
          <w:tcPr>
            <w:tcW w:w="2693" w:type="dxa"/>
            <w:tcBorders>
              <w:top w:val="single" w:sz="8" w:space="0" w:color="auto"/>
              <w:bottom w:val="single" w:sz="4" w:space="0" w:color="auto"/>
            </w:tcBorders>
          </w:tcPr>
          <w:p w:rsidR="00B90A5E" w:rsidRDefault="00626DE9">
            <w:pPr>
              <w:pStyle w:val="nTable"/>
              <w:rPr>
                <w:sz w:val="19"/>
              </w:rPr>
            </w:pPr>
            <w:r>
              <w:rPr>
                <w:sz w:val="19"/>
              </w:rPr>
              <w:t>11 Jan 2005</w:t>
            </w:r>
          </w:p>
        </w:tc>
      </w:tr>
    </w:tbl>
    <w:p w:rsidR="00B90A5E" w:rsidRDefault="00626DE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90A5E" w:rsidRDefault="00626DE9">
      <w:pPr>
        <w:pStyle w:val="nHeading3"/>
      </w:pPr>
      <w:bookmarkStart w:id="30" w:name="_Toc7405065"/>
      <w:bookmarkStart w:id="31" w:name="_Toc271202037"/>
      <w:r>
        <w:t>Provisions that have not come into operation</w:t>
      </w:r>
      <w:bookmarkEnd w:id="30"/>
      <w:bookmarkEnd w:id="31"/>
    </w:p>
    <w:tbl>
      <w:tblPr>
        <w:tblW w:w="7072" w:type="dxa"/>
        <w:tblInd w:w="15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B90A5E">
        <w:tc>
          <w:tcPr>
            <w:tcW w:w="2268" w:type="dxa"/>
          </w:tcPr>
          <w:p w:rsidR="00B90A5E" w:rsidRDefault="00626DE9">
            <w:pPr>
              <w:pStyle w:val="nTable"/>
              <w:spacing w:after="40"/>
              <w:rPr>
                <w:b/>
                <w:snapToGrid w:val="0"/>
                <w:sz w:val="19"/>
                <w:lang w:val="en-US"/>
              </w:rPr>
            </w:pPr>
            <w:r>
              <w:rPr>
                <w:b/>
                <w:snapToGrid w:val="0"/>
                <w:sz w:val="19"/>
                <w:lang w:val="en-US"/>
              </w:rPr>
              <w:t>Short title</w:t>
            </w:r>
          </w:p>
        </w:tc>
        <w:tc>
          <w:tcPr>
            <w:tcW w:w="1118" w:type="dxa"/>
          </w:tcPr>
          <w:p w:rsidR="00B90A5E" w:rsidRDefault="00626DE9">
            <w:pPr>
              <w:pStyle w:val="nTable"/>
              <w:spacing w:after="40"/>
              <w:rPr>
                <w:b/>
                <w:snapToGrid w:val="0"/>
                <w:sz w:val="19"/>
                <w:lang w:val="en-US"/>
              </w:rPr>
            </w:pPr>
            <w:r>
              <w:rPr>
                <w:b/>
                <w:snapToGrid w:val="0"/>
                <w:sz w:val="19"/>
                <w:lang w:val="en-US"/>
              </w:rPr>
              <w:t>Number and year</w:t>
            </w:r>
          </w:p>
        </w:tc>
        <w:tc>
          <w:tcPr>
            <w:tcW w:w="1134" w:type="dxa"/>
          </w:tcPr>
          <w:p w:rsidR="00B90A5E" w:rsidRDefault="00626DE9">
            <w:pPr>
              <w:pStyle w:val="nTable"/>
              <w:spacing w:after="40"/>
              <w:rPr>
                <w:b/>
                <w:snapToGrid w:val="0"/>
                <w:sz w:val="19"/>
                <w:lang w:val="en-US"/>
              </w:rPr>
            </w:pPr>
            <w:r>
              <w:rPr>
                <w:b/>
                <w:snapToGrid w:val="0"/>
                <w:sz w:val="19"/>
                <w:lang w:val="en-US"/>
              </w:rPr>
              <w:t>Assent</w:t>
            </w:r>
          </w:p>
        </w:tc>
        <w:tc>
          <w:tcPr>
            <w:tcW w:w="2552" w:type="dxa"/>
          </w:tcPr>
          <w:p w:rsidR="00B90A5E" w:rsidRDefault="00626DE9">
            <w:pPr>
              <w:pStyle w:val="nTable"/>
              <w:spacing w:after="40"/>
              <w:rPr>
                <w:b/>
                <w:snapToGrid w:val="0"/>
                <w:sz w:val="19"/>
                <w:lang w:val="en-US"/>
              </w:rPr>
            </w:pPr>
            <w:r>
              <w:rPr>
                <w:b/>
                <w:snapToGrid w:val="0"/>
                <w:sz w:val="19"/>
                <w:lang w:val="en-US"/>
              </w:rPr>
              <w:t>Commencement</w:t>
            </w:r>
          </w:p>
        </w:tc>
      </w:tr>
      <w:tr w:rsidR="00B90A5E">
        <w:tc>
          <w:tcPr>
            <w:tcW w:w="2268" w:type="dxa"/>
          </w:tcPr>
          <w:p w:rsidR="00B90A5E" w:rsidRDefault="00626DE9">
            <w:pPr>
              <w:pStyle w:val="nTable"/>
              <w:spacing w:after="40"/>
              <w:rPr>
                <w:b/>
                <w:snapToGrid w:val="0"/>
                <w:sz w:val="19"/>
                <w:lang w:val="en-US"/>
              </w:rPr>
            </w:pPr>
            <w:r>
              <w:rPr>
                <w:i/>
                <w:snapToGrid w:val="0"/>
                <w:sz w:val="19"/>
              </w:rPr>
              <w:t xml:space="preserve">Health Practitioner Regulation National Law (WA) Act 2010 </w:t>
            </w:r>
            <w:r>
              <w:rPr>
                <w:iCs/>
                <w:snapToGrid w:val="0"/>
                <w:sz w:val="19"/>
              </w:rPr>
              <w:t>s. 15(1)(a) </w:t>
            </w:r>
            <w:r>
              <w:rPr>
                <w:iCs/>
                <w:snapToGrid w:val="0"/>
                <w:sz w:val="19"/>
                <w:vertAlign w:val="superscript"/>
              </w:rPr>
              <w:t>3</w:t>
            </w:r>
          </w:p>
        </w:tc>
        <w:tc>
          <w:tcPr>
            <w:tcW w:w="1118" w:type="dxa"/>
          </w:tcPr>
          <w:p w:rsidR="00B90A5E" w:rsidRDefault="00626DE9">
            <w:pPr>
              <w:pStyle w:val="nTable"/>
              <w:spacing w:after="40"/>
              <w:rPr>
                <w:b/>
                <w:snapToGrid w:val="0"/>
                <w:sz w:val="19"/>
                <w:lang w:val="en-US"/>
              </w:rPr>
            </w:pPr>
            <w:r>
              <w:rPr>
                <w:snapToGrid w:val="0"/>
                <w:sz w:val="19"/>
                <w:lang w:val="en-US"/>
              </w:rPr>
              <w:t>35 of 2010</w:t>
            </w:r>
          </w:p>
        </w:tc>
        <w:tc>
          <w:tcPr>
            <w:tcW w:w="1134" w:type="dxa"/>
          </w:tcPr>
          <w:p w:rsidR="00B90A5E" w:rsidRDefault="00626DE9">
            <w:pPr>
              <w:pStyle w:val="nTable"/>
              <w:spacing w:after="40"/>
              <w:rPr>
                <w:b/>
                <w:snapToGrid w:val="0"/>
                <w:sz w:val="19"/>
                <w:lang w:val="en-US"/>
              </w:rPr>
            </w:pPr>
            <w:r>
              <w:rPr>
                <w:snapToGrid w:val="0"/>
                <w:sz w:val="19"/>
                <w:lang w:val="en-US"/>
              </w:rPr>
              <w:t>30 </w:t>
            </w:r>
            <w:bookmarkStart w:id="32" w:name="UpToHere"/>
            <w:bookmarkEnd w:id="32"/>
            <w:r>
              <w:rPr>
                <w:snapToGrid w:val="0"/>
                <w:sz w:val="19"/>
                <w:lang w:val="en-US"/>
              </w:rPr>
              <w:t>Aug 2010</w:t>
            </w:r>
          </w:p>
        </w:tc>
        <w:tc>
          <w:tcPr>
            <w:tcW w:w="2552" w:type="dxa"/>
          </w:tcPr>
          <w:p w:rsidR="00B90A5E" w:rsidRDefault="00626DE9">
            <w:pPr>
              <w:pStyle w:val="nTable"/>
              <w:spacing w:after="40"/>
              <w:rPr>
                <w:b/>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B90A5E" w:rsidRDefault="00626DE9">
      <w:pPr>
        <w:pStyle w:val="nSubsection"/>
      </w:pPr>
      <w:r>
        <w:rPr>
          <w:vertAlign w:val="superscript"/>
        </w:rPr>
        <w:t>2</w:t>
      </w:r>
      <w:r>
        <w:tab/>
        <w:t xml:space="preserve">The </w:t>
      </w:r>
      <w:r>
        <w:rPr>
          <w:i/>
          <w:iCs/>
        </w:rPr>
        <w:t>Nurse Practitioners Code of Practice 2004</w:t>
      </w:r>
      <w:r>
        <w:t xml:space="preserve"> formerly made under the </w:t>
      </w:r>
      <w:r>
        <w:rPr>
          <w:i/>
          <w:iCs/>
        </w:rPr>
        <w:t>Nurses Act 1992</w:t>
      </w:r>
      <w:r>
        <w:t xml:space="preserve"> s. 9 now continues under the </w:t>
      </w:r>
      <w:r>
        <w:rPr>
          <w:i/>
          <w:iCs/>
        </w:rPr>
        <w:t xml:space="preserve">Nurses and Midwives Act 2006 </w:t>
      </w:r>
      <w:r>
        <w:t>as if they had been issued under s. 100 of that Act.</w:t>
      </w:r>
    </w:p>
    <w:p w:rsidR="00B90A5E" w:rsidRDefault="00626DE9">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15(1)(a)</w:t>
      </w:r>
      <w:r>
        <w:rPr>
          <w:snapToGrid w:val="0"/>
        </w:rPr>
        <w:t xml:space="preserve"> had not come into operation.  It reads as follows:</w:t>
      </w:r>
    </w:p>
    <w:p w:rsidR="00B90A5E" w:rsidRDefault="00B90A5E">
      <w:pPr>
        <w:pStyle w:val="BlankOpen"/>
      </w:pPr>
    </w:p>
    <w:p w:rsidR="00B90A5E" w:rsidRDefault="00626DE9">
      <w:pPr>
        <w:pStyle w:val="nzHeading5"/>
      </w:pPr>
      <w:bookmarkStart w:id="33" w:name="_Toc270349053"/>
      <w:r>
        <w:rPr>
          <w:rStyle w:val="CharSectno"/>
        </w:rPr>
        <w:t>15</w:t>
      </w:r>
      <w:r>
        <w:t>.</w:t>
      </w:r>
      <w:r>
        <w:tab/>
        <w:t>Codes of practice, regulations and rules repealed</w:t>
      </w:r>
      <w:bookmarkEnd w:id="33"/>
    </w:p>
    <w:p w:rsidR="00B90A5E" w:rsidRDefault="00626DE9">
      <w:pPr>
        <w:pStyle w:val="nzSubsection"/>
      </w:pPr>
      <w:r>
        <w:tab/>
        <w:t>(1)</w:t>
      </w:r>
      <w:r>
        <w:tab/>
        <w:t>These Codes of Practice are repealed:</w:t>
      </w:r>
    </w:p>
    <w:p w:rsidR="00B90A5E" w:rsidRDefault="00626DE9">
      <w:pPr>
        <w:pStyle w:val="nzIndenta"/>
      </w:pPr>
      <w:r>
        <w:tab/>
        <w:t>(a)</w:t>
      </w:r>
      <w:r>
        <w:tab/>
        <w:t xml:space="preserve">the </w:t>
      </w:r>
      <w:r>
        <w:rPr>
          <w:i/>
        </w:rPr>
        <w:t>Nurse Practitioners Code of Practice 2004</w:t>
      </w:r>
      <w:r>
        <w:t>;</w:t>
      </w:r>
    </w:p>
    <w:p w:rsidR="00B90A5E" w:rsidRDefault="00B90A5E">
      <w:pPr>
        <w:pStyle w:val="BlankClose"/>
      </w:pPr>
    </w:p>
    <w:p w:rsidR="00B90A5E" w:rsidRDefault="00B90A5E">
      <w:pPr>
        <w:sectPr w:rsidR="00B90A5E">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B90A5E" w:rsidRDefault="00B90A5E"/>
    <w:sectPr w:rsidR="00B90A5E">
      <w:headerReference w:type="even" r:id="rId28"/>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A5E" w:rsidRDefault="00626DE9">
      <w:pPr>
        <w:rPr>
          <w:b/>
          <w:sz w:val="28"/>
        </w:rPr>
      </w:pPr>
      <w:r>
        <w:rPr>
          <w:b/>
          <w:sz w:val="28"/>
        </w:rPr>
        <w:t>Endnotes</w:t>
      </w:r>
    </w:p>
    <w:p w:rsidR="00B90A5E" w:rsidRDefault="00626DE9">
      <w:pPr>
        <w:spacing w:after="240"/>
        <w:rPr>
          <w:rFonts w:ascii="Times" w:hAnsi="Times"/>
          <w:sz w:val="18"/>
        </w:rPr>
      </w:pPr>
      <w:r>
        <w:rPr>
          <w:sz w:val="20"/>
        </w:rPr>
        <w:t>[For ease of reference detach these notes and read them alongside the draft.]</w:t>
      </w:r>
    </w:p>
  </w:endnote>
  <w:endnote w:type="continuationSeparator" w:id="0">
    <w:p w:rsidR="00B90A5E" w:rsidRDefault="00B90A5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A5E" w:rsidRDefault="00B90A5E">
    <w:pPr>
      <w:pStyle w:val="Footer"/>
      <w:tabs>
        <w:tab w:val="clear" w:pos="4153"/>
        <w:tab w:val="right" w:pos="7088"/>
      </w:tabs>
      <w:rPr>
        <w:rStyle w:val="PageNumber"/>
      </w:rPr>
    </w:pPr>
  </w:p>
  <w:p w:rsidR="00B90A5E" w:rsidRDefault="00626D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91F">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91F">
      <w:rPr>
        <w:rFonts w:ascii="Arial" w:hAnsi="Arial" w:cs="Arial"/>
        <w:sz w:val="20"/>
        <w:lang w:val="en-US"/>
      </w:rPr>
      <w:t>01 Oct 2010</w:t>
    </w:r>
    <w:r>
      <w:rPr>
        <w:rFonts w:ascii="Arial" w:hAnsi="Arial" w:cs="Arial"/>
        <w:sz w:val="20"/>
        <w:lang w:val="en-US"/>
      </w:rPr>
      <w:fldChar w:fldCharType="end"/>
    </w:r>
  </w:p>
  <w:p w:rsidR="00B90A5E" w:rsidRDefault="00626DE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A5E" w:rsidRDefault="00B90A5E">
    <w:pPr>
      <w:pStyle w:val="Footer"/>
      <w:tabs>
        <w:tab w:val="clear" w:pos="4153"/>
        <w:tab w:val="right" w:pos="7088"/>
      </w:tabs>
      <w:rPr>
        <w:rStyle w:val="PageNumber"/>
      </w:rPr>
    </w:pPr>
  </w:p>
  <w:p w:rsidR="00B90A5E" w:rsidRDefault="00626D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91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91F">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B90A5E" w:rsidRDefault="00626DE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A5E" w:rsidRDefault="00B90A5E">
    <w:pPr>
      <w:pStyle w:val="Footer"/>
      <w:tabs>
        <w:tab w:val="clear" w:pos="4153"/>
        <w:tab w:val="right" w:pos="7088"/>
      </w:tabs>
      <w:rPr>
        <w:rStyle w:val="PageNumber"/>
      </w:rPr>
    </w:pPr>
  </w:p>
  <w:p w:rsidR="00B90A5E" w:rsidRDefault="00626D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91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91F">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B90A5E" w:rsidRDefault="00626DE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A5E" w:rsidRDefault="00B90A5E">
    <w:pPr>
      <w:pStyle w:val="Footer"/>
      <w:tabs>
        <w:tab w:val="clear" w:pos="4153"/>
        <w:tab w:val="right" w:pos="7088"/>
      </w:tabs>
      <w:rPr>
        <w:rStyle w:val="PageNumber"/>
      </w:rPr>
    </w:pPr>
  </w:p>
  <w:p w:rsidR="00B90A5E" w:rsidRDefault="00626D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91F">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91F">
      <w:rPr>
        <w:rFonts w:ascii="Arial" w:hAnsi="Arial" w:cs="Arial"/>
        <w:sz w:val="20"/>
        <w:lang w:val="en-US"/>
      </w:rPr>
      <w:t>01 Oct 2010</w:t>
    </w:r>
    <w:r>
      <w:rPr>
        <w:rFonts w:ascii="Arial" w:hAnsi="Arial" w:cs="Arial"/>
        <w:sz w:val="20"/>
        <w:lang w:val="en-US"/>
      </w:rPr>
      <w:fldChar w:fldCharType="end"/>
    </w:r>
  </w:p>
  <w:p w:rsidR="00B90A5E" w:rsidRDefault="00626DE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A5E" w:rsidRDefault="00B90A5E">
    <w:pPr>
      <w:pStyle w:val="Footer"/>
      <w:tabs>
        <w:tab w:val="clear" w:pos="4153"/>
        <w:tab w:val="right" w:pos="7088"/>
      </w:tabs>
      <w:rPr>
        <w:rStyle w:val="PageNumber"/>
      </w:rPr>
    </w:pPr>
  </w:p>
  <w:p w:rsidR="00B90A5E" w:rsidRDefault="00626D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91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91F">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90A5E" w:rsidRDefault="00626DE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A5E" w:rsidRDefault="00B90A5E">
    <w:pPr>
      <w:pStyle w:val="Footer"/>
      <w:tabs>
        <w:tab w:val="clear" w:pos="4153"/>
        <w:tab w:val="right" w:pos="7088"/>
      </w:tabs>
      <w:rPr>
        <w:rStyle w:val="PageNumber"/>
      </w:rPr>
    </w:pPr>
  </w:p>
  <w:p w:rsidR="00B90A5E" w:rsidRDefault="00626D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91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91F">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8591F">
      <w:rPr>
        <w:rStyle w:val="PageNumber"/>
        <w:rFonts w:ascii="Arial" w:hAnsi="Arial" w:cs="Arial"/>
        <w:noProof/>
      </w:rPr>
      <w:t>i</w:t>
    </w:r>
    <w:r>
      <w:rPr>
        <w:rStyle w:val="PageNumber"/>
        <w:rFonts w:ascii="Arial" w:hAnsi="Arial" w:cs="Arial"/>
      </w:rPr>
      <w:fldChar w:fldCharType="end"/>
    </w:r>
  </w:p>
  <w:p w:rsidR="00B90A5E" w:rsidRDefault="00626DE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A5E" w:rsidRDefault="00B90A5E">
    <w:pPr>
      <w:pStyle w:val="Footer"/>
      <w:tabs>
        <w:tab w:val="clear" w:pos="4153"/>
        <w:tab w:val="right" w:pos="7088"/>
      </w:tabs>
      <w:rPr>
        <w:rStyle w:val="PageNumber"/>
      </w:rPr>
    </w:pPr>
  </w:p>
  <w:p w:rsidR="00B90A5E" w:rsidRDefault="00626D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8591F">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91F">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91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B90A5E" w:rsidRDefault="00626DE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A5E" w:rsidRDefault="00B90A5E">
    <w:pPr>
      <w:pStyle w:val="Footer"/>
      <w:tabs>
        <w:tab w:val="clear" w:pos="4153"/>
        <w:tab w:val="right" w:pos="7088"/>
      </w:tabs>
      <w:rPr>
        <w:rStyle w:val="PageNumber"/>
      </w:rPr>
    </w:pPr>
  </w:p>
  <w:p w:rsidR="00B90A5E" w:rsidRDefault="00626D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91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91F">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8591F">
      <w:rPr>
        <w:rStyle w:val="CharPageNo"/>
        <w:rFonts w:ascii="Arial" w:hAnsi="Arial"/>
        <w:noProof/>
      </w:rPr>
      <w:t>3</w:t>
    </w:r>
    <w:r>
      <w:rPr>
        <w:rStyle w:val="CharPageNo"/>
        <w:rFonts w:ascii="Arial" w:hAnsi="Arial"/>
      </w:rPr>
      <w:fldChar w:fldCharType="end"/>
    </w:r>
  </w:p>
  <w:p w:rsidR="00B90A5E" w:rsidRDefault="00626DE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A5E" w:rsidRDefault="00B90A5E">
    <w:pPr>
      <w:pStyle w:val="Footer"/>
      <w:tabs>
        <w:tab w:val="clear" w:pos="4153"/>
        <w:tab w:val="right" w:pos="7088"/>
      </w:tabs>
      <w:rPr>
        <w:rStyle w:val="PageNumber"/>
      </w:rPr>
    </w:pPr>
  </w:p>
  <w:p w:rsidR="00B90A5E" w:rsidRDefault="00626D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591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591F">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8591F">
      <w:rPr>
        <w:rStyle w:val="CharPageNo"/>
        <w:rFonts w:ascii="Arial" w:hAnsi="Arial"/>
        <w:noProof/>
      </w:rPr>
      <w:t>1</w:t>
    </w:r>
    <w:r>
      <w:rPr>
        <w:rStyle w:val="CharPageNo"/>
        <w:rFonts w:ascii="Arial" w:hAnsi="Arial"/>
      </w:rPr>
      <w:fldChar w:fldCharType="end"/>
    </w:r>
  </w:p>
  <w:p w:rsidR="00B90A5E" w:rsidRDefault="00626DE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A5E" w:rsidRDefault="00626DE9">
      <w:r>
        <w:separator/>
      </w:r>
    </w:p>
  </w:footnote>
  <w:footnote w:type="continuationSeparator" w:id="0">
    <w:p w:rsidR="00B90A5E" w:rsidRDefault="00626D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A5E" w:rsidRDefault="00626DE9">
    <w:pPr>
      <w:pStyle w:val="headerpartodd"/>
      <w:ind w:left="0" w:firstLine="0"/>
      <w:rPr>
        <w:i/>
      </w:rPr>
    </w:pPr>
    <w:r>
      <w:rPr>
        <w:i/>
      </w:rPr>
      <w:fldChar w:fldCharType="begin"/>
    </w:r>
    <w:r>
      <w:rPr>
        <w:i/>
      </w:rPr>
      <w:instrText xml:space="preserve"> Styleref "Name of Act/Reg" </w:instrText>
    </w:r>
    <w:r>
      <w:rPr>
        <w:i/>
      </w:rPr>
      <w:fldChar w:fldCharType="separate"/>
    </w:r>
    <w:r w:rsidR="00B8591F">
      <w:rPr>
        <w:i/>
        <w:noProof/>
      </w:rPr>
      <w:t>Nurse Practitioners Code of Practice 2004</w:t>
    </w:r>
    <w:r>
      <w:rPr>
        <w:i/>
      </w:rPr>
      <w:fldChar w:fldCharType="end"/>
    </w:r>
  </w:p>
  <w:p w:rsidR="00B90A5E" w:rsidRDefault="00626DE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90A5E" w:rsidRDefault="00626DE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90A5E" w:rsidRDefault="00B90A5E">
    <w:pPr>
      <w:pStyle w:val="headerpart"/>
    </w:pPr>
  </w:p>
  <w:p w:rsidR="00B90A5E" w:rsidRDefault="00B90A5E">
    <w:pPr>
      <w:pBdr>
        <w:bottom w:val="single" w:sz="6" w:space="1" w:color="auto"/>
      </w:pBdr>
      <w:rPr>
        <w:b/>
      </w:rPr>
    </w:pPr>
  </w:p>
  <w:p w:rsidR="00B90A5E" w:rsidRDefault="00B90A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A5E" w:rsidRDefault="00B90A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A5E" w:rsidRDefault="00B90A5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0A5E">
      <w:trPr>
        <w:cantSplit/>
      </w:trPr>
      <w:tc>
        <w:tcPr>
          <w:tcW w:w="7258" w:type="dxa"/>
          <w:gridSpan w:val="2"/>
        </w:tcPr>
        <w:p w:rsidR="00B90A5E" w:rsidRDefault="00626DE9">
          <w:pPr>
            <w:pStyle w:val="HeaderActNameLeft"/>
          </w:pPr>
          <w:fldSimple w:instr=" Styleref &quot;Name of Act/Reg&quot; ">
            <w:r w:rsidR="00B8591F">
              <w:rPr>
                <w:noProof/>
              </w:rPr>
              <w:t>Nurse Practitioners Code of Practice 2004</w:t>
            </w:r>
          </w:fldSimple>
        </w:p>
      </w:tc>
    </w:tr>
    <w:tr w:rsidR="00B90A5E">
      <w:tc>
        <w:tcPr>
          <w:tcW w:w="1548" w:type="dxa"/>
        </w:tcPr>
        <w:p w:rsidR="00B90A5E" w:rsidRDefault="00B90A5E">
          <w:pPr>
            <w:pStyle w:val="HeaderNumberLeft"/>
          </w:pPr>
        </w:p>
      </w:tc>
      <w:tc>
        <w:tcPr>
          <w:tcW w:w="5715" w:type="dxa"/>
        </w:tcPr>
        <w:p w:rsidR="00B90A5E" w:rsidRDefault="00B90A5E">
          <w:pPr>
            <w:pStyle w:val="HeaderTextLeft"/>
          </w:pPr>
        </w:p>
      </w:tc>
    </w:tr>
    <w:tr w:rsidR="00B90A5E">
      <w:tc>
        <w:tcPr>
          <w:tcW w:w="1548" w:type="dxa"/>
        </w:tcPr>
        <w:p w:rsidR="00B90A5E" w:rsidRDefault="00B90A5E">
          <w:pPr>
            <w:pStyle w:val="HeaderNumberLeft"/>
          </w:pPr>
        </w:p>
      </w:tc>
      <w:tc>
        <w:tcPr>
          <w:tcW w:w="5715" w:type="dxa"/>
        </w:tcPr>
        <w:p w:rsidR="00B90A5E" w:rsidRDefault="00B90A5E">
          <w:pPr>
            <w:pStyle w:val="HeaderTextLeft"/>
          </w:pPr>
        </w:p>
      </w:tc>
    </w:tr>
    <w:tr w:rsidR="00B90A5E">
      <w:trPr>
        <w:cantSplit/>
      </w:trPr>
      <w:tc>
        <w:tcPr>
          <w:tcW w:w="7258" w:type="dxa"/>
          <w:gridSpan w:val="2"/>
        </w:tcPr>
        <w:p w:rsidR="00B90A5E" w:rsidRDefault="00626DE9">
          <w:pPr>
            <w:pStyle w:val="HeaderSectionLeft"/>
            <w:rPr>
              <w:b w:val="0"/>
            </w:rPr>
          </w:pPr>
          <w:r>
            <w:rPr>
              <w:b w:val="0"/>
            </w:rPr>
            <w:t>Contents</w:t>
          </w:r>
        </w:p>
      </w:tc>
    </w:tr>
  </w:tbl>
  <w:p w:rsidR="00B90A5E" w:rsidRDefault="00B90A5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90A5E">
      <w:trPr>
        <w:cantSplit/>
      </w:trPr>
      <w:tc>
        <w:tcPr>
          <w:tcW w:w="7258" w:type="dxa"/>
          <w:gridSpan w:val="2"/>
        </w:tcPr>
        <w:p w:rsidR="00B90A5E" w:rsidRDefault="00626DE9">
          <w:pPr>
            <w:pStyle w:val="HeaderActNameRight"/>
            <w:ind w:right="17"/>
          </w:pPr>
          <w:fldSimple w:instr=" Styleref &quot;Name of Act/Reg&quot; ">
            <w:r w:rsidR="00B8591F">
              <w:rPr>
                <w:noProof/>
              </w:rPr>
              <w:t>Nurse Practitioners Code of Practice 2004</w:t>
            </w:r>
          </w:fldSimple>
        </w:p>
      </w:tc>
    </w:tr>
    <w:tr w:rsidR="00B90A5E">
      <w:tc>
        <w:tcPr>
          <w:tcW w:w="5715" w:type="dxa"/>
        </w:tcPr>
        <w:p w:rsidR="00B90A5E" w:rsidRDefault="00B90A5E">
          <w:pPr>
            <w:pStyle w:val="HeaderTextRight"/>
          </w:pPr>
        </w:p>
      </w:tc>
      <w:tc>
        <w:tcPr>
          <w:tcW w:w="1548" w:type="dxa"/>
        </w:tcPr>
        <w:p w:rsidR="00B90A5E" w:rsidRDefault="00B90A5E">
          <w:pPr>
            <w:pStyle w:val="HeaderNumberRight"/>
            <w:ind w:right="17"/>
          </w:pPr>
        </w:p>
      </w:tc>
    </w:tr>
    <w:tr w:rsidR="00B90A5E">
      <w:tc>
        <w:tcPr>
          <w:tcW w:w="5715" w:type="dxa"/>
        </w:tcPr>
        <w:p w:rsidR="00B90A5E" w:rsidRDefault="00B90A5E">
          <w:pPr>
            <w:pStyle w:val="HeaderTextRight"/>
          </w:pPr>
        </w:p>
      </w:tc>
      <w:tc>
        <w:tcPr>
          <w:tcW w:w="1548" w:type="dxa"/>
        </w:tcPr>
        <w:p w:rsidR="00B90A5E" w:rsidRDefault="00B90A5E">
          <w:pPr>
            <w:pStyle w:val="HeaderNumberRight"/>
            <w:ind w:right="17"/>
          </w:pPr>
        </w:p>
      </w:tc>
    </w:tr>
    <w:tr w:rsidR="00B90A5E">
      <w:trPr>
        <w:cantSplit/>
      </w:trPr>
      <w:tc>
        <w:tcPr>
          <w:tcW w:w="7258" w:type="dxa"/>
          <w:gridSpan w:val="2"/>
        </w:tcPr>
        <w:p w:rsidR="00B90A5E" w:rsidRDefault="00626DE9">
          <w:pPr>
            <w:pStyle w:val="HeaderSectionRight"/>
            <w:ind w:right="17"/>
            <w:rPr>
              <w:b w:val="0"/>
            </w:rPr>
          </w:pPr>
          <w:r>
            <w:rPr>
              <w:b w:val="0"/>
            </w:rPr>
            <w:t>Contents</w:t>
          </w:r>
        </w:p>
      </w:tc>
    </w:tr>
  </w:tbl>
  <w:p w:rsidR="00B90A5E" w:rsidRDefault="00B90A5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0A5E">
      <w:trPr>
        <w:cantSplit/>
      </w:trPr>
      <w:tc>
        <w:tcPr>
          <w:tcW w:w="7258" w:type="dxa"/>
          <w:gridSpan w:val="2"/>
        </w:tcPr>
        <w:p w:rsidR="00B90A5E" w:rsidRDefault="00626DE9">
          <w:pPr>
            <w:pStyle w:val="HeaderActNameLeft"/>
          </w:pPr>
          <w:fldSimple w:instr=" Styleref &quot;Name of Act/Reg&quot; ">
            <w:r w:rsidR="00B8591F">
              <w:rPr>
                <w:noProof/>
              </w:rPr>
              <w:t>Nurse Practitioners Code of Practice 2004</w:t>
            </w:r>
          </w:fldSimple>
        </w:p>
      </w:tc>
    </w:tr>
    <w:tr w:rsidR="00B90A5E">
      <w:tc>
        <w:tcPr>
          <w:tcW w:w="1548" w:type="dxa"/>
        </w:tcPr>
        <w:p w:rsidR="00B90A5E" w:rsidRDefault="00626DE9">
          <w:pPr>
            <w:pStyle w:val="HeaderNumberLeft"/>
          </w:pPr>
          <w:r>
            <w:fldChar w:fldCharType="begin"/>
          </w:r>
          <w:r>
            <w:instrText xml:space="preserve"> styleref CharPartNo </w:instrText>
          </w:r>
          <w:r>
            <w:fldChar w:fldCharType="end"/>
          </w:r>
        </w:p>
      </w:tc>
      <w:tc>
        <w:tcPr>
          <w:tcW w:w="5715" w:type="dxa"/>
        </w:tcPr>
        <w:p w:rsidR="00B90A5E" w:rsidRDefault="00626DE9">
          <w:pPr>
            <w:pStyle w:val="HeaderTextLeft"/>
          </w:pPr>
          <w:r>
            <w:fldChar w:fldCharType="begin"/>
          </w:r>
          <w:r>
            <w:instrText xml:space="preserve"> styleref CharPartText </w:instrText>
          </w:r>
          <w:r>
            <w:fldChar w:fldCharType="end"/>
          </w:r>
        </w:p>
      </w:tc>
    </w:tr>
    <w:tr w:rsidR="00B90A5E">
      <w:tc>
        <w:tcPr>
          <w:tcW w:w="1548" w:type="dxa"/>
        </w:tcPr>
        <w:p w:rsidR="00B90A5E" w:rsidRDefault="00626DE9">
          <w:pPr>
            <w:pStyle w:val="HeaderNumberLeft"/>
          </w:pPr>
          <w:r>
            <w:fldChar w:fldCharType="begin"/>
          </w:r>
          <w:r>
            <w:instrText xml:space="preserve"> styleref CharDivNo </w:instrText>
          </w:r>
          <w:r>
            <w:fldChar w:fldCharType="end"/>
          </w:r>
        </w:p>
      </w:tc>
      <w:tc>
        <w:tcPr>
          <w:tcW w:w="5715" w:type="dxa"/>
        </w:tcPr>
        <w:p w:rsidR="00B90A5E" w:rsidRDefault="00626DE9">
          <w:pPr>
            <w:pStyle w:val="HeaderTextLeft"/>
          </w:pPr>
          <w:r>
            <w:fldChar w:fldCharType="begin"/>
          </w:r>
          <w:r>
            <w:instrText xml:space="preserve"> styleref CharDivText </w:instrText>
          </w:r>
          <w:r>
            <w:fldChar w:fldCharType="end"/>
          </w:r>
        </w:p>
      </w:tc>
    </w:tr>
    <w:tr w:rsidR="00B90A5E">
      <w:trPr>
        <w:cantSplit/>
      </w:trPr>
      <w:tc>
        <w:tcPr>
          <w:tcW w:w="7258" w:type="dxa"/>
          <w:gridSpan w:val="2"/>
        </w:tcPr>
        <w:p w:rsidR="00B90A5E" w:rsidRDefault="00626DE9">
          <w:pPr>
            <w:pStyle w:val="HeaderSectionLeft"/>
          </w:pPr>
          <w:r>
            <w:t xml:space="preserve">r. </w:t>
          </w:r>
          <w:fldSimple w:instr=" styleref CharSectno ">
            <w:r w:rsidR="00B8591F">
              <w:rPr>
                <w:noProof/>
              </w:rPr>
              <w:t>1</w:t>
            </w:r>
          </w:fldSimple>
        </w:p>
      </w:tc>
    </w:tr>
  </w:tbl>
  <w:p w:rsidR="00B90A5E" w:rsidRDefault="00B90A5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90A5E">
      <w:trPr>
        <w:cantSplit/>
      </w:trPr>
      <w:tc>
        <w:tcPr>
          <w:tcW w:w="7258" w:type="dxa"/>
          <w:gridSpan w:val="2"/>
        </w:tcPr>
        <w:p w:rsidR="00B90A5E" w:rsidRDefault="00626DE9">
          <w:pPr>
            <w:pStyle w:val="HeaderActNameRight"/>
            <w:ind w:right="17"/>
          </w:pPr>
          <w:fldSimple w:instr=" Styleref &quot;Name of Act/Reg&quot; ">
            <w:r w:rsidR="00B8591F">
              <w:rPr>
                <w:noProof/>
              </w:rPr>
              <w:t>Nurse Practitioners Code of Practice 2004</w:t>
            </w:r>
          </w:fldSimple>
        </w:p>
      </w:tc>
    </w:tr>
    <w:tr w:rsidR="00B90A5E">
      <w:tc>
        <w:tcPr>
          <w:tcW w:w="5715" w:type="dxa"/>
        </w:tcPr>
        <w:p w:rsidR="00B90A5E" w:rsidRDefault="00626DE9">
          <w:pPr>
            <w:pStyle w:val="HeaderTextRight"/>
          </w:pPr>
          <w:r>
            <w:fldChar w:fldCharType="begin"/>
          </w:r>
          <w:r>
            <w:instrText xml:space="preserve"> styleref CharPartText </w:instrText>
          </w:r>
          <w:r>
            <w:fldChar w:fldCharType="end"/>
          </w:r>
        </w:p>
      </w:tc>
      <w:tc>
        <w:tcPr>
          <w:tcW w:w="1548" w:type="dxa"/>
        </w:tcPr>
        <w:p w:rsidR="00B90A5E" w:rsidRDefault="00626DE9">
          <w:pPr>
            <w:pStyle w:val="HeaderNumberRight"/>
            <w:ind w:right="17"/>
          </w:pPr>
          <w:r>
            <w:fldChar w:fldCharType="begin"/>
          </w:r>
          <w:r>
            <w:instrText xml:space="preserve"> styleref CharPartNo </w:instrText>
          </w:r>
          <w:r>
            <w:fldChar w:fldCharType="end"/>
          </w:r>
        </w:p>
      </w:tc>
    </w:tr>
    <w:tr w:rsidR="00B90A5E">
      <w:tc>
        <w:tcPr>
          <w:tcW w:w="5715" w:type="dxa"/>
        </w:tcPr>
        <w:p w:rsidR="00B90A5E" w:rsidRDefault="00626DE9">
          <w:pPr>
            <w:pStyle w:val="HeaderTextRight"/>
          </w:pPr>
          <w:r>
            <w:fldChar w:fldCharType="begin"/>
          </w:r>
          <w:r>
            <w:instrText xml:space="preserve"> styleref CharDivText </w:instrText>
          </w:r>
          <w:r>
            <w:fldChar w:fldCharType="end"/>
          </w:r>
        </w:p>
      </w:tc>
      <w:tc>
        <w:tcPr>
          <w:tcW w:w="1548" w:type="dxa"/>
        </w:tcPr>
        <w:p w:rsidR="00B90A5E" w:rsidRDefault="00626DE9">
          <w:pPr>
            <w:pStyle w:val="HeaderNumberRight"/>
            <w:ind w:right="17"/>
          </w:pPr>
          <w:r>
            <w:fldChar w:fldCharType="begin"/>
          </w:r>
          <w:r>
            <w:instrText xml:space="preserve"> styleref CharDivNo </w:instrText>
          </w:r>
          <w:r>
            <w:fldChar w:fldCharType="end"/>
          </w:r>
        </w:p>
      </w:tc>
    </w:tr>
    <w:tr w:rsidR="00B90A5E">
      <w:trPr>
        <w:cantSplit/>
      </w:trPr>
      <w:tc>
        <w:tcPr>
          <w:tcW w:w="7258" w:type="dxa"/>
          <w:gridSpan w:val="2"/>
        </w:tcPr>
        <w:p w:rsidR="00B90A5E" w:rsidRDefault="00626DE9">
          <w:pPr>
            <w:pStyle w:val="HeaderSectionRight"/>
            <w:ind w:right="17"/>
          </w:pPr>
          <w:r>
            <w:t xml:space="preserve">r. </w:t>
          </w:r>
          <w:fldSimple w:instr=" styleref CharSectno ">
            <w:r w:rsidR="00B8591F">
              <w:rPr>
                <w:noProof/>
              </w:rPr>
              <w:t>1</w:t>
            </w:r>
          </w:fldSimple>
        </w:p>
      </w:tc>
    </w:tr>
  </w:tbl>
  <w:p w:rsidR="00B90A5E" w:rsidRDefault="00B90A5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A5E" w:rsidRDefault="00B90A5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0A5E">
      <w:trPr>
        <w:cantSplit/>
      </w:trPr>
      <w:tc>
        <w:tcPr>
          <w:tcW w:w="7258" w:type="dxa"/>
          <w:gridSpan w:val="2"/>
        </w:tcPr>
        <w:p w:rsidR="00B90A5E" w:rsidRDefault="00626DE9">
          <w:pPr>
            <w:pStyle w:val="HeaderActNameLeft"/>
          </w:pPr>
          <w:fldSimple w:instr=" Styleref &quot;Name of Act/Reg&quot; ">
            <w:r w:rsidR="00B8591F">
              <w:rPr>
                <w:noProof/>
              </w:rPr>
              <w:t>Nurse Practitioners Code of Practice 2004</w:t>
            </w:r>
          </w:fldSimple>
        </w:p>
      </w:tc>
    </w:tr>
    <w:tr w:rsidR="00B90A5E">
      <w:tc>
        <w:tcPr>
          <w:tcW w:w="1548" w:type="dxa"/>
        </w:tcPr>
        <w:p w:rsidR="00B90A5E" w:rsidRDefault="00B90A5E">
          <w:pPr>
            <w:pStyle w:val="HeaderNumberLeft"/>
          </w:pPr>
        </w:p>
      </w:tc>
      <w:tc>
        <w:tcPr>
          <w:tcW w:w="5715" w:type="dxa"/>
        </w:tcPr>
        <w:p w:rsidR="00B90A5E" w:rsidRDefault="00B90A5E">
          <w:pPr>
            <w:pStyle w:val="HeaderTextLeft"/>
          </w:pPr>
        </w:p>
      </w:tc>
    </w:tr>
    <w:tr w:rsidR="00B90A5E">
      <w:tc>
        <w:tcPr>
          <w:tcW w:w="1548" w:type="dxa"/>
        </w:tcPr>
        <w:p w:rsidR="00B90A5E" w:rsidRDefault="00B90A5E">
          <w:pPr>
            <w:pStyle w:val="HeaderNumberLeft"/>
          </w:pPr>
        </w:p>
      </w:tc>
      <w:tc>
        <w:tcPr>
          <w:tcW w:w="5715" w:type="dxa"/>
        </w:tcPr>
        <w:p w:rsidR="00B90A5E" w:rsidRDefault="00B90A5E">
          <w:pPr>
            <w:pStyle w:val="HeaderTextLeft"/>
          </w:pPr>
        </w:p>
      </w:tc>
    </w:tr>
    <w:tr w:rsidR="00B90A5E">
      <w:trPr>
        <w:cantSplit/>
      </w:trPr>
      <w:tc>
        <w:tcPr>
          <w:tcW w:w="7258" w:type="dxa"/>
          <w:gridSpan w:val="2"/>
        </w:tcPr>
        <w:p w:rsidR="00B90A5E" w:rsidRDefault="00B90A5E">
          <w:pPr>
            <w:pStyle w:val="HeaderSectionRight"/>
            <w:ind w:right="17"/>
            <w:jc w:val="left"/>
          </w:pPr>
        </w:p>
      </w:tc>
    </w:tr>
  </w:tbl>
  <w:p w:rsidR="00B90A5E" w:rsidRDefault="00B90A5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90A5E">
      <w:trPr>
        <w:cantSplit/>
      </w:trPr>
      <w:tc>
        <w:tcPr>
          <w:tcW w:w="7258" w:type="dxa"/>
          <w:gridSpan w:val="2"/>
        </w:tcPr>
        <w:p w:rsidR="00B90A5E" w:rsidRDefault="00626DE9">
          <w:pPr>
            <w:pStyle w:val="HeaderActNameRight"/>
            <w:ind w:right="17"/>
          </w:pPr>
          <w:fldSimple w:instr=" Styleref &quot;Name of Act/Reg&quot; ">
            <w:r w:rsidR="00B8591F">
              <w:rPr>
                <w:noProof/>
              </w:rPr>
              <w:t>Nurse Practitioners Code of Practice 2004</w:t>
            </w:r>
          </w:fldSimple>
        </w:p>
      </w:tc>
    </w:tr>
    <w:tr w:rsidR="00B90A5E">
      <w:tc>
        <w:tcPr>
          <w:tcW w:w="5715" w:type="dxa"/>
        </w:tcPr>
        <w:p w:rsidR="00B90A5E" w:rsidRDefault="00B90A5E">
          <w:pPr>
            <w:pStyle w:val="HeaderTextRight"/>
          </w:pPr>
        </w:p>
      </w:tc>
      <w:tc>
        <w:tcPr>
          <w:tcW w:w="1548" w:type="dxa"/>
        </w:tcPr>
        <w:p w:rsidR="00B90A5E" w:rsidRDefault="00B90A5E">
          <w:pPr>
            <w:pStyle w:val="HeaderNumberRight"/>
            <w:ind w:right="17"/>
          </w:pPr>
        </w:p>
      </w:tc>
    </w:tr>
    <w:tr w:rsidR="00B90A5E">
      <w:tc>
        <w:tcPr>
          <w:tcW w:w="5715" w:type="dxa"/>
        </w:tcPr>
        <w:p w:rsidR="00B90A5E" w:rsidRDefault="00B90A5E">
          <w:pPr>
            <w:pStyle w:val="HeaderTextRight"/>
          </w:pPr>
        </w:p>
      </w:tc>
      <w:tc>
        <w:tcPr>
          <w:tcW w:w="1548" w:type="dxa"/>
        </w:tcPr>
        <w:p w:rsidR="00B90A5E" w:rsidRDefault="00B90A5E">
          <w:pPr>
            <w:pStyle w:val="HeaderNumberRight"/>
            <w:ind w:right="17"/>
          </w:pPr>
        </w:p>
      </w:tc>
    </w:tr>
    <w:tr w:rsidR="00B90A5E">
      <w:trPr>
        <w:cantSplit/>
      </w:trPr>
      <w:tc>
        <w:tcPr>
          <w:tcW w:w="7258" w:type="dxa"/>
          <w:gridSpan w:val="2"/>
        </w:tcPr>
        <w:p w:rsidR="00B90A5E" w:rsidRDefault="00B90A5E">
          <w:pPr>
            <w:pStyle w:val="HeaderSectionRight"/>
            <w:ind w:right="17"/>
          </w:pPr>
        </w:p>
      </w:tc>
    </w:tr>
  </w:tbl>
  <w:p w:rsidR="00B90A5E" w:rsidRDefault="00B90A5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A5E" w:rsidRDefault="00B90A5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A5E" w:rsidRDefault="00B90A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AA22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37441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D2017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3A84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727E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4E98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24B9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B4F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4FAD0A8"/>
    <w:lvl w:ilvl="0">
      <w:start w:val="1"/>
      <w:numFmt w:val="decimal"/>
      <w:pStyle w:val="ListNumber"/>
      <w:lvlText w:val="%1."/>
      <w:lvlJc w:val="left"/>
      <w:pPr>
        <w:tabs>
          <w:tab w:val="num" w:pos="360"/>
        </w:tabs>
        <w:ind w:left="360" w:hanging="360"/>
      </w:pPr>
    </w:lvl>
  </w:abstractNum>
  <w:abstractNum w:abstractNumId="9">
    <w:nsid w:val="FFFFFF89"/>
    <w:multiLevelType w:val="singleLevel"/>
    <w:tmpl w:val="02C0C0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7503B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E840B7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8"/>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DE9"/>
    <w:rsid w:val="00626DE9"/>
    <w:rsid w:val="00815B2F"/>
    <w:rsid w:val="00B8591F"/>
    <w:rsid w:val="00B90A5E"/>
    <w:rsid w:val="00EC49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844</Words>
  <Characters>4352</Characters>
  <Application>Microsoft Office Word</Application>
  <DocSecurity>0</DocSecurity>
  <Lines>140</Lines>
  <Paragraphs>89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5107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Practitioners Code of Practice 2004 - 00-d0-01</dc:title>
  <dc:subject>Subsidiary Legislation</dc:subject>
  <dc:creator>Matthew Pether</dc:creator>
  <cp:keywords>Brought into Production 7 June 2002</cp:keywords>
  <dc:description/>
  <cp:lastModifiedBy>svcMRProcess</cp:lastModifiedBy>
  <cp:revision>4</cp:revision>
  <cp:lastPrinted>2004-08-24T04:02:00Z</cp:lastPrinted>
  <dcterms:created xsi:type="dcterms:W3CDTF">2013-02-16T13:15:00Z</dcterms:created>
  <dcterms:modified xsi:type="dcterms:W3CDTF">2013-02-16T13:15:00Z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Jan 2005 p 95-6</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8861</vt:i4>
  </property>
  <property fmtid="{D5CDD505-2E9C-101B-9397-08002B2CF9AE}" pid="6" name="AsAtDate">
    <vt:lpwstr>01 Oct 2010</vt:lpwstr>
  </property>
  <property fmtid="{D5CDD505-2E9C-101B-9397-08002B2CF9AE}" pid="7" name="Suffix">
    <vt:lpwstr>00-d0-01</vt:lpwstr>
  </property>
</Properties>
</file>