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Petroleum (Submerged Lands) Act 1982</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(Submerged Lands) Regulations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September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_Toc273597380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_Toc273597381 \h </w:instrText>
      </w:r>
      <w:r>
        <w:fldChar w:fldCharType="separate"/>
      </w:r>
      <w:r>
        <w:t>1</w:t>
      </w:r>
      <w:r>
        <w:fldChar w:fldCharType="end"/>
      </w:r>
    </w:p>
    <w:p>
      <w:pPr>
        <w:pStyle w:val="TOC8"/>
        <w:rPr>
          <w:sz w:val="24"/>
          <w:szCs w:val="24"/>
        </w:rPr>
      </w:pPr>
      <w:r>
        <w:rPr>
          <w:szCs w:val="24"/>
        </w:rPr>
        <w:t>2A.</w:t>
      </w:r>
      <w:r>
        <w:rPr>
          <w:szCs w:val="24"/>
        </w:rPr>
        <w:tab/>
        <w:t>Terms used</w:t>
      </w:r>
      <w:r>
        <w:tab/>
      </w:r>
      <w:r>
        <w:fldChar w:fldCharType="begin"/>
      </w:r>
      <w:r>
        <w:instrText xml:space="preserve"> PAGEREF _Toc273597382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fees, rates and sums</w:t>
      </w:r>
      <w:r>
        <w:tab/>
      </w:r>
      <w:r>
        <w:fldChar w:fldCharType="begin"/>
      </w:r>
      <w:r>
        <w:instrText xml:space="preserve"> PAGEREF _Toc273597383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 of instrument of transfer</w:t>
      </w:r>
      <w:r>
        <w:tab/>
      </w:r>
      <w:r>
        <w:fldChar w:fldCharType="begin"/>
      </w:r>
      <w:r>
        <w:instrText xml:space="preserve"> PAGEREF _Toc273597384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Instrument under Act s. 81(4)(b)</w:t>
      </w:r>
      <w:r>
        <w:tab/>
      </w:r>
      <w:r>
        <w:fldChar w:fldCharType="begin"/>
      </w:r>
      <w:r>
        <w:instrText xml:space="preserve"> PAGEREF _Toc273597385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Royalty value — deductible imposts</w:t>
      </w:r>
      <w:r>
        <w:tab/>
      </w:r>
      <w:r>
        <w:fldChar w:fldCharType="begin"/>
      </w:r>
      <w:r>
        <w:instrText xml:space="preserve"> PAGEREF _Toc273597386 \h </w:instrText>
      </w:r>
      <w:r>
        <w:fldChar w:fldCharType="separate"/>
      </w:r>
      <w:r>
        <w:t>5</w:t>
      </w:r>
      <w:r>
        <w:fldChar w:fldCharType="end"/>
      </w:r>
    </w:p>
    <w:p>
      <w:pPr>
        <w:pStyle w:val="TOC8"/>
        <w:rPr>
          <w:sz w:val="24"/>
          <w:szCs w:val="24"/>
        </w:rPr>
      </w:pPr>
      <w:r>
        <w:rPr>
          <w:szCs w:val="24"/>
        </w:rPr>
        <w:t>9.</w:t>
      </w:r>
      <w:r>
        <w:rPr>
          <w:szCs w:val="24"/>
        </w:rPr>
        <w:tab/>
        <w:t>Application of Geocentric Datum of Australia</w:t>
      </w:r>
      <w:r>
        <w:tab/>
      </w:r>
      <w:r>
        <w:fldChar w:fldCharType="begin"/>
      </w:r>
      <w:r>
        <w:instrText xml:space="preserve"> PAGEREF _Toc273597387 \h </w:instrText>
      </w:r>
      <w:r>
        <w:fldChar w:fldCharType="separate"/>
      </w:r>
      <w:r>
        <w:t>6</w:t>
      </w:r>
      <w:r>
        <w:fldChar w:fldCharType="end"/>
      </w:r>
    </w:p>
    <w:p>
      <w:pPr>
        <w:pStyle w:val="TOC8"/>
        <w:rPr>
          <w:sz w:val="24"/>
          <w:szCs w:val="24"/>
        </w:rPr>
      </w:pPr>
      <w:r>
        <w:rPr>
          <w:szCs w:val="24"/>
        </w:rPr>
        <w:t>10.</w:t>
      </w:r>
      <w:r>
        <w:rPr>
          <w:szCs w:val="24"/>
        </w:rPr>
        <w:tab/>
        <w:t>Application of GDA to certain instruments</w:t>
      </w:r>
      <w:r>
        <w:tab/>
      </w:r>
      <w:r>
        <w:fldChar w:fldCharType="begin"/>
      </w:r>
      <w:r>
        <w:instrText xml:space="preserve"> PAGEREF _Toc273597388 \h </w:instrText>
      </w:r>
      <w:r>
        <w:fldChar w:fldCharType="separate"/>
      </w:r>
      <w:r>
        <w:t>7</w:t>
      </w:r>
      <w:r>
        <w:fldChar w:fldCharType="end"/>
      </w:r>
    </w:p>
    <w:p>
      <w:pPr>
        <w:pStyle w:val="TOC8"/>
        <w:rPr>
          <w:sz w:val="24"/>
          <w:szCs w:val="24"/>
        </w:rPr>
      </w:pPr>
      <w:r>
        <w:rPr>
          <w:szCs w:val="24"/>
        </w:rPr>
        <w:t>11.</w:t>
      </w:r>
      <w:r>
        <w:rPr>
          <w:szCs w:val="24"/>
        </w:rPr>
        <w:tab/>
        <w:t>Application of Australian Geodetic Datum</w:t>
      </w:r>
      <w:r>
        <w:tab/>
      </w:r>
      <w:r>
        <w:fldChar w:fldCharType="begin"/>
      </w:r>
      <w:r>
        <w:instrText xml:space="preserve"> PAGEREF _Toc273597389 \h </w:instrText>
      </w:r>
      <w:r>
        <w:fldChar w:fldCharType="separate"/>
      </w:r>
      <w:r>
        <w:t>8</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szCs w:val="26"/>
        </w:rPr>
      </w:pPr>
      <w:r>
        <w:rPr>
          <w:szCs w:val="28"/>
        </w:rPr>
        <w:t>Schedule 2 — Forms</w:t>
      </w:r>
      <w:r>
        <w:rPr>
          <w:szCs w:val="26"/>
        </w:rPr>
        <w:t xml:space="preserve"> </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_Toc273597393 \h </w:instrText>
      </w:r>
      <w:r>
        <w:fldChar w:fldCharType="separate"/>
      </w:r>
      <w:r>
        <w:t>13</w:t>
      </w:r>
      <w:r>
        <w:fldChar w:fldCharType="end"/>
      </w:r>
    </w:p>
    <w:p>
      <w:pPr>
        <w:pStyle w:val="TOC2"/>
        <w:tabs>
          <w:tab w:val="right" w:pos="7086"/>
        </w:tabs>
        <w:rPr>
          <w:b w:val="0"/>
          <w:sz w:val="24"/>
          <w:szCs w:val="24"/>
        </w:rPr>
      </w:pPr>
      <w:r>
        <w:rPr>
          <w:szCs w:val="26"/>
        </w:rPr>
        <w:t>Defined Terms</w:t>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2440"/>
                  <wp:effectExtent l="0" t="0" r="0" b="381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244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w:t>
            </w:r>
            <w:r>
              <w:rPr>
                <w:b/>
                <w:snapToGrid w:val="0"/>
                <w:sz w:val="22"/>
              </w:rPr>
              <w:t xml:space="preserve"> September 2010</w:t>
            </w:r>
          </w:p>
        </w:tc>
      </w:tr>
    </w:tbl>
    <w:p>
      <w:pPr>
        <w:pStyle w:val="WA"/>
        <w:spacing w:before="120"/>
      </w:pPr>
      <w:r>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bookmarkStart w:id="4" w:name="_Toc273597380"/>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27359738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273597382"/>
      <w:r>
        <w:rPr>
          <w:rStyle w:val="CharSectno"/>
        </w:rPr>
        <w:t>2A</w:t>
      </w:r>
      <w:r>
        <w:t>.</w:t>
      </w:r>
      <w:r>
        <w:tab/>
      </w:r>
      <w:bookmarkEnd w:id="9"/>
      <w:bookmarkEnd w:id="10"/>
      <w:bookmarkEnd w:id="11"/>
      <w:r>
        <w:t>Terms used</w:t>
      </w:r>
      <w:bookmarkEnd w:id="12"/>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3" w:name="_Toc501857724"/>
      <w:bookmarkStart w:id="14" w:name="_Toc34127024"/>
      <w:bookmarkStart w:id="15" w:name="_Toc34198099"/>
      <w:bookmarkStart w:id="16" w:name="_Toc273597383"/>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$40.00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$40.00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$40.00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$40.00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$1 674.00.</w:t>
      </w:r>
    </w:p>
    <w:p>
      <w:pPr>
        <w:pStyle w:val="Subsection"/>
        <w:rPr>
          <w:snapToGrid w:val="0"/>
        </w:rPr>
      </w:pPr>
      <w:r>
        <w:rPr>
          <w:snapToGrid w:val="0"/>
        </w:rPr>
        <w:tab/>
        <w:t>(7)</w:t>
      </w:r>
      <w:r>
        <w:rPr>
          <w:snapToGrid w:val="0"/>
        </w:rPr>
        <w:tab/>
        <w:t>For the purposes of section 139(b) of the Act, the prescribed rate is a rate of </w:t>
      </w:r>
      <w:r>
        <w:t>$80.00.</w:t>
      </w:r>
    </w:p>
    <w:p>
      <w:pPr>
        <w:pStyle w:val="Subsection"/>
        <w:rPr>
          <w:snapToGrid w:val="0"/>
        </w:rPr>
      </w:pPr>
      <w:r>
        <w:rPr>
          <w:snapToGrid w:val="0"/>
        </w:rPr>
        <w:tab/>
        <w:t>(8)</w:t>
      </w:r>
      <w:r>
        <w:rPr>
          <w:snapToGrid w:val="0"/>
        </w:rPr>
        <w:tab/>
        <w:t>For the purposes of section 139A of the Act, the prescribed rate is a rate of</w:t>
      </w:r>
      <w:r>
        <w:t xml:space="preserve"> $9 598.00.</w:t>
      </w:r>
    </w:p>
    <w:p>
      <w:pPr>
        <w:pStyle w:val="Subsection"/>
        <w:rPr>
          <w:snapToGrid w:val="0"/>
        </w:rPr>
      </w:pPr>
      <w:r>
        <w:rPr>
          <w:snapToGrid w:val="0"/>
        </w:rPr>
        <w:tab/>
        <w:t>(9)</w:t>
      </w:r>
      <w:r>
        <w:rPr>
          <w:snapToGrid w:val="0"/>
        </w:rPr>
        <w:tab/>
        <w:t>For the purposes of section 140 of the Act, the prescribed rate is a rate of</w:t>
      </w:r>
      <w:r>
        <w:t xml:space="preserve"> $23 455.00.</w:t>
      </w:r>
    </w:p>
    <w:p>
      <w:pPr>
        <w:pStyle w:val="Footnotesection"/>
      </w:pPr>
      <w:r>
        <w:tab/>
        <w:t>[Regulation 3 amended in Gazette 22 Jul 1994 p. 3781; 27 Jun 2000 p. 3253; 28 Jun 2002 p. 3093; 28 Feb 2003 p. 674; 23 Jun 2009 p. 2475; 9 Feb 2010 p. 270; 11 May 2010 p. 1819</w:t>
      </w:r>
      <w:r>
        <w:noBreakHyphen/>
        <w:t xml:space="preserve">20; 16 Jul 2010 p. 3360.] </w:t>
      </w:r>
    </w:p>
    <w:p>
      <w:pPr>
        <w:pStyle w:val="Ednotesection"/>
      </w:pPr>
      <w:r>
        <w:t>[</w:t>
      </w:r>
      <w:r>
        <w:rPr>
          <w:b/>
          <w:bCs/>
        </w:rPr>
        <w:t>3A.</w:t>
      </w:r>
      <w:r>
        <w:rPr>
          <w:b/>
          <w:bCs/>
        </w:rPr>
        <w:tab/>
      </w:r>
      <w:r>
        <w:t>Deleted in Gazette 23 Jun 2009 p. 2475.]</w:t>
      </w:r>
    </w:p>
    <w:p>
      <w:pPr>
        <w:pStyle w:val="Heading5"/>
        <w:rPr>
          <w:snapToGrid w:val="0"/>
        </w:rPr>
      </w:pPr>
      <w:bookmarkStart w:id="17" w:name="_Toc501857726"/>
      <w:bookmarkStart w:id="18" w:name="_Toc34127026"/>
      <w:bookmarkStart w:id="19" w:name="_Toc34198101"/>
      <w:bookmarkStart w:id="20" w:name="_Toc273597384"/>
      <w:r>
        <w:rPr>
          <w:rStyle w:val="CharSectno"/>
        </w:rPr>
        <w:t>4</w:t>
      </w:r>
      <w:r>
        <w:rPr>
          <w:snapToGrid w:val="0"/>
        </w:rPr>
        <w:t>.</w:t>
      </w:r>
      <w:r>
        <w:rPr>
          <w:snapToGrid w:val="0"/>
        </w:rPr>
        <w:tab/>
        <w:t>Form of instrument of transfer</w:t>
      </w:r>
      <w:bookmarkEnd w:id="17"/>
      <w:bookmarkEnd w:id="18"/>
      <w:bookmarkEnd w:id="19"/>
      <w:bookmarkEnd w:id="20"/>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1" w:name="_Toc501857727"/>
      <w:bookmarkStart w:id="22" w:name="_Toc34127027"/>
      <w:bookmarkStart w:id="23" w:name="_Toc34198102"/>
      <w:bookmarkStart w:id="24" w:name="_Toc273597385"/>
      <w:r>
        <w:rPr>
          <w:rStyle w:val="CharSectno"/>
        </w:rPr>
        <w:t>5</w:t>
      </w:r>
      <w:r>
        <w:rPr>
          <w:snapToGrid w:val="0"/>
        </w:rPr>
        <w:t>.</w:t>
      </w:r>
      <w:r>
        <w:rPr>
          <w:snapToGrid w:val="0"/>
        </w:rPr>
        <w:tab/>
        <w:t>Instrument under Act s. 81(4)(b)</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5" w:name="_Toc501857730"/>
      <w:bookmarkStart w:id="26" w:name="_Toc34127030"/>
      <w:bookmarkStart w:id="27" w:name="_Toc34198105"/>
      <w:r>
        <w:t>[</w:t>
      </w:r>
      <w:r>
        <w:rPr>
          <w:b/>
          <w:bCs/>
        </w:rPr>
        <w:t>6, 7.</w:t>
      </w:r>
      <w:r>
        <w:rPr>
          <w:b/>
          <w:bCs/>
        </w:rPr>
        <w:tab/>
      </w:r>
      <w:r>
        <w:t>Deleted in Gazette 23 Jun 2009 p. 2475.]</w:t>
      </w:r>
    </w:p>
    <w:p>
      <w:pPr>
        <w:pStyle w:val="Heading5"/>
        <w:rPr>
          <w:snapToGrid w:val="0"/>
        </w:rPr>
      </w:pPr>
      <w:bookmarkStart w:id="28" w:name="_Toc273597386"/>
      <w:r>
        <w:rPr>
          <w:rStyle w:val="CharSectno"/>
        </w:rPr>
        <w:t>8</w:t>
      </w:r>
      <w:r>
        <w:rPr>
          <w:snapToGrid w:val="0"/>
        </w:rPr>
        <w:t>.</w:t>
      </w:r>
      <w:r>
        <w:rPr>
          <w:snapToGrid w:val="0"/>
        </w:rPr>
        <w:tab/>
        <w:t>Royalty value — deductible imposts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29" w:name="_Toc501857731"/>
      <w:bookmarkStart w:id="30" w:name="_Toc34127031"/>
      <w:bookmarkStart w:id="31" w:name="_Toc34198106"/>
      <w:bookmarkStart w:id="32" w:name="_Toc273597387"/>
      <w:r>
        <w:rPr>
          <w:rStyle w:val="CharSectno"/>
        </w:rPr>
        <w:t>9</w:t>
      </w:r>
      <w:r>
        <w:t>.</w:t>
      </w:r>
      <w:r>
        <w:tab/>
        <w:t>Application of Geocentric Datum of Australia</w:t>
      </w:r>
      <w:bookmarkEnd w:id="29"/>
      <w:bookmarkEnd w:id="30"/>
      <w:bookmarkEnd w:id="31"/>
      <w:bookmarkEnd w:id="3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33" w:name="_Toc501857732"/>
      <w:bookmarkStart w:id="34" w:name="_Toc34127032"/>
      <w:bookmarkStart w:id="35" w:name="_Toc34198107"/>
      <w:bookmarkStart w:id="36" w:name="_Toc273597388"/>
      <w:r>
        <w:rPr>
          <w:rStyle w:val="CharSectno"/>
        </w:rPr>
        <w:t>10</w:t>
      </w:r>
      <w:r>
        <w:t>.</w:t>
      </w:r>
      <w:r>
        <w:tab/>
        <w:t>Application of GDA to certain instruments</w:t>
      </w:r>
      <w:bookmarkEnd w:id="33"/>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37" w:name="_Toc501857733"/>
      <w:bookmarkStart w:id="38" w:name="_Toc34127033"/>
      <w:bookmarkStart w:id="39" w:name="_Toc34198108"/>
      <w:bookmarkStart w:id="40" w:name="_Toc273597389"/>
      <w:r>
        <w:rPr>
          <w:rStyle w:val="CharSectno"/>
        </w:rPr>
        <w:t>11</w:t>
      </w:r>
      <w:r>
        <w:t>.</w:t>
      </w:r>
      <w:r>
        <w:tab/>
        <w:t>Application of Australian Geodetic Datum</w:t>
      </w:r>
      <w:bookmarkEnd w:id="37"/>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1" w:name="_Toc266972226"/>
      <w:bookmarkStart w:id="42" w:name="_Toc270335436"/>
      <w:bookmarkStart w:id="43" w:name="_Toc270335517"/>
      <w:bookmarkStart w:id="44" w:name="_Toc271527797"/>
      <w:bookmarkStart w:id="45" w:name="_Toc271528296"/>
      <w:bookmarkStart w:id="46" w:name="_Toc273597390"/>
      <w:bookmarkStart w:id="47" w:name="_Toc34198110"/>
      <w:bookmarkStart w:id="48" w:name="_Toc233612461"/>
      <w:bookmarkStart w:id="49" w:name="_Toc233612479"/>
      <w:bookmarkStart w:id="50" w:name="_Toc233704718"/>
      <w:bookmarkStart w:id="51" w:name="_Toc253405285"/>
      <w:bookmarkStart w:id="52" w:name="_Toc253405385"/>
      <w:bookmarkStart w:id="53" w:name="_Toc261269660"/>
      <w:r>
        <w:rPr>
          <w:rStyle w:val="CharSchNo"/>
        </w:rPr>
        <w:t>Schedule 1</w:t>
      </w:r>
      <w:r>
        <w:t> — </w:t>
      </w:r>
      <w:r>
        <w:rPr>
          <w:rStyle w:val="CharSchText"/>
        </w:rPr>
        <w:t>Prescribed fees</w:t>
      </w:r>
      <w:bookmarkEnd w:id="41"/>
      <w:bookmarkEnd w:id="42"/>
      <w:bookmarkEnd w:id="43"/>
      <w:bookmarkEnd w:id="44"/>
      <w:bookmarkEnd w:id="45"/>
      <w:bookmarkEnd w:id="46"/>
    </w:p>
    <w:p>
      <w:pPr>
        <w:pStyle w:val="yShoulderClause"/>
      </w:pPr>
      <w:r>
        <w:t>[r. 3(1)]</w:t>
      </w:r>
    </w:p>
    <w:p>
      <w:pPr>
        <w:pStyle w:val="yFootnoteheading"/>
        <w:spacing w:after="120"/>
      </w:pPr>
      <w:r>
        <w:tab/>
        <w:t>[Heading inserted in Gazette 16 Jul 2010 p. 3360.]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4 788.00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4 788.00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1 916.00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1 916.00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1 916.00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1 916.00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4 788.00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958.00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1 916.00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4 788.00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1 916.00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958.00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95.00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95.00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20.00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48.00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958.00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105.00</w:t>
            </w:r>
          </w:p>
        </w:tc>
      </w:tr>
    </w:tbl>
    <w:p>
      <w:pPr>
        <w:pStyle w:val="yFootnotesection"/>
      </w:pPr>
      <w:r>
        <w:tab/>
        <w:t>[Schedule 1 inserted in Gazette 16 Jul 2010 p. 3360</w:t>
      </w:r>
      <w:r>
        <w:noBreakHyphen/>
        <w:t>1.]</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54" w:name="_Toc266972227"/>
      <w:bookmarkStart w:id="55" w:name="_Toc270335437"/>
      <w:bookmarkStart w:id="56" w:name="_Toc270335518"/>
      <w:bookmarkStart w:id="57" w:name="_Toc271527798"/>
      <w:bookmarkStart w:id="58" w:name="_Toc271528297"/>
    </w:p>
    <w:p>
      <w:pPr>
        <w:pStyle w:val="yScheduleHeading"/>
      </w:pPr>
      <w:bookmarkStart w:id="59" w:name="_Toc273597391"/>
      <w:r>
        <w:rPr>
          <w:rStyle w:val="CharSchNo"/>
        </w:rPr>
        <w:t>Schedule 2</w:t>
      </w:r>
      <w:bookmarkEnd w:id="47"/>
      <w:bookmarkEnd w:id="48"/>
      <w:bookmarkEnd w:id="49"/>
      <w:bookmarkEnd w:id="50"/>
      <w:bookmarkEnd w:id="51"/>
      <w:bookmarkEnd w:id="52"/>
      <w:bookmarkEnd w:id="53"/>
      <w:bookmarkEnd w:id="54"/>
      <w:bookmarkEnd w:id="55"/>
      <w:bookmarkEnd w:id="56"/>
      <w:bookmarkEnd w:id="57"/>
      <w:bookmarkEnd w:id="58"/>
      <w:bookmarkEnd w:id="59"/>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pStyle w:val="CentredBaseLine"/>
        <w:spacing w:before="60"/>
        <w:jc w:val="center"/>
      </w:pPr>
      <w:r>
        <w:rPr>
          <w:noProof/>
          <w:lang w:eastAsia="en-AU"/>
        </w:rPr>
        <w:drawing>
          <wp:inline distT="0" distB="0" distL="0" distR="0">
            <wp:extent cx="937260" cy="17526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7260" cy="175260"/>
                    </a:xfrm>
                    <a:prstGeom prst="rect">
                      <a:avLst/>
                    </a:prstGeom>
                    <a:noFill/>
                    <a:ln>
                      <a:noFill/>
                    </a:ln>
                  </pic:spPr>
                </pic:pic>
              </a:graphicData>
            </a:graphic>
          </wp:inline>
        </w:drawing>
      </w:r>
    </w:p>
    <w:p>
      <w:pPr>
        <w:pStyle w:val="Footer"/>
        <w:tabs>
          <w:tab w:val="clear" w:pos="4153"/>
          <w:tab w:val="clear" w:pos="8306"/>
          <w:tab w:val="decimal" w:pos="1590"/>
        </w:tabs>
        <w:spacing w:line="240" w:lineRule="auto"/>
        <w:rPr>
          <w:rFonts w:ascii="Times New Roman" w:hAnsi="Times New Roman"/>
        </w:rPr>
        <w:sectPr>
          <w:headerReference w:type="even" r:id="rId32"/>
          <w:pgSz w:w="11906" w:h="16838" w:code="9"/>
          <w:pgMar w:top="2381" w:right="2409" w:bottom="3543" w:left="2409" w:header="720" w:footer="3380" w:gutter="0"/>
          <w:cols w:space="720"/>
          <w:noEndnote/>
          <w:docGrid w:linePitch="326"/>
        </w:sectPr>
      </w:pPr>
    </w:p>
    <w:p>
      <w:pPr>
        <w:pStyle w:val="nHeading2"/>
      </w:pPr>
      <w:bookmarkStart w:id="60" w:name="_Toc233612462"/>
      <w:bookmarkStart w:id="61" w:name="_Toc233612480"/>
      <w:bookmarkStart w:id="62" w:name="_Toc233704719"/>
      <w:bookmarkStart w:id="63" w:name="_Toc253405286"/>
      <w:bookmarkStart w:id="64" w:name="_Toc253405386"/>
      <w:bookmarkStart w:id="65" w:name="_Toc261269661"/>
      <w:bookmarkStart w:id="66" w:name="_Toc266972228"/>
      <w:bookmarkStart w:id="67" w:name="_Toc270335438"/>
      <w:bookmarkStart w:id="68" w:name="_Toc270335519"/>
      <w:bookmarkStart w:id="69" w:name="_Toc271527799"/>
      <w:bookmarkStart w:id="70" w:name="_Toc271528298"/>
      <w:bookmarkStart w:id="71" w:name="_Toc273597392"/>
      <w:r>
        <w:t>Notes</w:t>
      </w:r>
      <w:bookmarkEnd w:id="60"/>
      <w:bookmarkEnd w:id="61"/>
      <w:bookmarkEnd w:id="62"/>
      <w:bookmarkEnd w:id="63"/>
      <w:bookmarkEnd w:id="64"/>
      <w:bookmarkEnd w:id="65"/>
      <w:bookmarkEnd w:id="66"/>
      <w:bookmarkEnd w:id="67"/>
      <w:bookmarkEnd w:id="68"/>
      <w:bookmarkEnd w:id="69"/>
      <w:bookmarkEnd w:id="70"/>
      <w:bookmarkEnd w:id="71"/>
    </w:p>
    <w:p>
      <w:pPr>
        <w:pStyle w:val="nSubsection"/>
        <w:rPr>
          <w:snapToGrid w:val="0"/>
        </w:rPr>
      </w:pPr>
      <w:r>
        <w:rPr>
          <w:snapToGrid w:val="0"/>
          <w:vertAlign w:val="superscript"/>
        </w:rPr>
        <w:t>1</w:t>
      </w:r>
      <w:r>
        <w:rPr>
          <w:snapToGrid w:val="0"/>
        </w:rPr>
        <w:tab/>
        <w:t xml:space="preserve">This reprint is a compilation as at 24 September 2010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spacing w:before="160"/>
        <w:rPr>
          <w:snapToGrid w:val="0"/>
        </w:rPr>
      </w:pPr>
      <w:bookmarkStart w:id="72" w:name="_Toc273597393"/>
      <w:r>
        <w:rPr>
          <w:snapToGrid w:val="0"/>
        </w:rP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snapToGrid w:val="0"/>
                <w:spacing w:val="-2"/>
                <w:sz w:val="19"/>
                <w:lang w:val="en-US"/>
              </w:rPr>
            </w:pPr>
            <w:r>
              <w:rPr>
                <w:snapToGrid w:val="0"/>
                <w:spacing w:val="-2"/>
                <w:sz w:val="19"/>
                <w:lang w:val="en-US"/>
              </w:rPr>
              <w:t>r. 1 and 2: 16 Jul 2010 (see r. 2(a));</w:t>
            </w:r>
            <w:r>
              <w:rPr>
                <w:snapToGrid w:val="0"/>
                <w:spacing w:val="-2"/>
                <w:sz w:val="19"/>
                <w:lang w:val="en-US"/>
              </w:rPr>
              <w:br/>
              <w:t>Regulations other than r. 1 and 2: 17 Jul 2010 (see r. 2(b)(ii))</w:t>
            </w:r>
          </w:p>
        </w:tc>
      </w:tr>
      <w:tr>
        <w:trPr>
          <w:cantSplit/>
        </w:trPr>
        <w:tc>
          <w:tcPr>
            <w:tcW w:w="7087" w:type="dxa"/>
            <w:gridSpan w:val="3"/>
            <w:tcBorders>
              <w:bottom w:val="single" w:sz="8" w:space="0" w:color="auto"/>
            </w:tcBorders>
          </w:tcPr>
          <w:p>
            <w:pPr>
              <w:pStyle w:val="nTable"/>
              <w:spacing w:after="40"/>
              <w:rPr>
                <w:snapToGrid w:val="0"/>
                <w:spacing w:val="-2"/>
                <w:sz w:val="19"/>
                <w:lang w:val="en-US"/>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sectPr>
          <w:headerReference w:type="even" r:id="rId33"/>
          <w:headerReference w:type="default" r:id="rId34"/>
          <w:type w:val="continuous"/>
          <w:pgSz w:w="11906" w:h="16838" w:code="9"/>
          <w:pgMar w:top="2381" w:right="2410" w:bottom="3544" w:left="2410" w:header="720" w:footer="3380" w:gutter="0"/>
          <w:cols w:space="720"/>
          <w:noEndnote/>
          <w:docGrid w:linePitch="326"/>
        </w:sectPr>
      </w:pPr>
    </w:p>
    <w:p/>
    <w:p>
      <w:pPr>
        <w:pStyle w:val="nHeading2"/>
        <w:rPr>
          <w:sz w:val="28"/>
        </w:rPr>
      </w:pPr>
      <w:bookmarkStart w:id="73" w:name="_Toc270335521"/>
      <w:bookmarkStart w:id="74" w:name="_Toc271527801"/>
      <w:bookmarkStart w:id="75" w:name="_Toc271528300"/>
      <w:bookmarkStart w:id="76" w:name="_Toc273597394"/>
      <w:r>
        <w:rPr>
          <w:sz w:val="28"/>
        </w:rPr>
        <w:t>Defined Terms</w:t>
      </w:r>
      <w:bookmarkEnd w:id="73"/>
      <w:bookmarkEnd w:id="74"/>
      <w:bookmarkEnd w:id="75"/>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 w:name="DefinedTerms"/>
      <w:bookmarkEnd w:id="77"/>
      <w:r>
        <w:t>AGD</w:t>
      </w:r>
      <w:r>
        <w:tab/>
        <w:t>2A</w:t>
      </w:r>
    </w:p>
    <w:p>
      <w:pPr>
        <w:pStyle w:val="DefinedTerms"/>
      </w:pPr>
      <w:r>
        <w:t>commencement day</w:t>
      </w:r>
      <w:r>
        <w:tab/>
        <w:t>10(4)</w:t>
      </w:r>
    </w:p>
    <w:p>
      <w:pPr>
        <w:pStyle w:val="DefinedTerms"/>
      </w:pPr>
      <w:r>
        <w:t>dealing</w:t>
      </w:r>
      <w:r>
        <w:tab/>
        <w:t>5(1)(a)</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related dealing</w:t>
      </w:r>
      <w:r>
        <w:tab/>
        <w:t>5(2)</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3203</Words>
  <Characters>15823</Characters>
  <Application>Microsoft Office Word</Application>
  <DocSecurity>0</DocSecurity>
  <Lines>586</Lines>
  <Paragraphs>388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18638</CharactersWithSpaces>
  <SharedDoc>false</SharedDoc>
  <HLinks>
    <vt:vector size="18" baseType="variant">
      <vt:variant>
        <vt:i4>3014716</vt:i4>
      </vt:variant>
      <vt:variant>
        <vt:i4>2447</vt:i4>
      </vt:variant>
      <vt:variant>
        <vt:i4>1025</vt:i4>
      </vt:variant>
      <vt:variant>
        <vt:i4>1</vt:i4>
      </vt:variant>
      <vt:variant>
        <vt:lpwstr>C:\Program Files\PCO DLL\Support\Crest.wpg</vt:lpwstr>
      </vt:variant>
      <vt:variant>
        <vt:lpwstr/>
      </vt:variant>
      <vt:variant>
        <vt:i4>5439608</vt:i4>
      </vt:variant>
      <vt:variant>
        <vt:i4>18389</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1990 - 02-a0-02</dc:title>
  <dc:subject/>
  <dc:creator/>
  <cp:keywords/>
  <dc:description/>
  <cp:lastModifiedBy>svcMRProcess</cp:lastModifiedBy>
  <cp:revision>4</cp:revision>
  <cp:lastPrinted>2010-09-30T00:13:00Z</cp:lastPrinted>
  <dcterms:created xsi:type="dcterms:W3CDTF">2020-02-27T13:22:00Z</dcterms:created>
  <dcterms:modified xsi:type="dcterms:W3CDTF">2020-02-27T13:22:00Z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20100924</vt:lpwstr>
  </property>
  <property fmtid="{D5CDD505-2E9C-101B-9397-08002B2CF9AE}" pid="4" name="DocumentType">
    <vt:lpwstr>Reg</vt:lpwstr>
  </property>
  <property fmtid="{D5CDD505-2E9C-101B-9397-08002B2CF9AE}" pid="5" name="AsAtDate">
    <vt:lpwstr>24 Sep 2010</vt:lpwstr>
  </property>
  <property fmtid="{D5CDD505-2E9C-101B-9397-08002B2CF9AE}" pid="6" name="Suffix">
    <vt:lpwstr>02-a0-02</vt:lpwstr>
  </property>
  <property fmtid="{D5CDD505-2E9C-101B-9397-08002B2CF9AE}" pid="7" name="OwlsUID">
    <vt:i4>4687</vt:i4>
  </property>
  <property fmtid="{D5CDD505-2E9C-101B-9397-08002B2CF9AE}" pid="8" name="ReprintedAsAt">
    <vt:filetime>2010-09-23T16:00:00Z</vt:filetime>
  </property>
  <property fmtid="{D5CDD505-2E9C-101B-9397-08002B2CF9AE}" pid="9" name="ReprintNo">
    <vt:lpwstr>2</vt:lpwstr>
  </property>
</Properties>
</file>