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Salaries and Allowances Act 1975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June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The Tribunal</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_Toc106074095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_Toc106074096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_Toc106074097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Establishment of Tribunal</w:t>
      </w:r>
      <w:r>
        <w:rPr>
          <w:noProof/>
        </w:rPr>
        <w:tab/>
      </w:r>
      <w:r>
        <w:rPr>
          <w:noProof/>
        </w:rPr>
        <w:fldChar w:fldCharType="begin"/>
      </w:r>
      <w:r>
        <w:rPr>
          <w:noProof/>
        </w:rPr>
        <w:instrText xml:space="preserve"> PAGEREF _Toc106074098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Inquiry into and determination of remuneration of Governor</w:t>
      </w:r>
      <w:r>
        <w:rPr>
          <w:noProof/>
        </w:rPr>
        <w:tab/>
      </w:r>
      <w:r>
        <w:rPr>
          <w:noProof/>
        </w:rPr>
        <w:fldChar w:fldCharType="begin"/>
      </w:r>
      <w:r>
        <w:rPr>
          <w:noProof/>
        </w:rPr>
        <w:instrText xml:space="preserve"> PAGEREF _Toc106074099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Other inquiries into and determinations of remuneration</w:t>
      </w:r>
      <w:r>
        <w:rPr>
          <w:noProof/>
        </w:rPr>
        <w:tab/>
      </w:r>
      <w:r>
        <w:rPr>
          <w:noProof/>
        </w:rPr>
        <w:fldChar w:fldCharType="begin"/>
      </w:r>
      <w:r>
        <w:rPr>
          <w:noProof/>
        </w:rPr>
        <w:instrText xml:space="preserve"> PAGEREF _Toc106074100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6A.</w:t>
      </w:r>
      <w:r>
        <w:rPr>
          <w:noProof/>
          <w:sz w:val="24"/>
          <w:szCs w:val="24"/>
        </w:rPr>
        <w:tab/>
      </w:r>
      <w:r>
        <w:rPr>
          <w:noProof/>
          <w:szCs w:val="24"/>
        </w:rPr>
        <w:t xml:space="preserve">Tribunal’s functions under the </w:t>
      </w:r>
      <w:r>
        <w:rPr>
          <w:i/>
          <w:noProof/>
          <w:szCs w:val="24"/>
        </w:rPr>
        <w:t>Parliamentary Superannuation Act 1970</w:t>
      </w:r>
      <w:r>
        <w:rPr>
          <w:noProof/>
        </w:rPr>
        <w:tab/>
      </w:r>
      <w:r>
        <w:rPr>
          <w:noProof/>
        </w:rPr>
        <w:fldChar w:fldCharType="begin"/>
      </w:r>
      <w:r>
        <w:rPr>
          <w:noProof/>
        </w:rPr>
        <w:instrText xml:space="preserve"> PAGEREF _Toc106074101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6AA.</w:t>
      </w:r>
      <w:r>
        <w:rPr>
          <w:noProof/>
          <w:sz w:val="24"/>
          <w:szCs w:val="24"/>
        </w:rPr>
        <w:tab/>
      </w:r>
      <w:r>
        <w:rPr>
          <w:noProof/>
          <w:szCs w:val="24"/>
        </w:rPr>
        <w:t>Redundancy benefits for members of Parliament</w:t>
      </w:r>
      <w:r>
        <w:rPr>
          <w:noProof/>
        </w:rPr>
        <w:tab/>
      </w:r>
      <w:r>
        <w:rPr>
          <w:noProof/>
        </w:rPr>
        <w:fldChar w:fldCharType="begin"/>
      </w:r>
      <w:r>
        <w:rPr>
          <w:noProof/>
        </w:rPr>
        <w:instrText xml:space="preserve"> PAGEREF _Toc106074102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6B</w:t>
      </w:r>
      <w:r>
        <w:rPr>
          <w:noProof/>
          <w:snapToGrid w:val="0"/>
          <w:szCs w:val="24"/>
        </w:rPr>
        <w:t>.</w:t>
      </w:r>
      <w:r>
        <w:rPr>
          <w:noProof/>
          <w:sz w:val="24"/>
          <w:szCs w:val="24"/>
        </w:rPr>
        <w:tab/>
      </w:r>
      <w:r>
        <w:rPr>
          <w:noProof/>
          <w:snapToGrid w:val="0"/>
          <w:szCs w:val="24"/>
        </w:rPr>
        <w:t>Determinations relating to entitlements of former Premiers, Ministers and members of Parliament</w:t>
      </w:r>
      <w:r>
        <w:rPr>
          <w:noProof/>
        </w:rPr>
        <w:tab/>
      </w:r>
      <w:r>
        <w:rPr>
          <w:noProof/>
        </w:rPr>
        <w:fldChar w:fldCharType="begin"/>
      </w:r>
      <w:r>
        <w:rPr>
          <w:noProof/>
        </w:rPr>
        <w:instrText xml:space="preserve"> PAGEREF _Toc106074103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6C</w:t>
      </w:r>
      <w:r>
        <w:rPr>
          <w:noProof/>
          <w:snapToGrid w:val="0"/>
          <w:szCs w:val="24"/>
        </w:rPr>
        <w:t>.</w:t>
      </w:r>
      <w:r>
        <w:rPr>
          <w:noProof/>
          <w:sz w:val="24"/>
          <w:szCs w:val="24"/>
        </w:rPr>
        <w:tab/>
      </w:r>
      <w:r>
        <w:rPr>
          <w:noProof/>
          <w:snapToGrid w:val="0"/>
          <w:szCs w:val="24"/>
        </w:rPr>
        <w:t>Forfeiture of former office entitlements</w:t>
      </w:r>
      <w:r>
        <w:rPr>
          <w:noProof/>
        </w:rPr>
        <w:tab/>
      </w:r>
      <w:r>
        <w:rPr>
          <w:noProof/>
        </w:rPr>
        <w:fldChar w:fldCharType="begin"/>
      </w:r>
      <w:r>
        <w:rPr>
          <w:noProof/>
        </w:rPr>
        <w:instrText xml:space="preserve"> PAGEREF _Toc106074104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Inquiry into and report on judicial salaries</w:t>
      </w:r>
      <w:r>
        <w:rPr>
          <w:noProof/>
        </w:rPr>
        <w:tab/>
      </w:r>
      <w:r>
        <w:rPr>
          <w:noProof/>
        </w:rPr>
        <w:fldChar w:fldCharType="begin"/>
      </w:r>
      <w:r>
        <w:rPr>
          <w:noProof/>
        </w:rPr>
        <w:instrText xml:space="preserve"> PAGEREF _Toc106074105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7A.</w:t>
      </w:r>
      <w:r>
        <w:rPr>
          <w:noProof/>
          <w:sz w:val="24"/>
          <w:szCs w:val="24"/>
        </w:rPr>
        <w:tab/>
      </w:r>
      <w:r>
        <w:rPr>
          <w:noProof/>
          <w:szCs w:val="24"/>
        </w:rPr>
        <w:t>Recommendations as to remuneration of local government CEOs</w:t>
      </w:r>
      <w:r>
        <w:rPr>
          <w:noProof/>
        </w:rPr>
        <w:tab/>
      </w:r>
      <w:r>
        <w:rPr>
          <w:noProof/>
        </w:rPr>
        <w:fldChar w:fldCharType="begin"/>
      </w:r>
      <w:r>
        <w:rPr>
          <w:noProof/>
        </w:rPr>
        <w:instrText xml:space="preserve"> PAGEREF _Toc106074106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8.</w:t>
      </w:r>
      <w:r>
        <w:rPr>
          <w:noProof/>
          <w:sz w:val="24"/>
          <w:szCs w:val="24"/>
        </w:rPr>
        <w:tab/>
      </w:r>
      <w:r>
        <w:rPr>
          <w:noProof/>
          <w:szCs w:val="24"/>
        </w:rPr>
        <w:t>Tribunal to report and make a determination annually</w:t>
      </w:r>
      <w:r>
        <w:rPr>
          <w:noProof/>
        </w:rPr>
        <w:tab/>
      </w:r>
      <w:r>
        <w:rPr>
          <w:noProof/>
        </w:rPr>
        <w:fldChar w:fldCharType="begin"/>
      </w:r>
      <w:r>
        <w:rPr>
          <w:noProof/>
        </w:rPr>
        <w:instrText xml:space="preserve"> PAGEREF _Toc106074107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Meetings of the Tribunal</w:t>
      </w:r>
      <w:r>
        <w:rPr>
          <w:noProof/>
        </w:rPr>
        <w:tab/>
      </w:r>
      <w:r>
        <w:rPr>
          <w:noProof/>
        </w:rPr>
        <w:fldChar w:fldCharType="begin"/>
      </w:r>
      <w:r>
        <w:rPr>
          <w:noProof/>
        </w:rPr>
        <w:instrText xml:space="preserve"> PAGEREF _Toc106074108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Method of inquiry by Tribunal</w:t>
      </w:r>
      <w:r>
        <w:rPr>
          <w:noProof/>
        </w:rPr>
        <w:tab/>
      </w:r>
      <w:r>
        <w:rPr>
          <w:noProof/>
        </w:rPr>
        <w:fldChar w:fldCharType="begin"/>
      </w:r>
      <w:r>
        <w:rPr>
          <w:noProof/>
        </w:rPr>
        <w:instrText xml:space="preserve"> PAGEREF _Toc106074109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Fees and allowances</w:t>
      </w:r>
      <w:r>
        <w:rPr>
          <w:noProof/>
        </w:rPr>
        <w:tab/>
      </w:r>
      <w:r>
        <w:rPr>
          <w:noProof/>
        </w:rPr>
        <w:fldChar w:fldCharType="begin"/>
      </w:r>
      <w:r>
        <w:rPr>
          <w:noProof/>
        </w:rPr>
        <w:instrText xml:space="preserve"> PAGEREF _Toc106074110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IA — General</w:t>
      </w:r>
    </w:p>
    <w:p>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Arrangements for payment of travelling expenses by Treasurer</w:t>
      </w:r>
      <w:r>
        <w:rPr>
          <w:noProof/>
        </w:rPr>
        <w:tab/>
      </w:r>
      <w:r>
        <w:rPr>
          <w:noProof/>
        </w:rPr>
        <w:fldChar w:fldCharType="begin"/>
      </w:r>
      <w:r>
        <w:rPr>
          <w:noProof/>
        </w:rPr>
        <w:instrText xml:space="preserve"> PAGEREF _Toc106074112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_Toc106074113 \h </w:instrText>
      </w:r>
      <w:r>
        <w:rPr>
          <w:noProof/>
        </w:rPr>
      </w:r>
      <w:r>
        <w:rPr>
          <w:noProof/>
        </w:rPr>
        <w:fldChar w:fldCharType="separate"/>
      </w:r>
      <w:r>
        <w:rPr>
          <w:noProof/>
        </w:rPr>
        <w:t>19</w:t>
      </w:r>
      <w:r>
        <w:rPr>
          <w:noProof/>
        </w:rPr>
        <w:fldChar w:fldCharType="end"/>
      </w:r>
    </w:p>
    <w:p>
      <w:pPr>
        <w:pStyle w:val="TOC5"/>
        <w:rPr>
          <w:b w:val="0"/>
          <w:noProof/>
          <w:sz w:val="24"/>
          <w:szCs w:val="24"/>
        </w:rPr>
      </w:pPr>
      <w:r>
        <w:rPr>
          <w:noProof/>
          <w:szCs w:val="28"/>
        </w:rPr>
        <w:t>Schedule 1 — Offences</w:t>
      </w:r>
      <w:r>
        <w:rPr>
          <w:noProof/>
        </w:rPr>
        <w:tab/>
      </w:r>
      <w:r>
        <w:rPr>
          <w:b w:val="0"/>
          <w:noProof/>
          <w:sz w:val="22"/>
        </w:rPr>
        <w:fldChar w:fldCharType="begin"/>
      </w:r>
      <w:r>
        <w:rPr>
          <w:b w:val="0"/>
          <w:noProof/>
          <w:sz w:val="22"/>
        </w:rPr>
        <w:instrText xml:space="preserve"> PAGEREF _Toc106074114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_Toc106074116 \h </w:instrText>
      </w:r>
      <w:r>
        <w:rPr>
          <w:noProof/>
        </w:rPr>
      </w:r>
      <w:r>
        <w:rPr>
          <w:noProof/>
        </w:rPr>
        <w:fldChar w:fldCharType="separate"/>
      </w:r>
      <w:r>
        <w:rPr>
          <w:noProof/>
        </w:rPr>
        <w:t>21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70535"/>
                  <wp:effectExtent l="0" t="0" r="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June 2005</w:t>
            </w:r>
          </w:p>
        </w:tc>
      </w:tr>
    </w:tbl>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iCs/>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0710338"/>
      <w:bookmarkStart w:id="11" w:name="_Toc531595505"/>
      <w:bookmarkStart w:id="12" w:name="_Toc106074095"/>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3" w:name="_Toc410710339"/>
      <w:bookmarkStart w:id="14" w:name="_Toc531595506"/>
      <w:bookmarkStart w:id="15" w:name="_Toc106074096"/>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Repealed by No. 58 of 1986 s. 15.] </w:t>
      </w:r>
    </w:p>
    <w:p>
      <w:pPr>
        <w:pStyle w:val="Heading5"/>
        <w:rPr>
          <w:snapToGrid w:val="0"/>
        </w:rPr>
      </w:pPr>
      <w:bookmarkStart w:id="16" w:name="_Toc410710340"/>
      <w:bookmarkStart w:id="17" w:name="_Toc531595507"/>
      <w:bookmarkStart w:id="18" w:name="_Toc106074097"/>
      <w:r>
        <w:rPr>
          <w:rStyle w:val="CharSectno"/>
        </w:rPr>
        <w:t>4</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Chairman</w:t>
      </w:r>
      <w:r>
        <w:rPr>
          <w:b/>
        </w:rPr>
        <w:t>”</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t>“</w:t>
      </w:r>
      <w:r>
        <w:rPr>
          <w:rStyle w:val="CharDefText"/>
        </w:rPr>
        <w:t>member</w:t>
      </w:r>
      <w:r>
        <w:rPr>
          <w:b/>
        </w:rPr>
        <w:t>”</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t>“</w:t>
      </w:r>
      <w:r>
        <w:rPr>
          <w:rStyle w:val="CharDefText"/>
        </w:rPr>
        <w:t>Minister of the Crown</w:t>
      </w:r>
      <w:r>
        <w:rPr>
          <w:b/>
        </w:rPr>
        <w:t>”</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t>“</w:t>
      </w:r>
      <w:r>
        <w:rPr>
          <w:rStyle w:val="CharDefText"/>
        </w:rPr>
        <w:t>remuneration</w:t>
      </w:r>
      <w:r>
        <w:rPr>
          <w:b/>
        </w:rPr>
        <w:t>”</w:t>
      </w:r>
      <w:r>
        <w:t xml:space="preserve"> includes salary, allowances, fees, emoluments and benefits (whether in money or not);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Tribunal</w:t>
      </w:r>
      <w:r>
        <w:rPr>
          <w:b/>
        </w:rPr>
        <w:t>”</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the person who not being a Minister of the Crown is the leader of a party in the Legislative Assembly of at least 5 members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w:t>
      </w:r>
    </w:p>
    <w:p>
      <w:pPr>
        <w:pStyle w:val="Heading5"/>
        <w:rPr>
          <w:snapToGrid w:val="0"/>
        </w:rPr>
      </w:pPr>
      <w:bookmarkStart w:id="19" w:name="_Toc410710341"/>
      <w:bookmarkStart w:id="20" w:name="_Toc531595508"/>
      <w:bookmarkStart w:id="21" w:name="_Toc106074098"/>
      <w:r>
        <w:rPr>
          <w:rStyle w:val="CharSectno"/>
        </w:rPr>
        <w:t>5</w:t>
      </w:r>
      <w:r>
        <w:rPr>
          <w:snapToGrid w:val="0"/>
        </w:rPr>
        <w:t>.</w:t>
      </w:r>
      <w:r>
        <w:rPr>
          <w:snapToGrid w:val="0"/>
        </w:rPr>
        <w:tab/>
        <w:t>Establishment of Tribunal</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22" w:name="_Toc410710342"/>
      <w:bookmarkStart w:id="23" w:name="_Toc531595509"/>
      <w:bookmarkStart w:id="24" w:name="_Toc106074099"/>
      <w:r>
        <w:rPr>
          <w:rStyle w:val="CharSectno"/>
        </w:rPr>
        <w:t>5A</w:t>
      </w:r>
      <w:r>
        <w:rPr>
          <w:snapToGrid w:val="0"/>
        </w:rPr>
        <w:t>.</w:t>
      </w:r>
      <w:r>
        <w:rPr>
          <w:snapToGrid w:val="0"/>
        </w:rPr>
        <w:tab/>
        <w:t>Inquiry into and determination of remuneration of Governor</w:t>
      </w:r>
      <w:bookmarkEnd w:id="22"/>
      <w:bookmarkEnd w:id="23"/>
      <w:bookmarkEnd w:id="24"/>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Fund,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w:t>
      </w:r>
    </w:p>
    <w:p>
      <w:pPr>
        <w:pStyle w:val="Heading5"/>
        <w:rPr>
          <w:snapToGrid w:val="0"/>
        </w:rPr>
      </w:pPr>
      <w:bookmarkStart w:id="25" w:name="_Toc410710343"/>
      <w:bookmarkStart w:id="26" w:name="_Toc531595510"/>
      <w:bookmarkStart w:id="27" w:name="_Toc106074100"/>
      <w:r>
        <w:rPr>
          <w:rStyle w:val="CharSectno"/>
        </w:rPr>
        <w:t>6</w:t>
      </w:r>
      <w:r>
        <w:rPr>
          <w:snapToGrid w:val="0"/>
        </w:rPr>
        <w:t>.</w:t>
      </w:r>
      <w:r>
        <w:rPr>
          <w:snapToGrid w:val="0"/>
        </w:rPr>
        <w:tab/>
        <w:t xml:space="preserve">Other inquiries into and determinations </w:t>
      </w:r>
      <w:bookmarkEnd w:id="25"/>
      <w:r>
        <w:rPr>
          <w:snapToGrid w:val="0"/>
        </w:rPr>
        <w:t>of remuneration</w:t>
      </w:r>
      <w:bookmarkEnd w:id="26"/>
      <w:bookmarkEnd w:id="27"/>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 members of committees of a House or joint committees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Fund,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b/>
          <w:snapToGrid w:val="0"/>
        </w:rPr>
        <w:t>“</w:t>
      </w:r>
      <w:r>
        <w:rPr>
          <w:rStyle w:val="CharDefText"/>
        </w:rPr>
        <w:t>the fresh election</w:t>
      </w:r>
      <w:r>
        <w:rPr>
          <w:b/>
          <w:snapToGrid w:val="0"/>
        </w:rPr>
        <w:t>”</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amended in Gazette 15 Aug 2003 p. 3691.] </w:t>
      </w:r>
    </w:p>
    <w:p>
      <w:pPr>
        <w:pStyle w:val="Heading5"/>
      </w:pPr>
      <w:bookmarkStart w:id="28" w:name="_Toc531595511"/>
      <w:bookmarkStart w:id="29" w:name="_Toc106074101"/>
      <w:bookmarkStart w:id="30" w:name="_Toc410710345"/>
      <w:r>
        <w:rPr>
          <w:rStyle w:val="CharSectno"/>
        </w:rPr>
        <w:t>6A</w:t>
      </w:r>
      <w:r>
        <w:t>.</w:t>
      </w:r>
      <w:r>
        <w:tab/>
        <w:t xml:space="preserve">Tribunal’s functions under the </w:t>
      </w:r>
      <w:r>
        <w:rPr>
          <w:i/>
        </w:rPr>
        <w:t>Parliamentary Superannuation Act 1970</w:t>
      </w:r>
      <w:bookmarkEnd w:id="28"/>
      <w:bookmarkEnd w:id="29"/>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31" w:name="_Toc106074102"/>
      <w:r>
        <w:rPr>
          <w:rStyle w:val="CharSectno"/>
        </w:rPr>
        <w:t>6AA</w:t>
      </w:r>
      <w:r>
        <w:t>.</w:t>
      </w:r>
      <w:r>
        <w:tab/>
        <w:t>Redundancy benefits for members of Parliament</w:t>
      </w:r>
      <w:bookmarkEnd w:id="3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Fund which is appropriated accordingly.</w:t>
      </w:r>
    </w:p>
    <w:p>
      <w:pPr>
        <w:pStyle w:val="Footnotesection"/>
      </w:pPr>
      <w:r>
        <w:tab/>
        <w:t>[Section 6AA inserted by No. 37 of 2000 s. 20.]</w:t>
      </w:r>
    </w:p>
    <w:p>
      <w:pPr>
        <w:pStyle w:val="Heading5"/>
        <w:rPr>
          <w:snapToGrid w:val="0"/>
        </w:rPr>
      </w:pPr>
      <w:bookmarkStart w:id="32" w:name="_Toc531595513"/>
      <w:bookmarkStart w:id="33" w:name="_Toc106074103"/>
      <w:r>
        <w:rPr>
          <w:rStyle w:val="CharSectno"/>
        </w:rPr>
        <w:t>6B</w:t>
      </w:r>
      <w:r>
        <w:rPr>
          <w:snapToGrid w:val="0"/>
        </w:rPr>
        <w:t>.</w:t>
      </w:r>
      <w:r>
        <w:rPr>
          <w:snapToGrid w:val="0"/>
        </w:rPr>
        <w:tab/>
        <w:t>Determinations relating to entitlements of former Premiers, Ministers and members of Parliament</w:t>
      </w:r>
      <w:bookmarkEnd w:id="30"/>
      <w:bookmarkEnd w:id="32"/>
      <w:bookmarkEnd w:id="3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Fund which is appropriated accordingly.</w:t>
      </w:r>
    </w:p>
    <w:p>
      <w:pPr>
        <w:pStyle w:val="Footnotesection"/>
      </w:pPr>
      <w:r>
        <w:tab/>
        <w:t xml:space="preserve">[Section 6B inserted by No. 13 of 1987 s. 3; amended by No. 6 of 1993 s. 11; No. 73 of 1994 s. 4; No. 49 of 1996 s. 64.] </w:t>
      </w:r>
    </w:p>
    <w:p>
      <w:pPr>
        <w:pStyle w:val="Heading5"/>
        <w:rPr>
          <w:snapToGrid w:val="0"/>
        </w:rPr>
      </w:pPr>
      <w:bookmarkStart w:id="34" w:name="_Toc410710346"/>
      <w:bookmarkStart w:id="35" w:name="_Toc531595514"/>
      <w:bookmarkStart w:id="36" w:name="_Toc106074104"/>
      <w:r>
        <w:rPr>
          <w:rStyle w:val="CharSectno"/>
        </w:rPr>
        <w:t>6C</w:t>
      </w:r>
      <w:r>
        <w:rPr>
          <w:snapToGrid w:val="0"/>
        </w:rPr>
        <w:t>.</w:t>
      </w:r>
      <w:r>
        <w:rPr>
          <w:snapToGrid w:val="0"/>
        </w:rPr>
        <w:tab/>
        <w:t>Forfeiture of former office entitlements</w:t>
      </w:r>
      <w:bookmarkEnd w:id="34"/>
      <w:bookmarkEnd w:id="35"/>
      <w:bookmarkEnd w:id="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office entitlement</w:t>
      </w:r>
      <w:r>
        <w:rPr>
          <w:b/>
        </w:rPr>
        <w:t>”</w:t>
      </w:r>
      <w:r>
        <w:t xml:space="preserve"> means an entitlement or benefit that a person would be entitled to receive in accordance with a determination under section 6B if this section did not apply;</w:t>
      </w:r>
    </w:p>
    <w:p>
      <w:pPr>
        <w:pStyle w:val="Defstart"/>
      </w:pPr>
      <w:r>
        <w:rPr>
          <w:b/>
        </w:rPr>
        <w:tab/>
        <w:t>“</w:t>
      </w:r>
      <w:r>
        <w:rPr>
          <w:rStyle w:val="CharDefText"/>
        </w:rPr>
        <w:t>holding public office</w:t>
      </w:r>
      <w:r>
        <w:rPr>
          <w:b/>
        </w:rPr>
        <w:t>”</w:t>
      </w:r>
      <w:r>
        <w:t xml:space="preserve"> means being the Premier of the State, a Minister of the Crown, or a member of the Legislative Assembly or Legislative Council of the State;</w:t>
      </w:r>
    </w:p>
    <w:p>
      <w:pPr>
        <w:pStyle w:val="Defstart"/>
      </w:pPr>
      <w:r>
        <w:rPr>
          <w:b/>
        </w:rPr>
        <w:tab/>
        <w:t>“</w:t>
      </w:r>
      <w:r>
        <w:rPr>
          <w:rStyle w:val="CharDefText"/>
        </w:rPr>
        <w:t>Schedule 1 offence</w:t>
      </w:r>
      <w:r>
        <w:rPr>
          <w:b/>
        </w:rPr>
        <w:t>”</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37" w:name="_Toc410710347"/>
      <w:bookmarkStart w:id="38" w:name="_Toc531595515"/>
      <w:bookmarkStart w:id="39" w:name="_Toc106074105"/>
      <w:r>
        <w:rPr>
          <w:rStyle w:val="CharSectno"/>
        </w:rPr>
        <w:t>7</w:t>
      </w:r>
      <w:r>
        <w:rPr>
          <w:snapToGrid w:val="0"/>
        </w:rPr>
        <w:t>.</w:t>
      </w:r>
      <w:r>
        <w:rPr>
          <w:snapToGrid w:val="0"/>
        </w:rPr>
        <w:tab/>
        <w:t>Inquiry into and report on judicial salaries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Commissioner appointed under the </w:t>
      </w:r>
      <w:r>
        <w:rPr>
          <w:i/>
        </w:rPr>
        <w:t>Corruption and Crime Commission Act 2003</w:t>
      </w:r>
      <w:r>
        <w:t xml:space="preserve">,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w:t>
      </w:r>
    </w:p>
    <w:p>
      <w:pPr>
        <w:pStyle w:val="Heading5"/>
      </w:pPr>
      <w:bookmarkStart w:id="40" w:name="_Toc106074106"/>
      <w:bookmarkStart w:id="41" w:name="_Toc531595516"/>
      <w:bookmarkStart w:id="42" w:name="_Toc410710349"/>
      <w:r>
        <w:rPr>
          <w:rStyle w:val="CharSectno"/>
        </w:rPr>
        <w:t>7A</w:t>
      </w:r>
      <w:r>
        <w:t>.</w:t>
      </w:r>
      <w:r>
        <w:tab/>
        <w:t>Recommendations as to remuneration of local government CEOs</w:t>
      </w:r>
      <w:bookmarkEnd w:id="40"/>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43" w:name="_Toc106074107"/>
      <w:r>
        <w:rPr>
          <w:rStyle w:val="CharSectno"/>
        </w:rPr>
        <w:t>8</w:t>
      </w:r>
      <w:r>
        <w:t>.</w:t>
      </w:r>
      <w:r>
        <w:tab/>
        <w:t>Tribunal to report and make a determination annually</w:t>
      </w:r>
      <w:bookmarkEnd w:id="41"/>
      <w:bookmarkEnd w:id="4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44" w:name="_Toc531595517"/>
      <w:bookmarkStart w:id="45" w:name="_Toc106074108"/>
      <w:r>
        <w:rPr>
          <w:rStyle w:val="CharSectno"/>
        </w:rPr>
        <w:t>9</w:t>
      </w:r>
      <w:r>
        <w:rPr>
          <w:snapToGrid w:val="0"/>
        </w:rPr>
        <w:t>.</w:t>
      </w:r>
      <w:r>
        <w:rPr>
          <w:snapToGrid w:val="0"/>
        </w:rPr>
        <w:tab/>
        <w:t>Meetings of the Tribunal</w:t>
      </w:r>
      <w:bookmarkEnd w:id="42"/>
      <w:bookmarkEnd w:id="44"/>
      <w:bookmarkEnd w:id="45"/>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46" w:name="_Toc410710350"/>
      <w:bookmarkStart w:id="47" w:name="_Toc531595518"/>
      <w:bookmarkStart w:id="48" w:name="_Toc106074109"/>
      <w:r>
        <w:rPr>
          <w:rStyle w:val="CharSectno"/>
        </w:rPr>
        <w:t>10</w:t>
      </w:r>
      <w:r>
        <w:rPr>
          <w:snapToGrid w:val="0"/>
        </w:rPr>
        <w:t>.</w:t>
      </w:r>
      <w:r>
        <w:rPr>
          <w:snapToGrid w:val="0"/>
        </w:rPr>
        <w:tab/>
        <w:t>Method of inquiry by Tribunal</w:t>
      </w:r>
      <w:bookmarkEnd w:id="46"/>
      <w:bookmarkEnd w:id="47"/>
      <w:bookmarkEnd w:id="48"/>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49" w:name="_Toc410710351"/>
      <w:bookmarkStart w:id="50" w:name="_Toc531595519"/>
      <w:bookmarkStart w:id="51" w:name="_Toc106074110"/>
      <w:r>
        <w:rPr>
          <w:rStyle w:val="CharSectno"/>
        </w:rPr>
        <w:t>11</w:t>
      </w:r>
      <w:r>
        <w:rPr>
          <w:snapToGrid w:val="0"/>
        </w:rPr>
        <w:t>.</w:t>
      </w:r>
      <w:r>
        <w:rPr>
          <w:snapToGrid w:val="0"/>
        </w:rPr>
        <w:tab/>
        <w:t>Fees and allowances</w:t>
      </w:r>
      <w:bookmarkEnd w:id="49"/>
      <w:bookmarkEnd w:id="50"/>
      <w:bookmarkEnd w:id="51"/>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52" w:name="_Toc88554723"/>
      <w:bookmarkStart w:id="53" w:name="_Toc88561501"/>
      <w:bookmarkStart w:id="54" w:name="_Toc95017132"/>
      <w:bookmarkStart w:id="55" w:name="_Toc95107768"/>
      <w:bookmarkStart w:id="56" w:name="_Toc100128220"/>
      <w:bookmarkStart w:id="57" w:name="_Toc102543084"/>
      <w:bookmarkStart w:id="58" w:name="_Toc103675614"/>
      <w:bookmarkStart w:id="59" w:name="_Toc103675858"/>
      <w:bookmarkStart w:id="60" w:name="_Toc106074111"/>
      <w:r>
        <w:rPr>
          <w:rStyle w:val="CharPartNo"/>
        </w:rPr>
        <w:t>Part IA</w:t>
      </w:r>
      <w:r>
        <w:rPr>
          <w:rStyle w:val="CharDivNo"/>
        </w:rPr>
        <w:t> </w:t>
      </w:r>
      <w:r>
        <w:t>—</w:t>
      </w:r>
      <w:r>
        <w:rPr>
          <w:rStyle w:val="CharDivText"/>
        </w:rPr>
        <w:t> </w:t>
      </w:r>
      <w:r>
        <w:rPr>
          <w:rStyle w:val="CharPartText"/>
        </w:rPr>
        <w:t>General</w:t>
      </w:r>
      <w:bookmarkEnd w:id="52"/>
      <w:bookmarkEnd w:id="53"/>
      <w:bookmarkEnd w:id="54"/>
      <w:bookmarkEnd w:id="55"/>
      <w:bookmarkEnd w:id="56"/>
      <w:bookmarkEnd w:id="57"/>
      <w:bookmarkEnd w:id="58"/>
      <w:bookmarkEnd w:id="59"/>
      <w:bookmarkEnd w:id="6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61" w:name="_Toc410710352"/>
      <w:bookmarkStart w:id="62" w:name="_Toc531595520"/>
      <w:bookmarkStart w:id="63" w:name="_Toc106074112"/>
      <w:r>
        <w:rPr>
          <w:rStyle w:val="CharSectno"/>
        </w:rPr>
        <w:t>11A</w:t>
      </w:r>
      <w:r>
        <w:rPr>
          <w:snapToGrid w:val="0"/>
        </w:rPr>
        <w:t>.</w:t>
      </w:r>
      <w:r>
        <w:rPr>
          <w:snapToGrid w:val="0"/>
        </w:rPr>
        <w:tab/>
        <w:t>Arrangements for payment of travelling expenses by Treasurer</w:t>
      </w:r>
      <w:bookmarkEnd w:id="61"/>
      <w:bookmarkEnd w:id="62"/>
      <w:bookmarkEnd w:id="63"/>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Fund,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w:t>
      </w:r>
    </w:p>
    <w:p>
      <w:pPr>
        <w:pStyle w:val="Heading5"/>
        <w:rPr>
          <w:snapToGrid w:val="0"/>
        </w:rPr>
      </w:pPr>
      <w:bookmarkStart w:id="64" w:name="_Toc410710353"/>
      <w:bookmarkStart w:id="65" w:name="_Toc531595521"/>
      <w:bookmarkStart w:id="66" w:name="_Toc106074113"/>
      <w:r>
        <w:rPr>
          <w:rStyle w:val="CharSectno"/>
        </w:rPr>
        <w:t>12</w:t>
      </w:r>
      <w:r>
        <w:rPr>
          <w:snapToGrid w:val="0"/>
        </w:rPr>
        <w:t>.</w:t>
      </w:r>
      <w:r>
        <w:rPr>
          <w:snapToGrid w:val="0"/>
        </w:rPr>
        <w:tab/>
        <w:t>Regulations</w:t>
      </w:r>
      <w:bookmarkEnd w:id="64"/>
      <w:bookmarkEnd w:id="65"/>
      <w:bookmarkEnd w:id="6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repealed by No. 37 of 2000 s. 22.]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7" w:name="_Toc106074114"/>
      <w:r>
        <w:rPr>
          <w:rStyle w:val="CharSchNo"/>
        </w:rPr>
        <w:t>Schedule 1</w:t>
      </w:r>
      <w:r>
        <w:t> — </w:t>
      </w:r>
      <w:r>
        <w:rPr>
          <w:rStyle w:val="CharSchText"/>
        </w:rPr>
        <w:t>Offences</w:t>
      </w:r>
      <w:bookmarkEnd w:id="67"/>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8" w:name="_Toc88554727"/>
      <w:bookmarkStart w:id="69" w:name="_Toc88561505"/>
      <w:bookmarkStart w:id="70" w:name="_Toc95017136"/>
      <w:bookmarkStart w:id="71" w:name="_Toc95107772"/>
      <w:bookmarkStart w:id="72" w:name="_Toc100128224"/>
      <w:bookmarkStart w:id="73" w:name="_Toc102543088"/>
      <w:bookmarkStart w:id="74" w:name="_Toc103675618"/>
      <w:bookmarkStart w:id="75" w:name="_Toc103675862"/>
      <w:bookmarkStart w:id="76" w:name="_Toc106074115"/>
      <w:r>
        <w:t>Notes</w:t>
      </w:r>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reprint is a compilation as at 10 June 2005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 w:name="_Toc106074116"/>
      <w:r>
        <w:t>Compilation table</w:t>
      </w:r>
      <w:bookmarkEnd w:id="77"/>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iCs/>
                <w:sz w:val="19"/>
                <w:vertAlign w:val="superscript"/>
              </w:rPr>
            </w:pPr>
            <w:r>
              <w:rPr>
                <w:i/>
                <w:sz w:val="19"/>
              </w:rPr>
              <w:t>Salaries and Allowances Tribunal Act 1975</w:t>
            </w:r>
            <w:r>
              <w:rPr>
                <w:iCs/>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cantSplit/>
        </w:trPr>
        <w:tc>
          <w:tcPr>
            <w:tcW w:w="7086" w:type="dxa"/>
            <w:gridSpan w:val="4"/>
          </w:tcPr>
          <w:p>
            <w:pPr>
              <w:pStyle w:val="nTable"/>
              <w:spacing w:after="40"/>
              <w:rPr>
                <w:sz w:val="19"/>
              </w:rPr>
            </w:pPr>
            <w:r>
              <w:rPr>
                <w:b/>
                <w:bCs/>
                <w:sz w:val="19"/>
              </w:rPr>
              <w:t xml:space="preserve">Reprint of the </w:t>
            </w:r>
            <w:r>
              <w:rPr>
                <w:b/>
                <w:bCs/>
                <w:i/>
                <w:sz w:val="19"/>
              </w:rPr>
              <w:t>Salaries and Allowances Act 1975</w:t>
            </w:r>
            <w:r>
              <w:rPr>
                <w:b/>
                <w:bCs/>
                <w:sz w:val="19"/>
              </w:rPr>
              <w:t xml:space="preserve"> as at 16 Nov 1988</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cantSplit/>
        </w:trPr>
        <w:tc>
          <w:tcPr>
            <w:tcW w:w="7086" w:type="dxa"/>
            <w:gridSpan w:val="4"/>
          </w:tcPr>
          <w:p>
            <w:pPr>
              <w:pStyle w:val="nTable"/>
              <w:spacing w:after="40"/>
              <w:rPr>
                <w:sz w:val="19"/>
              </w:rPr>
            </w:pPr>
            <w:r>
              <w:rPr>
                <w:b/>
                <w:bCs/>
                <w:sz w:val="19"/>
              </w:rPr>
              <w:t xml:space="preserve">Reprint of the </w:t>
            </w:r>
            <w:r>
              <w:rPr>
                <w:b/>
                <w:bCs/>
                <w:i/>
                <w:sz w:val="19"/>
              </w:rPr>
              <w:t>Salaries and Allowances Act 1975</w:t>
            </w:r>
            <w:r>
              <w:rPr>
                <w:b/>
                <w:bCs/>
                <w:sz w:val="19"/>
              </w:rPr>
              <w:t xml:space="preserve"> as at 26 Apr 1994</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cantSplit/>
        </w:trPr>
        <w:tc>
          <w:tcPr>
            <w:tcW w:w="2267" w:type="dxa"/>
          </w:tcPr>
          <w:p>
            <w:pPr>
              <w:pStyle w:val="nTable"/>
              <w:spacing w:before="36" w:after="40"/>
              <w:ind w:right="170"/>
              <w:rPr>
                <w:sz w:val="19"/>
              </w:rPr>
            </w:pPr>
            <w:r>
              <w:rPr>
                <w:i/>
                <w:sz w:val="19"/>
              </w:rPr>
              <w:t>Salaries and Allowances Amendment Act 1995</w:t>
            </w:r>
            <w:r>
              <w:rPr>
                <w:iCs/>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cantSplit/>
        </w:trPr>
        <w:tc>
          <w:tcPr>
            <w:tcW w:w="7086" w:type="dxa"/>
            <w:gridSpan w:val="4"/>
          </w:tcPr>
          <w:p>
            <w:pPr>
              <w:pStyle w:val="nTable"/>
              <w:spacing w:before="36" w:after="40"/>
              <w:rPr>
                <w:sz w:val="19"/>
              </w:rPr>
            </w:pPr>
            <w:r>
              <w:rPr>
                <w:b/>
                <w:bCs/>
                <w:sz w:val="19"/>
              </w:rPr>
              <w:t xml:space="preserve">Reprint of the </w:t>
            </w:r>
            <w:r>
              <w:rPr>
                <w:b/>
                <w:bCs/>
                <w:i/>
                <w:sz w:val="19"/>
              </w:rPr>
              <w:t>Salaries and Allowances Act 1975</w:t>
            </w:r>
            <w:r>
              <w:rPr>
                <w:b/>
                <w:bCs/>
                <w:sz w:val="19"/>
              </w:rPr>
              <w:t xml:space="preserve"> as at 8 Sep 2000</w:t>
            </w:r>
            <w:r>
              <w:rPr>
                <w:sz w:val="19"/>
              </w:rPr>
              <w:t xml:space="preserve"> (includes amendments listed above)</w:t>
            </w:r>
          </w:p>
        </w:tc>
      </w:tr>
      <w:tr>
        <w:trPr>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cantSplit/>
        </w:trPr>
        <w:tc>
          <w:tcPr>
            <w:tcW w:w="2267" w:type="dxa"/>
          </w:tcPr>
          <w:p>
            <w:pPr>
              <w:pStyle w:val="nTable"/>
              <w:spacing w:after="40"/>
              <w:ind w:right="17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70"/>
              <w:rPr>
                <w:i/>
                <w:iCs/>
                <w:snapToGrid w:val="0"/>
                <w:sz w:val="19"/>
                <w:lang w:val="en-US"/>
              </w:rPr>
            </w:pPr>
            <w:r>
              <w:rPr>
                <w:i/>
                <w:snapToGrid w:val="0"/>
                <w:sz w:val="19"/>
              </w:rPr>
              <w:t>Local Government Amendment Act 2004</w:t>
            </w:r>
            <w:r>
              <w:rPr>
                <w:iCs/>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iCs/>
                <w:sz w:val="19"/>
              </w:rPr>
              <w:t>Gazette</w:t>
            </w:r>
            <w:r>
              <w:rPr>
                <w:sz w:val="19"/>
              </w:rPr>
              <w:t xml:space="preserve"> 31 Mar 2005 p. 1029)</w:t>
            </w:r>
          </w:p>
        </w:tc>
      </w:tr>
      <w:tr>
        <w:trPr>
          <w:cantSplit/>
        </w:trPr>
        <w:tc>
          <w:tcPr>
            <w:tcW w:w="2267" w:type="dxa"/>
          </w:tcPr>
          <w:p>
            <w:pPr>
              <w:pStyle w:val="nTable"/>
              <w:spacing w:after="40"/>
              <w:ind w:right="170"/>
              <w:rPr>
                <w:i/>
                <w:snapToGrid w:val="0"/>
                <w:sz w:val="19"/>
              </w:rPr>
            </w:pPr>
            <w:r>
              <w:rPr>
                <w:i/>
                <w:iCs/>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cantSplit/>
        </w:trPr>
        <w:tc>
          <w:tcPr>
            <w:tcW w:w="7086"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Salaries and Allowances Act 1975</w:t>
            </w:r>
            <w:r>
              <w:rPr>
                <w:b/>
                <w:bCs/>
                <w:sz w:val="19"/>
              </w:rPr>
              <w:t xml:space="preserve"> as at 10 Jun 2005</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Parliamentary Salaries and Allowances Act 1967</w:t>
      </w:r>
      <w:r>
        <w:rPr>
          <w:snapToGrid w:val="0"/>
        </w:rPr>
        <w:t xml:space="preserve"> was repealed by the </w:t>
      </w:r>
      <w:r>
        <w:rPr>
          <w:i/>
          <w:iCs/>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rPr>
          <w:iCs/>
        </w:rPr>
        <w:t>; short title changed (see note under s. 1)</w:t>
      </w:r>
      <w:r>
        <w:t>.</w:t>
      </w:r>
    </w:p>
    <w:p/>
    <w:p>
      <w:pPr>
        <w:sectPr>
          <w:headerReference w:type="even" r:id="rId30"/>
          <w:headerReference w:type="defaul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F84C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C481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837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FAE3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6C89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7816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00E2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B86C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30A68C"/>
    <w:lvl w:ilvl="0">
      <w:start w:val="1"/>
      <w:numFmt w:val="decimal"/>
      <w:pStyle w:val="ListNumber"/>
      <w:lvlText w:val="%1."/>
      <w:lvlJc w:val="left"/>
      <w:pPr>
        <w:tabs>
          <w:tab w:val="num" w:pos="360"/>
        </w:tabs>
        <w:ind w:left="360" w:hanging="360"/>
      </w:pPr>
    </w:lvl>
  </w:abstractNum>
  <w:abstractNum w:abstractNumId="9">
    <w:nsid w:val="FFFFFF89"/>
    <w:multiLevelType w:val="singleLevel"/>
    <w:tmpl w:val="5490AB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9A5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FEE10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45"/>
    <w:docVar w:name="WAFER_20151209142645" w:val="RemoveTrackChanges"/>
    <w:docVar w:name="WAFER_20151209142645_GUID" w:val="cb4ca0f1-bcff-4016-9ca6-87f3725d03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6425</Words>
  <Characters>29812</Characters>
  <Application>Microsoft Office Word</Application>
  <DocSecurity>0</DocSecurity>
  <Lines>931</Lines>
  <Paragraphs>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35748</CharactersWithSpaces>
  <SharedDoc>false</SharedDoc>
  <HLinks>
    <vt:vector size="12" baseType="variant">
      <vt:variant>
        <vt:i4>3014716</vt:i4>
      </vt:variant>
      <vt:variant>
        <vt:i4>2986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1975 - 04-a0-03</dc:title>
  <dc:subject/>
  <dc:creator/>
  <cp:keywords/>
  <dc:description/>
  <cp:lastModifiedBy>svcMRProcess</cp:lastModifiedBy>
  <cp:revision>4</cp:revision>
  <cp:lastPrinted>2005-06-09T01:53:00Z</cp:lastPrinted>
  <dcterms:created xsi:type="dcterms:W3CDTF">2018-09-07T17:08:00Z</dcterms:created>
  <dcterms:modified xsi:type="dcterms:W3CDTF">2018-09-07T17:08:00Z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20050610</vt:lpwstr>
  </property>
  <property fmtid="{D5CDD505-2E9C-101B-9397-08002B2CF9AE}" pid="4" name="DocumentType">
    <vt:lpwstr>Act</vt:lpwstr>
  </property>
  <property fmtid="{D5CDD505-2E9C-101B-9397-08002B2CF9AE}" pid="5" name="OwlsUID">
    <vt:i4>725</vt:i4>
  </property>
  <property fmtid="{D5CDD505-2E9C-101B-9397-08002B2CF9AE}" pid="6" name="ReprintNo">
    <vt:lpwstr>4</vt:lpwstr>
  </property>
  <property fmtid="{D5CDD505-2E9C-101B-9397-08002B2CF9AE}" pid="7" name="AsAtDate">
    <vt:lpwstr>10 Jun 2005</vt:lpwstr>
  </property>
  <property fmtid="{D5CDD505-2E9C-101B-9397-08002B2CF9AE}" pid="8" name="Suffix">
    <vt:lpwstr>04-a0-03</vt:lpwstr>
  </property>
</Properties>
</file>