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Sale of Goods Act 1895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Sale of Goods Act 1895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Formation of the contract</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Sale and agreement to sell</w:t>
      </w:r>
      <w:r>
        <w:rPr>
          <w:noProof/>
        </w:rPr>
        <w:tab/>
      </w:r>
      <w:r>
        <w:rPr>
          <w:noProof/>
        </w:rPr>
        <w:fldChar w:fldCharType="begin"/>
      </w:r>
      <w:r>
        <w:rPr>
          <w:noProof/>
        </w:rPr>
        <w:instrText xml:space="preserve"> PAGEREF _Toc102537341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Capacity to buy and sell</w:t>
      </w:r>
      <w:r>
        <w:rPr>
          <w:noProof/>
        </w:rPr>
        <w:tab/>
      </w:r>
      <w:r>
        <w:rPr>
          <w:noProof/>
        </w:rPr>
        <w:fldChar w:fldCharType="begin"/>
      </w:r>
      <w:r>
        <w:rPr>
          <w:noProof/>
        </w:rPr>
        <w:instrText xml:space="preserve"> PAGEREF _Toc102537342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Contract of sale, how made</w:t>
      </w:r>
      <w:r>
        <w:rPr>
          <w:noProof/>
        </w:rPr>
        <w:tab/>
      </w:r>
      <w:r>
        <w:rPr>
          <w:noProof/>
        </w:rPr>
        <w:fldChar w:fldCharType="begin"/>
      </w:r>
      <w:r>
        <w:rPr>
          <w:noProof/>
        </w:rPr>
        <w:instrText xml:space="preserve"> PAGEREF _Toc102537343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Contract for sale of $20 and upwards</w:t>
      </w:r>
      <w:r>
        <w:rPr>
          <w:noProof/>
        </w:rPr>
        <w:tab/>
      </w:r>
      <w:r>
        <w:rPr>
          <w:noProof/>
        </w:rPr>
        <w:fldChar w:fldCharType="begin"/>
      </w:r>
      <w:r>
        <w:rPr>
          <w:noProof/>
        </w:rPr>
        <w:instrText xml:space="preserve"> PAGEREF _Toc102537344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Existing or future goods</w:t>
      </w:r>
      <w:r>
        <w:rPr>
          <w:noProof/>
        </w:rPr>
        <w:tab/>
      </w:r>
      <w:r>
        <w:rPr>
          <w:noProof/>
        </w:rPr>
        <w:fldChar w:fldCharType="begin"/>
      </w:r>
      <w:r>
        <w:rPr>
          <w:noProof/>
        </w:rPr>
        <w:instrText xml:space="preserve"> PAGEREF _Toc102537345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Goods which have perished</w:t>
      </w:r>
      <w:r>
        <w:rPr>
          <w:noProof/>
        </w:rPr>
        <w:tab/>
      </w:r>
      <w:r>
        <w:rPr>
          <w:noProof/>
        </w:rPr>
        <w:fldChar w:fldCharType="begin"/>
      </w:r>
      <w:r>
        <w:rPr>
          <w:noProof/>
        </w:rPr>
        <w:instrText xml:space="preserve"> PAGEREF _Toc102537346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Goods perishing before sale but after agreement to sell</w:t>
      </w:r>
      <w:r>
        <w:rPr>
          <w:noProof/>
        </w:rPr>
        <w:tab/>
      </w:r>
      <w:r>
        <w:rPr>
          <w:noProof/>
        </w:rPr>
        <w:fldChar w:fldCharType="begin"/>
      </w:r>
      <w:r>
        <w:rPr>
          <w:noProof/>
        </w:rPr>
        <w:instrText xml:space="preserve"> PAGEREF _Toc102537347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Ascertainment of price</w:t>
      </w:r>
      <w:r>
        <w:rPr>
          <w:noProof/>
        </w:rPr>
        <w:tab/>
      </w:r>
      <w:r>
        <w:rPr>
          <w:noProof/>
        </w:rPr>
        <w:fldChar w:fldCharType="begin"/>
      </w:r>
      <w:r>
        <w:rPr>
          <w:noProof/>
        </w:rPr>
        <w:instrText xml:space="preserve"> PAGEREF _Toc102537348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Agreement to sell at valuation</w:t>
      </w:r>
      <w:r>
        <w:rPr>
          <w:noProof/>
        </w:rPr>
        <w:tab/>
      </w:r>
      <w:r>
        <w:rPr>
          <w:noProof/>
        </w:rPr>
        <w:fldChar w:fldCharType="begin"/>
      </w:r>
      <w:r>
        <w:rPr>
          <w:noProof/>
        </w:rPr>
        <w:instrText xml:space="preserve"> PAGEREF _Toc102537349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Stipulations as to time</w:t>
      </w:r>
      <w:r>
        <w:rPr>
          <w:noProof/>
        </w:rPr>
        <w:tab/>
      </w:r>
      <w:r>
        <w:rPr>
          <w:noProof/>
        </w:rPr>
        <w:fldChar w:fldCharType="begin"/>
      </w:r>
      <w:r>
        <w:rPr>
          <w:noProof/>
        </w:rPr>
        <w:instrText xml:space="preserve"> PAGEREF _Toc102537350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When condition to be treated as warranty</w:t>
      </w:r>
      <w:r>
        <w:rPr>
          <w:noProof/>
        </w:rPr>
        <w:tab/>
      </w:r>
      <w:r>
        <w:rPr>
          <w:noProof/>
        </w:rPr>
        <w:fldChar w:fldCharType="begin"/>
      </w:r>
      <w:r>
        <w:rPr>
          <w:noProof/>
        </w:rPr>
        <w:instrText xml:space="preserve"> PAGEREF _Toc102537351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Implied undertaking as to title, etc.</w:t>
      </w:r>
      <w:r>
        <w:rPr>
          <w:noProof/>
        </w:rPr>
        <w:tab/>
      </w:r>
      <w:r>
        <w:rPr>
          <w:noProof/>
        </w:rPr>
        <w:fldChar w:fldCharType="begin"/>
      </w:r>
      <w:r>
        <w:rPr>
          <w:noProof/>
        </w:rPr>
        <w:instrText xml:space="preserve"> PAGEREF _Toc102537352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Sale by description</w:t>
      </w:r>
      <w:r>
        <w:rPr>
          <w:noProof/>
        </w:rPr>
        <w:tab/>
      </w:r>
      <w:r>
        <w:rPr>
          <w:noProof/>
        </w:rPr>
        <w:fldChar w:fldCharType="begin"/>
      </w:r>
      <w:r>
        <w:rPr>
          <w:noProof/>
        </w:rPr>
        <w:instrText xml:space="preserve"> PAGEREF _Toc102537353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Implied conditions as to quality or fitness</w:t>
      </w:r>
      <w:r>
        <w:rPr>
          <w:noProof/>
        </w:rPr>
        <w:tab/>
      </w:r>
      <w:r>
        <w:rPr>
          <w:noProof/>
        </w:rPr>
        <w:fldChar w:fldCharType="begin"/>
      </w:r>
      <w:r>
        <w:rPr>
          <w:noProof/>
        </w:rPr>
        <w:instrText xml:space="preserve"> PAGEREF _Toc102537354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Sale by sample</w:t>
      </w:r>
      <w:r>
        <w:rPr>
          <w:noProof/>
        </w:rPr>
        <w:tab/>
      </w:r>
      <w:r>
        <w:rPr>
          <w:noProof/>
        </w:rPr>
        <w:fldChar w:fldCharType="begin"/>
      </w:r>
      <w:r>
        <w:rPr>
          <w:noProof/>
        </w:rPr>
        <w:instrText xml:space="preserve"> PAGEREF _Toc102537355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t>Part II — Effects of the contract</w:t>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Goods must be ascertained</w:t>
      </w:r>
      <w:r>
        <w:rPr>
          <w:noProof/>
        </w:rPr>
        <w:tab/>
      </w:r>
      <w:r>
        <w:rPr>
          <w:noProof/>
        </w:rPr>
        <w:fldChar w:fldCharType="begin"/>
      </w:r>
      <w:r>
        <w:rPr>
          <w:noProof/>
        </w:rPr>
        <w:instrText xml:space="preserve"> PAGEREF _Toc102537357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Property passes when intended to pass</w:t>
      </w:r>
      <w:r>
        <w:rPr>
          <w:noProof/>
        </w:rPr>
        <w:tab/>
      </w:r>
      <w:r>
        <w:rPr>
          <w:noProof/>
        </w:rPr>
        <w:fldChar w:fldCharType="begin"/>
      </w:r>
      <w:r>
        <w:rPr>
          <w:noProof/>
        </w:rPr>
        <w:instrText xml:space="preserve"> PAGEREF _Toc102537358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Rules for ascertaining intention</w:t>
      </w:r>
      <w:r>
        <w:rPr>
          <w:noProof/>
        </w:rPr>
        <w:tab/>
      </w:r>
      <w:r>
        <w:rPr>
          <w:noProof/>
        </w:rPr>
        <w:fldChar w:fldCharType="begin"/>
      </w:r>
      <w:r>
        <w:rPr>
          <w:noProof/>
        </w:rPr>
        <w:instrText xml:space="preserve"> PAGEREF _Toc102537359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Reservation of right of disposal</w:t>
      </w:r>
      <w:r>
        <w:rPr>
          <w:noProof/>
        </w:rPr>
        <w:tab/>
      </w:r>
      <w:r>
        <w:rPr>
          <w:noProof/>
        </w:rPr>
        <w:fldChar w:fldCharType="begin"/>
      </w:r>
      <w:r>
        <w:rPr>
          <w:noProof/>
        </w:rPr>
        <w:instrText xml:space="preserve"> PAGEREF _Toc102537360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Risk, prima facie, passes with property</w:t>
      </w:r>
      <w:r>
        <w:rPr>
          <w:noProof/>
        </w:rPr>
        <w:tab/>
      </w:r>
      <w:r>
        <w:rPr>
          <w:noProof/>
        </w:rPr>
        <w:fldChar w:fldCharType="begin"/>
      </w:r>
      <w:r>
        <w:rPr>
          <w:noProof/>
        </w:rPr>
        <w:instrText xml:space="preserve"> PAGEREF _Toc102537361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Sale by person not the owner</w:t>
      </w:r>
      <w:r>
        <w:rPr>
          <w:noProof/>
        </w:rPr>
        <w:tab/>
      </w:r>
      <w:r>
        <w:rPr>
          <w:noProof/>
        </w:rPr>
        <w:fldChar w:fldCharType="begin"/>
      </w:r>
      <w:r>
        <w:rPr>
          <w:noProof/>
        </w:rPr>
        <w:instrText xml:space="preserve"> PAGEREF _Toc102537362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Market overt</w:t>
      </w:r>
      <w:r>
        <w:rPr>
          <w:noProof/>
        </w:rPr>
        <w:tab/>
      </w:r>
      <w:r>
        <w:rPr>
          <w:noProof/>
        </w:rPr>
        <w:fldChar w:fldCharType="begin"/>
      </w:r>
      <w:r>
        <w:rPr>
          <w:noProof/>
        </w:rPr>
        <w:instrText xml:space="preserve"> PAGEREF _Toc102537363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Sale under voidable title</w:t>
      </w:r>
      <w:r>
        <w:rPr>
          <w:noProof/>
        </w:rPr>
        <w:tab/>
      </w:r>
      <w:r>
        <w:rPr>
          <w:noProof/>
        </w:rPr>
        <w:fldChar w:fldCharType="begin"/>
      </w:r>
      <w:r>
        <w:rPr>
          <w:noProof/>
        </w:rPr>
        <w:instrText xml:space="preserve"> PAGEREF _Toc102537364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lastRenderedPageBreak/>
        <w:t>24</w:t>
      </w:r>
      <w:r>
        <w:rPr>
          <w:noProof/>
          <w:snapToGrid w:val="0"/>
          <w:szCs w:val="24"/>
        </w:rPr>
        <w:t>.</w:t>
      </w:r>
      <w:r>
        <w:rPr>
          <w:noProof/>
          <w:sz w:val="24"/>
          <w:szCs w:val="24"/>
        </w:rPr>
        <w:tab/>
      </w:r>
      <w:r>
        <w:rPr>
          <w:noProof/>
          <w:snapToGrid w:val="0"/>
          <w:szCs w:val="24"/>
        </w:rPr>
        <w:t>Revesting of property in stolen goods on conviction of offender</w:t>
      </w:r>
      <w:r>
        <w:rPr>
          <w:noProof/>
        </w:rPr>
        <w:tab/>
      </w:r>
      <w:r>
        <w:rPr>
          <w:noProof/>
        </w:rPr>
        <w:fldChar w:fldCharType="begin"/>
      </w:r>
      <w:r>
        <w:rPr>
          <w:noProof/>
        </w:rPr>
        <w:instrText xml:space="preserve"> PAGEREF _Toc102537365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Seller or buyer in possession after sale</w:t>
      </w:r>
      <w:r>
        <w:rPr>
          <w:noProof/>
        </w:rPr>
        <w:tab/>
      </w:r>
      <w:r>
        <w:rPr>
          <w:noProof/>
        </w:rPr>
        <w:fldChar w:fldCharType="begin"/>
      </w:r>
      <w:r>
        <w:rPr>
          <w:noProof/>
        </w:rPr>
        <w:instrText xml:space="preserve"> PAGEREF _Toc102537366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III — Performance of the contract</w:t>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Duties of seller and buyer</w:t>
      </w:r>
      <w:r>
        <w:rPr>
          <w:noProof/>
        </w:rPr>
        <w:tab/>
      </w:r>
      <w:r>
        <w:rPr>
          <w:noProof/>
        </w:rPr>
        <w:fldChar w:fldCharType="begin"/>
      </w:r>
      <w:r>
        <w:rPr>
          <w:noProof/>
        </w:rPr>
        <w:instrText xml:space="preserve"> PAGEREF _Toc102537368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Payment and delivery are concurrent conditions</w:t>
      </w:r>
      <w:r>
        <w:rPr>
          <w:noProof/>
        </w:rPr>
        <w:tab/>
      </w:r>
      <w:r>
        <w:rPr>
          <w:noProof/>
        </w:rPr>
        <w:fldChar w:fldCharType="begin"/>
      </w:r>
      <w:r>
        <w:rPr>
          <w:noProof/>
        </w:rPr>
        <w:instrText xml:space="preserve"> PAGEREF _Toc102537369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Rules as to delivery</w:t>
      </w:r>
      <w:r>
        <w:rPr>
          <w:noProof/>
        </w:rPr>
        <w:tab/>
      </w:r>
      <w:r>
        <w:rPr>
          <w:noProof/>
        </w:rPr>
        <w:fldChar w:fldCharType="begin"/>
      </w:r>
      <w:r>
        <w:rPr>
          <w:noProof/>
        </w:rPr>
        <w:instrText xml:space="preserve"> PAGEREF _Toc102537370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Delivery of wrong quantity</w:t>
      </w:r>
      <w:r>
        <w:rPr>
          <w:noProof/>
        </w:rPr>
        <w:tab/>
      </w:r>
      <w:r>
        <w:rPr>
          <w:noProof/>
        </w:rPr>
        <w:fldChar w:fldCharType="begin"/>
      </w:r>
      <w:r>
        <w:rPr>
          <w:noProof/>
        </w:rPr>
        <w:instrText xml:space="preserve"> PAGEREF _Toc102537371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Instalment deliveries</w:t>
      </w:r>
      <w:r>
        <w:rPr>
          <w:noProof/>
        </w:rPr>
        <w:tab/>
      </w:r>
      <w:r>
        <w:rPr>
          <w:noProof/>
        </w:rPr>
        <w:fldChar w:fldCharType="begin"/>
      </w:r>
      <w:r>
        <w:rPr>
          <w:noProof/>
        </w:rPr>
        <w:instrText xml:space="preserve"> PAGEREF _Toc102537372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Delivery to carrier</w:t>
      </w:r>
      <w:r>
        <w:rPr>
          <w:noProof/>
        </w:rPr>
        <w:tab/>
      </w:r>
      <w:r>
        <w:rPr>
          <w:noProof/>
        </w:rPr>
        <w:fldChar w:fldCharType="begin"/>
      </w:r>
      <w:r>
        <w:rPr>
          <w:noProof/>
        </w:rPr>
        <w:instrText xml:space="preserve"> PAGEREF _Toc102537373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Risk where goods are delivered at distant place</w:t>
      </w:r>
      <w:r>
        <w:rPr>
          <w:noProof/>
        </w:rPr>
        <w:tab/>
      </w:r>
      <w:r>
        <w:rPr>
          <w:noProof/>
        </w:rPr>
        <w:fldChar w:fldCharType="begin"/>
      </w:r>
      <w:r>
        <w:rPr>
          <w:noProof/>
        </w:rPr>
        <w:instrText xml:space="preserve"> PAGEREF _Toc102537374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Buyer’s right of examining the goods</w:t>
      </w:r>
      <w:r>
        <w:rPr>
          <w:noProof/>
        </w:rPr>
        <w:tab/>
      </w:r>
      <w:r>
        <w:rPr>
          <w:noProof/>
        </w:rPr>
        <w:fldChar w:fldCharType="begin"/>
      </w:r>
      <w:r>
        <w:rPr>
          <w:noProof/>
        </w:rPr>
        <w:instrText xml:space="preserve"> PAGEREF _Toc102537375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Acceptance</w:t>
      </w:r>
      <w:r>
        <w:rPr>
          <w:noProof/>
        </w:rPr>
        <w:tab/>
      </w:r>
      <w:r>
        <w:rPr>
          <w:noProof/>
        </w:rPr>
        <w:fldChar w:fldCharType="begin"/>
      </w:r>
      <w:r>
        <w:rPr>
          <w:noProof/>
        </w:rPr>
        <w:instrText xml:space="preserve"> PAGEREF _Toc102537376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Buyer not bound to return rejected goods</w:t>
      </w:r>
      <w:r>
        <w:rPr>
          <w:noProof/>
        </w:rPr>
        <w:tab/>
      </w:r>
      <w:r>
        <w:rPr>
          <w:noProof/>
        </w:rPr>
        <w:fldChar w:fldCharType="begin"/>
      </w:r>
      <w:r>
        <w:rPr>
          <w:noProof/>
        </w:rPr>
        <w:instrText xml:space="preserve"> PAGEREF _Toc102537377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Liability of buyer for neglecting or refusing delivery of goods</w:t>
      </w:r>
      <w:r>
        <w:rPr>
          <w:noProof/>
        </w:rPr>
        <w:tab/>
      </w:r>
      <w:r>
        <w:rPr>
          <w:noProof/>
        </w:rPr>
        <w:fldChar w:fldCharType="begin"/>
      </w:r>
      <w:r>
        <w:rPr>
          <w:noProof/>
        </w:rPr>
        <w:instrText xml:space="preserve"> PAGEREF _Toc102537378 \h </w:instrText>
      </w:r>
      <w:r>
        <w:rPr>
          <w:noProof/>
        </w:rPr>
      </w:r>
      <w:r>
        <w:rPr>
          <w:noProof/>
        </w:rPr>
        <w:fldChar w:fldCharType="separate"/>
      </w:r>
      <w:r>
        <w:rPr>
          <w:noProof/>
        </w:rPr>
        <w:t>18</w:t>
      </w:r>
      <w:r>
        <w:rPr>
          <w:noProof/>
        </w:rPr>
        <w:fldChar w:fldCharType="end"/>
      </w:r>
    </w:p>
    <w:p>
      <w:pPr>
        <w:pStyle w:val="TOC2"/>
        <w:tabs>
          <w:tab w:val="right" w:leader="dot" w:pos="7086"/>
        </w:tabs>
        <w:rPr>
          <w:b w:val="0"/>
          <w:noProof/>
          <w:sz w:val="24"/>
          <w:szCs w:val="24"/>
        </w:rPr>
      </w:pPr>
      <w:r>
        <w:rPr>
          <w:noProof/>
          <w:szCs w:val="30"/>
        </w:rPr>
        <w:t>Part IV — Rights of unpaid seller against the goods</w:t>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Unpaid seller defined</w:t>
      </w:r>
      <w:r>
        <w:rPr>
          <w:noProof/>
        </w:rPr>
        <w:tab/>
      </w:r>
      <w:r>
        <w:rPr>
          <w:noProof/>
        </w:rPr>
        <w:fldChar w:fldCharType="begin"/>
      </w:r>
      <w:r>
        <w:rPr>
          <w:noProof/>
        </w:rPr>
        <w:instrText xml:space="preserve"> PAGEREF _Toc102537380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Unpaid seller’s rights</w:t>
      </w:r>
      <w:r>
        <w:rPr>
          <w:noProof/>
        </w:rPr>
        <w:tab/>
      </w:r>
      <w:r>
        <w:rPr>
          <w:noProof/>
        </w:rPr>
        <w:fldChar w:fldCharType="begin"/>
      </w:r>
      <w:r>
        <w:rPr>
          <w:noProof/>
        </w:rPr>
        <w:instrText xml:space="preserve"> PAGEREF _Toc102537381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Seller’s lien</w:t>
      </w:r>
      <w:r>
        <w:rPr>
          <w:noProof/>
        </w:rPr>
        <w:tab/>
      </w:r>
      <w:r>
        <w:rPr>
          <w:noProof/>
        </w:rPr>
        <w:fldChar w:fldCharType="begin"/>
      </w:r>
      <w:r>
        <w:rPr>
          <w:noProof/>
        </w:rPr>
        <w:instrText xml:space="preserve"> PAGEREF _Toc102537382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Part delivery</w:t>
      </w:r>
      <w:r>
        <w:rPr>
          <w:noProof/>
        </w:rPr>
        <w:tab/>
      </w:r>
      <w:r>
        <w:rPr>
          <w:noProof/>
        </w:rPr>
        <w:fldChar w:fldCharType="begin"/>
      </w:r>
      <w:r>
        <w:rPr>
          <w:noProof/>
        </w:rPr>
        <w:instrText xml:space="preserve"> PAGEREF _Toc102537383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Termination of lien</w:t>
      </w:r>
      <w:r>
        <w:rPr>
          <w:noProof/>
        </w:rPr>
        <w:tab/>
      </w:r>
      <w:r>
        <w:rPr>
          <w:noProof/>
        </w:rPr>
        <w:fldChar w:fldCharType="begin"/>
      </w:r>
      <w:r>
        <w:rPr>
          <w:noProof/>
        </w:rPr>
        <w:instrText xml:space="preserve"> PAGEREF _Toc102537384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 xml:space="preserve">Right of stoppage </w:t>
      </w:r>
      <w:r>
        <w:rPr>
          <w:i/>
          <w:noProof/>
          <w:snapToGrid w:val="0"/>
          <w:szCs w:val="24"/>
        </w:rPr>
        <w:t>in transitu</w:t>
      </w:r>
      <w:r>
        <w:rPr>
          <w:noProof/>
        </w:rPr>
        <w:tab/>
      </w:r>
      <w:r>
        <w:rPr>
          <w:noProof/>
        </w:rPr>
        <w:fldChar w:fldCharType="begin"/>
      </w:r>
      <w:r>
        <w:rPr>
          <w:noProof/>
        </w:rPr>
        <w:instrText xml:space="preserve"> PAGEREF _Toc102537385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Duration of transit</w:t>
      </w:r>
      <w:r>
        <w:rPr>
          <w:noProof/>
        </w:rPr>
        <w:tab/>
      </w:r>
      <w:r>
        <w:rPr>
          <w:noProof/>
        </w:rPr>
        <w:fldChar w:fldCharType="begin"/>
      </w:r>
      <w:r>
        <w:rPr>
          <w:noProof/>
        </w:rPr>
        <w:instrText xml:space="preserve"> PAGEREF _Toc102537386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 xml:space="preserve">How stoppage </w:t>
      </w:r>
      <w:r>
        <w:rPr>
          <w:i/>
          <w:noProof/>
          <w:snapToGrid w:val="0"/>
          <w:szCs w:val="24"/>
        </w:rPr>
        <w:t>in transitu</w:t>
      </w:r>
      <w:r>
        <w:rPr>
          <w:noProof/>
          <w:snapToGrid w:val="0"/>
          <w:szCs w:val="24"/>
        </w:rPr>
        <w:t xml:space="preserve"> is affected</w:t>
      </w:r>
      <w:r>
        <w:rPr>
          <w:noProof/>
        </w:rPr>
        <w:tab/>
      </w:r>
      <w:r>
        <w:rPr>
          <w:noProof/>
        </w:rPr>
        <w:fldChar w:fldCharType="begin"/>
      </w:r>
      <w:r>
        <w:rPr>
          <w:noProof/>
        </w:rPr>
        <w:instrText xml:space="preserve"> PAGEREF _Toc102537387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Effect of sub</w:t>
      </w:r>
      <w:r>
        <w:rPr>
          <w:noProof/>
          <w:snapToGrid w:val="0"/>
          <w:szCs w:val="24"/>
        </w:rPr>
        <w:noBreakHyphen/>
        <w:t>sale or pledge by buyer</w:t>
      </w:r>
      <w:r>
        <w:rPr>
          <w:noProof/>
        </w:rPr>
        <w:tab/>
      </w:r>
      <w:r>
        <w:rPr>
          <w:noProof/>
        </w:rPr>
        <w:fldChar w:fldCharType="begin"/>
      </w:r>
      <w:r>
        <w:rPr>
          <w:noProof/>
        </w:rPr>
        <w:instrText xml:space="preserve"> PAGEREF _Toc102537388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 xml:space="preserve">Sale not generally rescinded by lien or stoppage </w:t>
      </w:r>
      <w:r>
        <w:rPr>
          <w:i/>
          <w:noProof/>
          <w:snapToGrid w:val="0"/>
          <w:szCs w:val="24"/>
        </w:rPr>
        <w:t>in transitu</w:t>
      </w:r>
      <w:r>
        <w:rPr>
          <w:noProof/>
        </w:rPr>
        <w:tab/>
      </w:r>
      <w:r>
        <w:rPr>
          <w:noProof/>
        </w:rPr>
        <w:fldChar w:fldCharType="begin"/>
      </w:r>
      <w:r>
        <w:rPr>
          <w:noProof/>
        </w:rPr>
        <w:instrText xml:space="preserve"> PAGEREF _Toc102537389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szCs w:val="24"/>
        </w:rPr>
      </w:pPr>
      <w:r>
        <w:rPr>
          <w:noProof/>
          <w:szCs w:val="30"/>
        </w:rPr>
        <w:t>Part V — Actions for breach of the contract</w:t>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Action for price</w:t>
      </w:r>
      <w:r>
        <w:rPr>
          <w:noProof/>
        </w:rPr>
        <w:tab/>
      </w:r>
      <w:r>
        <w:rPr>
          <w:noProof/>
        </w:rPr>
        <w:fldChar w:fldCharType="begin"/>
      </w:r>
      <w:r>
        <w:rPr>
          <w:noProof/>
        </w:rPr>
        <w:instrText xml:space="preserve"> PAGEREF _Toc102537391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Damages for non</w:t>
      </w:r>
      <w:r>
        <w:rPr>
          <w:noProof/>
          <w:snapToGrid w:val="0"/>
          <w:szCs w:val="24"/>
        </w:rPr>
        <w:noBreakHyphen/>
        <w:t>acceptance</w:t>
      </w:r>
      <w:r>
        <w:rPr>
          <w:noProof/>
        </w:rPr>
        <w:tab/>
      </w:r>
      <w:r>
        <w:rPr>
          <w:noProof/>
        </w:rPr>
        <w:fldChar w:fldCharType="begin"/>
      </w:r>
      <w:r>
        <w:rPr>
          <w:noProof/>
        </w:rPr>
        <w:instrText xml:space="preserve"> PAGEREF _Toc102537392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Damages for non</w:t>
      </w:r>
      <w:r>
        <w:rPr>
          <w:noProof/>
          <w:snapToGrid w:val="0"/>
          <w:szCs w:val="24"/>
        </w:rPr>
        <w:noBreakHyphen/>
        <w:t>delivery</w:t>
      </w:r>
      <w:r>
        <w:rPr>
          <w:noProof/>
        </w:rPr>
        <w:tab/>
      </w:r>
      <w:r>
        <w:rPr>
          <w:noProof/>
        </w:rPr>
        <w:fldChar w:fldCharType="begin"/>
      </w:r>
      <w:r>
        <w:rPr>
          <w:noProof/>
        </w:rPr>
        <w:instrText xml:space="preserve"> PAGEREF _Toc102537393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Specific performance</w:t>
      </w:r>
      <w:r>
        <w:rPr>
          <w:noProof/>
        </w:rPr>
        <w:tab/>
      </w:r>
      <w:r>
        <w:rPr>
          <w:noProof/>
        </w:rPr>
        <w:fldChar w:fldCharType="begin"/>
      </w:r>
      <w:r>
        <w:rPr>
          <w:noProof/>
        </w:rPr>
        <w:instrText xml:space="preserve"> PAGEREF _Toc102537394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Remedy for breach of warranty</w:t>
      </w:r>
      <w:r>
        <w:rPr>
          <w:noProof/>
        </w:rPr>
        <w:tab/>
      </w:r>
      <w:r>
        <w:rPr>
          <w:noProof/>
        </w:rPr>
        <w:fldChar w:fldCharType="begin"/>
      </w:r>
      <w:r>
        <w:rPr>
          <w:noProof/>
        </w:rPr>
        <w:instrText xml:space="preserve"> PAGEREF _Toc102537395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Interest and special damages</w:t>
      </w:r>
      <w:r>
        <w:rPr>
          <w:noProof/>
        </w:rPr>
        <w:tab/>
      </w:r>
      <w:r>
        <w:rPr>
          <w:noProof/>
        </w:rPr>
        <w:fldChar w:fldCharType="begin"/>
      </w:r>
      <w:r>
        <w:rPr>
          <w:noProof/>
        </w:rPr>
        <w:instrText xml:space="preserve"> PAGEREF _Toc102537396 \h </w:instrText>
      </w:r>
      <w:r>
        <w:rPr>
          <w:noProof/>
        </w:rPr>
      </w:r>
      <w:r>
        <w:rPr>
          <w:noProof/>
        </w:rPr>
        <w:fldChar w:fldCharType="separate"/>
      </w:r>
      <w:r>
        <w:rPr>
          <w:noProof/>
        </w:rPr>
        <w:t>27</w:t>
      </w:r>
      <w:r>
        <w:rPr>
          <w:noProof/>
        </w:rPr>
        <w:fldChar w:fldCharType="end"/>
      </w:r>
    </w:p>
    <w:p>
      <w:pPr>
        <w:pStyle w:val="TOC2"/>
        <w:tabs>
          <w:tab w:val="right" w:leader="dot" w:pos="7086"/>
        </w:tabs>
        <w:rPr>
          <w:b w:val="0"/>
          <w:noProof/>
          <w:sz w:val="24"/>
          <w:szCs w:val="24"/>
        </w:rPr>
      </w:pPr>
      <w:r>
        <w:rPr>
          <w:noProof/>
          <w:szCs w:val="30"/>
        </w:rPr>
        <w:lastRenderedPageBreak/>
        <w:t>Part VI — Supplementary</w:t>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Exclusion of implied terms and conditions</w:t>
      </w:r>
      <w:r>
        <w:rPr>
          <w:noProof/>
        </w:rPr>
        <w:tab/>
      </w:r>
      <w:r>
        <w:rPr>
          <w:noProof/>
        </w:rPr>
        <w:fldChar w:fldCharType="begin"/>
      </w:r>
      <w:r>
        <w:rPr>
          <w:noProof/>
        </w:rPr>
        <w:instrText xml:space="preserve"> PAGEREF _Toc102537398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Reasonable time a question of fact</w:t>
      </w:r>
      <w:r>
        <w:rPr>
          <w:noProof/>
        </w:rPr>
        <w:tab/>
      </w:r>
      <w:r>
        <w:rPr>
          <w:noProof/>
        </w:rPr>
        <w:fldChar w:fldCharType="begin"/>
      </w:r>
      <w:r>
        <w:rPr>
          <w:noProof/>
        </w:rPr>
        <w:instrText xml:space="preserve"> PAGEREF _Toc102537399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Rights, etc., enforceable by action</w:t>
      </w:r>
      <w:r>
        <w:rPr>
          <w:noProof/>
        </w:rPr>
        <w:tab/>
      </w:r>
      <w:r>
        <w:rPr>
          <w:noProof/>
        </w:rPr>
        <w:fldChar w:fldCharType="begin"/>
      </w:r>
      <w:r>
        <w:rPr>
          <w:noProof/>
        </w:rPr>
        <w:instrText xml:space="preserve"> PAGEREF _Toc102537400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Auction sales</w:t>
      </w:r>
      <w:r>
        <w:rPr>
          <w:noProof/>
        </w:rPr>
        <w:tab/>
      </w:r>
      <w:r>
        <w:rPr>
          <w:noProof/>
        </w:rPr>
        <w:fldChar w:fldCharType="begin"/>
      </w:r>
      <w:r>
        <w:rPr>
          <w:noProof/>
        </w:rPr>
        <w:instrText xml:space="preserve"> PAGEREF _Toc102537401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Repeals</w:t>
      </w:r>
      <w:r>
        <w:rPr>
          <w:noProof/>
        </w:rPr>
        <w:tab/>
      </w:r>
      <w:r>
        <w:rPr>
          <w:noProof/>
        </w:rPr>
        <w:fldChar w:fldCharType="begin"/>
      </w:r>
      <w:r>
        <w:rPr>
          <w:noProof/>
        </w:rPr>
        <w:instrText xml:space="preserve"> PAGEREF _Toc102537402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Savings</w:t>
      </w:r>
      <w:r>
        <w:rPr>
          <w:noProof/>
        </w:rPr>
        <w:tab/>
      </w:r>
      <w:r>
        <w:rPr>
          <w:noProof/>
        </w:rPr>
        <w:fldChar w:fldCharType="begin"/>
      </w:r>
      <w:r>
        <w:rPr>
          <w:noProof/>
        </w:rPr>
        <w:instrText xml:space="preserve"> PAGEREF _Toc102537403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Interpretation of terms</w:t>
      </w:r>
      <w:r>
        <w:rPr>
          <w:noProof/>
        </w:rPr>
        <w:tab/>
      </w:r>
      <w:r>
        <w:rPr>
          <w:noProof/>
        </w:rPr>
        <w:fldChar w:fldCharType="begin"/>
      </w:r>
      <w:r>
        <w:rPr>
          <w:noProof/>
        </w:rPr>
        <w:instrText xml:space="preserve"> PAGEREF _Toc102537404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_Toc102537405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62.</w:t>
      </w:r>
      <w:r>
        <w:rPr>
          <w:noProof/>
          <w:sz w:val="24"/>
          <w:szCs w:val="24"/>
        </w:rPr>
        <w:tab/>
      </w:r>
      <w:r>
        <w:rPr>
          <w:noProof/>
          <w:szCs w:val="24"/>
        </w:rPr>
        <w:t>Short title</w:t>
      </w:r>
      <w:r>
        <w:rPr>
          <w:noProof/>
        </w:rPr>
        <w:tab/>
      </w:r>
      <w:r>
        <w:rPr>
          <w:noProof/>
        </w:rPr>
        <w:fldChar w:fldCharType="begin"/>
      </w:r>
      <w:r>
        <w:rPr>
          <w:noProof/>
        </w:rPr>
        <w:instrText xml:space="preserve"> PAGEREF _Toc102537406 \h </w:instrText>
      </w:r>
      <w:r>
        <w:rPr>
          <w:noProof/>
        </w:rPr>
      </w:r>
      <w:r>
        <w:rPr>
          <w:noProof/>
        </w:rPr>
        <w:fldChar w:fldCharType="separate"/>
      </w:r>
      <w:r>
        <w:rPr>
          <w:noProof/>
        </w:rPr>
        <w:t>31</w:t>
      </w:r>
      <w:r>
        <w:rPr>
          <w:noProof/>
        </w:rPr>
        <w:fldChar w:fldCharType="end"/>
      </w:r>
    </w:p>
    <w:p>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_Toc102537407 \h </w:instrText>
      </w:r>
      <w:r>
        <w:rPr>
          <w:b w:val="0"/>
          <w:noProof/>
          <w:sz w:val="22"/>
        </w:rPr>
      </w:r>
      <w:r>
        <w:rPr>
          <w:b w:val="0"/>
          <w:noProof/>
          <w:sz w:val="22"/>
        </w:rPr>
        <w:fldChar w:fldCharType="separate"/>
      </w:r>
      <w:r>
        <w:rPr>
          <w:b w:val="0"/>
          <w:noProof/>
          <w:sz w:val="22"/>
        </w:rPr>
        <w:t>32</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_Toc102537409 \h </w:instrText>
      </w:r>
      <w:r>
        <w:rPr>
          <w:noProof/>
        </w:rPr>
      </w:r>
      <w:r>
        <w:rPr>
          <w:noProof/>
        </w:rPr>
        <w:fldChar w:fldCharType="separate"/>
      </w:r>
      <w:r>
        <w:rPr>
          <w:noProof/>
        </w:rPr>
        <w:t>33</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Sale of Goods Act 1895 </w:t>
      </w:r>
    </w:p>
    <w:p>
      <w:pPr>
        <w:pStyle w:val="LongTitle"/>
        <w:rPr>
          <w:snapToGrid w:val="0"/>
        </w:rPr>
      </w:pPr>
      <w:r>
        <w:rPr>
          <w:snapToGrid w:val="0"/>
        </w:rPr>
        <w:t xml:space="preserve">An Act for codifying the law relating to the sale of goods. </w:t>
      </w:r>
    </w:p>
    <w:p>
      <w:pPr>
        <w:pStyle w:val="Heading2"/>
      </w:pPr>
      <w:bookmarkStart w:id="1" w:name="_Toc89512429"/>
      <w:bookmarkStart w:id="2" w:name="_Toc89752736"/>
      <w:bookmarkStart w:id="3" w:name="_Toc102461927"/>
      <w:bookmarkStart w:id="4" w:name="_Toc102537340"/>
      <w:r>
        <w:rPr>
          <w:rStyle w:val="CharPartNo"/>
        </w:rPr>
        <w:lastRenderedPageBreak/>
        <w:t>Part I</w:t>
      </w:r>
      <w:r>
        <w:rPr>
          <w:rStyle w:val="CharDivNo"/>
        </w:rPr>
        <w:t> </w:t>
      </w:r>
      <w:r>
        <w:t>—</w:t>
      </w:r>
      <w:r>
        <w:rPr>
          <w:rStyle w:val="CharDivText"/>
        </w:rPr>
        <w:t> </w:t>
      </w:r>
      <w:r>
        <w:rPr>
          <w:rStyle w:val="CharPartText"/>
        </w:rPr>
        <w:t>Formation of the contract</w:t>
      </w:r>
      <w:bookmarkEnd w:id="1"/>
      <w:bookmarkEnd w:id="2"/>
      <w:bookmarkEnd w:id="3"/>
      <w:bookmarkEnd w:id="4"/>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5" w:name="_Toc411842691"/>
      <w:bookmarkStart w:id="6" w:name="_Toc3696308"/>
      <w:bookmarkStart w:id="7" w:name="_Toc102537341"/>
      <w:r>
        <w:rPr>
          <w:rStyle w:val="CharSectno"/>
        </w:rPr>
        <w:t>1</w:t>
      </w:r>
      <w:r>
        <w:rPr>
          <w:snapToGrid w:val="0"/>
        </w:rPr>
        <w:t>.</w:t>
      </w:r>
      <w:r>
        <w:rPr>
          <w:snapToGrid w:val="0"/>
        </w:rPr>
        <w:tab/>
        <w:t>Sale and agreement to sell</w:t>
      </w:r>
      <w:bookmarkEnd w:id="5"/>
      <w:bookmarkEnd w:id="6"/>
      <w:bookmarkEnd w:id="7"/>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8" w:name="_Toc411842692"/>
      <w:bookmarkStart w:id="9" w:name="_Toc3696309"/>
      <w:bookmarkStart w:id="10" w:name="_Toc102537342"/>
      <w:r>
        <w:rPr>
          <w:rStyle w:val="CharSectno"/>
        </w:rPr>
        <w:t>2</w:t>
      </w:r>
      <w:r>
        <w:rPr>
          <w:snapToGrid w:val="0"/>
        </w:rPr>
        <w:t>.</w:t>
      </w:r>
      <w:r>
        <w:rPr>
          <w:snapToGrid w:val="0"/>
        </w:rPr>
        <w:tab/>
        <w:t>Capacity to buy and sell</w:t>
      </w:r>
      <w:bookmarkEnd w:id="8"/>
      <w:bookmarkEnd w:id="9"/>
      <w:bookmarkEnd w:id="10"/>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b/>
        </w:rPr>
        <w:t>“</w:t>
      </w:r>
      <w:r>
        <w:rPr>
          <w:rStyle w:val="CharDefText"/>
        </w:rPr>
        <w:t>Necessaries</w:t>
      </w:r>
      <w:r>
        <w:rPr>
          <w:b/>
        </w:rPr>
        <w:t>”</w:t>
      </w:r>
      <w:r>
        <w:t xml:space="preserve"> in this section mean goods suitable to the condition in life of such infant or minor or other person, and to his actual requirements at the time of the sale and delivery.</w:t>
      </w:r>
    </w:p>
    <w:p>
      <w:pPr>
        <w:pStyle w:val="MiscellaneousHeading"/>
        <w:rPr>
          <w:b/>
          <w:snapToGrid w:val="0"/>
        </w:rPr>
      </w:pPr>
      <w:r>
        <w:rPr>
          <w:b/>
          <w:snapToGrid w:val="0"/>
        </w:rPr>
        <w:lastRenderedPageBreak/>
        <w:t>Formalities of the Contract</w:t>
      </w:r>
    </w:p>
    <w:p>
      <w:pPr>
        <w:pStyle w:val="Heading5"/>
        <w:rPr>
          <w:snapToGrid w:val="0"/>
        </w:rPr>
      </w:pPr>
      <w:bookmarkStart w:id="11" w:name="_Toc411842693"/>
      <w:bookmarkStart w:id="12" w:name="_Toc3696310"/>
      <w:bookmarkStart w:id="13" w:name="_Toc102537343"/>
      <w:r>
        <w:rPr>
          <w:rStyle w:val="CharSectno"/>
        </w:rPr>
        <w:t>3</w:t>
      </w:r>
      <w:r>
        <w:rPr>
          <w:snapToGrid w:val="0"/>
        </w:rPr>
        <w:t>.</w:t>
      </w:r>
      <w:r>
        <w:rPr>
          <w:snapToGrid w:val="0"/>
        </w:rPr>
        <w:tab/>
        <w:t>Contract of sale, how made</w:t>
      </w:r>
      <w:bookmarkEnd w:id="11"/>
      <w:bookmarkEnd w:id="12"/>
      <w:bookmarkEnd w:id="13"/>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spacing w:before="120"/>
        <w:rPr>
          <w:snapToGrid w:val="0"/>
        </w:rPr>
      </w:pPr>
      <w:bookmarkStart w:id="14" w:name="_Toc411842694"/>
      <w:bookmarkStart w:id="15" w:name="_Toc3696311"/>
      <w:bookmarkStart w:id="16" w:name="_Toc102537344"/>
      <w:r>
        <w:rPr>
          <w:rStyle w:val="CharSectno"/>
        </w:rPr>
        <w:t>4</w:t>
      </w:r>
      <w:r>
        <w:rPr>
          <w:snapToGrid w:val="0"/>
        </w:rPr>
        <w:t>.</w:t>
      </w:r>
      <w:r>
        <w:rPr>
          <w:snapToGrid w:val="0"/>
        </w:rPr>
        <w:tab/>
        <w:t>Contract for sale of $20 and upwards</w:t>
      </w:r>
      <w:bookmarkEnd w:id="14"/>
      <w:bookmarkEnd w:id="15"/>
      <w:bookmarkEnd w:id="16"/>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MiscellaneousHeading"/>
        <w:spacing w:before="120"/>
        <w:rPr>
          <w:b/>
          <w:snapToGrid w:val="0"/>
        </w:rPr>
      </w:pPr>
      <w:r>
        <w:rPr>
          <w:b/>
          <w:snapToGrid w:val="0"/>
        </w:rPr>
        <w:t>Subject</w:t>
      </w:r>
      <w:r>
        <w:rPr>
          <w:b/>
          <w:snapToGrid w:val="0"/>
        </w:rPr>
        <w:noBreakHyphen/>
        <w:t>matter of contract</w:t>
      </w:r>
    </w:p>
    <w:p>
      <w:pPr>
        <w:pStyle w:val="Heading5"/>
        <w:spacing w:before="120"/>
        <w:rPr>
          <w:snapToGrid w:val="0"/>
        </w:rPr>
      </w:pPr>
      <w:bookmarkStart w:id="17" w:name="_Toc411842695"/>
      <w:bookmarkStart w:id="18" w:name="_Toc3696312"/>
      <w:bookmarkStart w:id="19" w:name="_Toc102537345"/>
      <w:r>
        <w:rPr>
          <w:rStyle w:val="CharSectno"/>
        </w:rPr>
        <w:t>5</w:t>
      </w:r>
      <w:r>
        <w:rPr>
          <w:snapToGrid w:val="0"/>
        </w:rPr>
        <w:t>.</w:t>
      </w:r>
      <w:r>
        <w:rPr>
          <w:snapToGrid w:val="0"/>
        </w:rPr>
        <w:tab/>
        <w:t>Existing or future goods</w:t>
      </w:r>
      <w:bookmarkEnd w:id="17"/>
      <w:bookmarkEnd w:id="18"/>
      <w:bookmarkEnd w:id="19"/>
      <w:r>
        <w:rPr>
          <w:snapToGrid w:val="0"/>
        </w:rPr>
        <w:t xml:space="preserve"> </w:t>
      </w:r>
    </w:p>
    <w:p>
      <w:pPr>
        <w:pStyle w:val="Subsection"/>
        <w:rPr>
          <w:snapToGrid w:val="0"/>
        </w:rPr>
      </w:pPr>
      <w:r>
        <w:rPr>
          <w:snapToGrid w:val="0"/>
        </w:rPr>
        <w:tab/>
        <w:t>(1)</w:t>
      </w:r>
      <w:r>
        <w:rPr>
          <w:snapToGrid w:val="0"/>
        </w:rPr>
        <w:tab/>
        <w:t xml:space="preserve">The goods which form the subject of a contract of sale may be either existing goods, owned or possessed by the seller, or goods to be manufactured or acquired by the seller, after the making of the contract of sale, in this Act called </w:t>
      </w:r>
      <w:r>
        <w:rPr>
          <w:b/>
          <w:snapToGrid w:val="0"/>
        </w:rPr>
        <w:t>“</w:t>
      </w:r>
      <w:r>
        <w:rPr>
          <w:rStyle w:val="CharDefText"/>
        </w:rPr>
        <w:t>future goods</w:t>
      </w:r>
      <w:r>
        <w:rPr>
          <w:b/>
          <w:snapToGrid w:val="0"/>
        </w:rPr>
        <w:t>”</w:t>
      </w:r>
      <w:r>
        <w:rPr>
          <w:snapToGrid w:val="0"/>
        </w:rPr>
        <w:t>.</w:t>
      </w:r>
    </w:p>
    <w:p>
      <w:pPr>
        <w:pStyle w:val="Subsection"/>
        <w:rPr>
          <w:snapToGrid w:val="0"/>
        </w:rPr>
      </w:pPr>
      <w:r>
        <w:rPr>
          <w:snapToGrid w:val="0"/>
        </w:rPr>
        <w:lastRenderedPageBreak/>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spacing w:before="120"/>
        <w:rPr>
          <w:snapToGrid w:val="0"/>
        </w:rPr>
      </w:pPr>
      <w:bookmarkStart w:id="20" w:name="_Toc411842696"/>
      <w:bookmarkStart w:id="21" w:name="_Toc3696313"/>
      <w:bookmarkStart w:id="22" w:name="_Toc102537346"/>
      <w:r>
        <w:rPr>
          <w:rStyle w:val="CharSectno"/>
        </w:rPr>
        <w:t>6</w:t>
      </w:r>
      <w:r>
        <w:rPr>
          <w:snapToGrid w:val="0"/>
        </w:rPr>
        <w:t>.</w:t>
      </w:r>
      <w:r>
        <w:rPr>
          <w:snapToGrid w:val="0"/>
        </w:rPr>
        <w:tab/>
        <w:t>Goods which have perished</w:t>
      </w:r>
      <w:bookmarkEnd w:id="20"/>
      <w:bookmarkEnd w:id="21"/>
      <w:bookmarkEnd w:id="22"/>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spacing w:before="120"/>
        <w:rPr>
          <w:snapToGrid w:val="0"/>
        </w:rPr>
      </w:pPr>
      <w:bookmarkStart w:id="23" w:name="_Toc411842697"/>
      <w:bookmarkStart w:id="24" w:name="_Toc3696314"/>
      <w:bookmarkStart w:id="25" w:name="_Toc102537347"/>
      <w:r>
        <w:rPr>
          <w:rStyle w:val="CharSectno"/>
        </w:rPr>
        <w:t>7</w:t>
      </w:r>
      <w:r>
        <w:rPr>
          <w:snapToGrid w:val="0"/>
        </w:rPr>
        <w:t>.</w:t>
      </w:r>
      <w:r>
        <w:rPr>
          <w:snapToGrid w:val="0"/>
        </w:rPr>
        <w:tab/>
        <w:t>Goods perishing before sale but after agreement to sell</w:t>
      </w:r>
      <w:bookmarkEnd w:id="23"/>
      <w:bookmarkEnd w:id="24"/>
      <w:bookmarkEnd w:id="25"/>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120"/>
        <w:rPr>
          <w:b/>
          <w:snapToGrid w:val="0"/>
        </w:rPr>
      </w:pPr>
      <w:r>
        <w:rPr>
          <w:b/>
          <w:snapToGrid w:val="0"/>
        </w:rPr>
        <w:t>The price</w:t>
      </w:r>
    </w:p>
    <w:p>
      <w:pPr>
        <w:pStyle w:val="Heading5"/>
        <w:spacing w:before="120"/>
        <w:rPr>
          <w:snapToGrid w:val="0"/>
        </w:rPr>
      </w:pPr>
      <w:bookmarkStart w:id="26" w:name="_Toc411842698"/>
      <w:bookmarkStart w:id="27" w:name="_Toc3696315"/>
      <w:bookmarkStart w:id="28" w:name="_Toc102537348"/>
      <w:r>
        <w:rPr>
          <w:rStyle w:val="CharSectno"/>
        </w:rPr>
        <w:t>8</w:t>
      </w:r>
      <w:r>
        <w:rPr>
          <w:snapToGrid w:val="0"/>
        </w:rPr>
        <w:t>.</w:t>
      </w:r>
      <w:r>
        <w:rPr>
          <w:snapToGrid w:val="0"/>
        </w:rPr>
        <w:tab/>
        <w:t>Ascertainment of price</w:t>
      </w:r>
      <w:bookmarkEnd w:id="26"/>
      <w:bookmarkEnd w:id="27"/>
      <w:bookmarkEnd w:id="28"/>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29" w:name="_Toc411842699"/>
      <w:bookmarkStart w:id="30" w:name="_Toc3696316"/>
      <w:bookmarkStart w:id="31" w:name="_Toc102537349"/>
      <w:r>
        <w:rPr>
          <w:rStyle w:val="CharSectno"/>
        </w:rPr>
        <w:t>9</w:t>
      </w:r>
      <w:r>
        <w:rPr>
          <w:snapToGrid w:val="0"/>
        </w:rPr>
        <w:t>.</w:t>
      </w:r>
      <w:r>
        <w:rPr>
          <w:snapToGrid w:val="0"/>
        </w:rPr>
        <w:tab/>
        <w:t>Agreement to sell at valuation</w:t>
      </w:r>
      <w:bookmarkEnd w:id="29"/>
      <w:bookmarkEnd w:id="30"/>
      <w:bookmarkEnd w:id="31"/>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rPr>
          <w:b/>
          <w:snapToGrid w:val="0"/>
        </w:rPr>
      </w:pPr>
      <w:r>
        <w:rPr>
          <w:b/>
          <w:snapToGrid w:val="0"/>
        </w:rPr>
        <w:t>Conditions and warranties</w:t>
      </w:r>
    </w:p>
    <w:p>
      <w:pPr>
        <w:pStyle w:val="Heading5"/>
        <w:rPr>
          <w:snapToGrid w:val="0"/>
        </w:rPr>
      </w:pPr>
      <w:bookmarkStart w:id="32" w:name="_Toc411842700"/>
      <w:bookmarkStart w:id="33" w:name="_Toc3696317"/>
      <w:bookmarkStart w:id="34" w:name="_Toc102537350"/>
      <w:r>
        <w:rPr>
          <w:rStyle w:val="CharSectno"/>
        </w:rPr>
        <w:t>10</w:t>
      </w:r>
      <w:r>
        <w:rPr>
          <w:snapToGrid w:val="0"/>
        </w:rPr>
        <w:t>.</w:t>
      </w:r>
      <w:r>
        <w:rPr>
          <w:snapToGrid w:val="0"/>
        </w:rPr>
        <w:tab/>
        <w:t>Stipulations as to time</w:t>
      </w:r>
      <w:bookmarkEnd w:id="32"/>
      <w:bookmarkEnd w:id="33"/>
      <w:bookmarkEnd w:id="34"/>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rStyle w:val="CharDefText"/>
        </w:rPr>
        <w:t>month</w:t>
      </w:r>
      <w:r>
        <w:rPr>
          <w:b/>
          <w:snapToGrid w:val="0"/>
        </w:rPr>
        <w:t>”</w:t>
      </w:r>
      <w:r>
        <w:rPr>
          <w:snapToGrid w:val="0"/>
        </w:rPr>
        <w:t xml:space="preserve"> means prima facie calendar month.</w:t>
      </w:r>
    </w:p>
    <w:p>
      <w:pPr>
        <w:pStyle w:val="Heading5"/>
        <w:rPr>
          <w:snapToGrid w:val="0"/>
        </w:rPr>
      </w:pPr>
      <w:bookmarkStart w:id="35" w:name="_Toc411842701"/>
      <w:bookmarkStart w:id="36" w:name="_Toc3696318"/>
      <w:bookmarkStart w:id="37" w:name="_Toc102537351"/>
      <w:r>
        <w:rPr>
          <w:rStyle w:val="CharSectno"/>
        </w:rPr>
        <w:t>11</w:t>
      </w:r>
      <w:r>
        <w:rPr>
          <w:snapToGrid w:val="0"/>
        </w:rPr>
        <w:t>.</w:t>
      </w:r>
      <w:r>
        <w:rPr>
          <w:snapToGrid w:val="0"/>
        </w:rPr>
        <w:tab/>
        <w:t>When condition to be treated as warranty</w:t>
      </w:r>
      <w:bookmarkEnd w:id="35"/>
      <w:bookmarkEnd w:id="36"/>
      <w:bookmarkEnd w:id="37"/>
      <w:r>
        <w:rPr>
          <w:snapToGrid w:val="0"/>
        </w:rPr>
        <w:t xml:space="preserve"> </w:t>
      </w:r>
    </w:p>
    <w:p>
      <w:pPr>
        <w:pStyle w:val="Subsection"/>
        <w:spacing w:before="120"/>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38" w:name="_Toc411842702"/>
      <w:bookmarkStart w:id="39" w:name="_Toc3696319"/>
      <w:bookmarkStart w:id="40" w:name="_Toc102537352"/>
      <w:r>
        <w:rPr>
          <w:rStyle w:val="CharSectno"/>
        </w:rPr>
        <w:t>12</w:t>
      </w:r>
      <w:r>
        <w:rPr>
          <w:snapToGrid w:val="0"/>
        </w:rPr>
        <w:t>.</w:t>
      </w:r>
      <w:r>
        <w:rPr>
          <w:snapToGrid w:val="0"/>
        </w:rPr>
        <w:tab/>
        <w:t>Implied undertaking as to title, etc.</w:t>
      </w:r>
      <w:bookmarkEnd w:id="38"/>
      <w:bookmarkEnd w:id="39"/>
      <w:bookmarkEnd w:id="40"/>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41" w:name="_Toc411842703"/>
      <w:bookmarkStart w:id="42" w:name="_Toc3696320"/>
      <w:bookmarkStart w:id="43" w:name="_Toc102537353"/>
      <w:r>
        <w:rPr>
          <w:rStyle w:val="CharSectno"/>
        </w:rPr>
        <w:t>13</w:t>
      </w:r>
      <w:r>
        <w:rPr>
          <w:snapToGrid w:val="0"/>
        </w:rPr>
        <w:t>.</w:t>
      </w:r>
      <w:r>
        <w:rPr>
          <w:snapToGrid w:val="0"/>
        </w:rPr>
        <w:tab/>
        <w:t>Sale by description</w:t>
      </w:r>
      <w:bookmarkEnd w:id="41"/>
      <w:bookmarkEnd w:id="42"/>
      <w:bookmarkEnd w:id="43"/>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44" w:name="_Toc411842704"/>
      <w:bookmarkStart w:id="45" w:name="_Toc3696321"/>
      <w:bookmarkStart w:id="46" w:name="_Toc102537354"/>
      <w:r>
        <w:rPr>
          <w:rStyle w:val="CharSectno"/>
        </w:rPr>
        <w:t>14</w:t>
      </w:r>
      <w:r>
        <w:rPr>
          <w:snapToGrid w:val="0"/>
        </w:rPr>
        <w:t>.</w:t>
      </w:r>
      <w:r>
        <w:rPr>
          <w:snapToGrid w:val="0"/>
        </w:rPr>
        <w:tab/>
        <w:t>Implied conditions as to quality or fitness</w:t>
      </w:r>
      <w:bookmarkEnd w:id="44"/>
      <w:bookmarkEnd w:id="45"/>
      <w:bookmarkEnd w:id="46"/>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rPr>
          <w:b/>
          <w:snapToGrid w:val="0"/>
        </w:rPr>
      </w:pPr>
      <w:r>
        <w:rPr>
          <w:b/>
          <w:snapToGrid w:val="0"/>
        </w:rPr>
        <w:t>Sale by sample</w:t>
      </w:r>
    </w:p>
    <w:p>
      <w:pPr>
        <w:pStyle w:val="Heading5"/>
        <w:rPr>
          <w:snapToGrid w:val="0"/>
        </w:rPr>
      </w:pPr>
      <w:bookmarkStart w:id="47" w:name="_Toc411842705"/>
      <w:bookmarkStart w:id="48" w:name="_Toc3696322"/>
      <w:bookmarkStart w:id="49" w:name="_Toc102537355"/>
      <w:r>
        <w:rPr>
          <w:rStyle w:val="CharSectno"/>
        </w:rPr>
        <w:t>15</w:t>
      </w:r>
      <w:r>
        <w:rPr>
          <w:snapToGrid w:val="0"/>
        </w:rPr>
        <w:t>.</w:t>
      </w:r>
      <w:r>
        <w:rPr>
          <w:snapToGrid w:val="0"/>
        </w:rPr>
        <w:tab/>
        <w:t>Sale by sample</w:t>
      </w:r>
      <w:bookmarkEnd w:id="47"/>
      <w:bookmarkEnd w:id="48"/>
      <w:bookmarkEnd w:id="49"/>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keepNext/>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50" w:name="_Toc89512445"/>
      <w:bookmarkStart w:id="51" w:name="_Toc89752752"/>
      <w:bookmarkStart w:id="52" w:name="_Toc102461943"/>
      <w:bookmarkStart w:id="53" w:name="_Toc102537356"/>
      <w:r>
        <w:rPr>
          <w:rStyle w:val="CharPartNo"/>
        </w:rPr>
        <w:t>Part II</w:t>
      </w:r>
      <w:r>
        <w:rPr>
          <w:rStyle w:val="CharDivNo"/>
        </w:rPr>
        <w:t> </w:t>
      </w:r>
      <w:r>
        <w:t>—</w:t>
      </w:r>
      <w:r>
        <w:rPr>
          <w:rStyle w:val="CharDivText"/>
        </w:rPr>
        <w:t> </w:t>
      </w:r>
      <w:r>
        <w:rPr>
          <w:rStyle w:val="CharPartText"/>
        </w:rPr>
        <w:t>Effects of the contract</w:t>
      </w:r>
      <w:bookmarkEnd w:id="50"/>
      <w:bookmarkEnd w:id="51"/>
      <w:bookmarkEnd w:id="52"/>
      <w:bookmarkEnd w:id="53"/>
      <w:r>
        <w:rPr>
          <w:rStyle w:val="CharPartText"/>
        </w:rPr>
        <w:t xml:space="preserve"> </w:t>
      </w:r>
    </w:p>
    <w:p>
      <w:pPr>
        <w:pStyle w:val="MiscellaneousHeading"/>
        <w:rPr>
          <w:b/>
          <w:snapToGrid w:val="0"/>
        </w:rPr>
      </w:pPr>
      <w:r>
        <w:rPr>
          <w:b/>
          <w:snapToGrid w:val="0"/>
        </w:rPr>
        <w:t>Transfer of property as between seller and buyer</w:t>
      </w:r>
    </w:p>
    <w:p>
      <w:pPr>
        <w:pStyle w:val="Heading5"/>
        <w:rPr>
          <w:snapToGrid w:val="0"/>
        </w:rPr>
      </w:pPr>
      <w:bookmarkStart w:id="54" w:name="_Toc411842706"/>
      <w:bookmarkStart w:id="55" w:name="_Toc3696323"/>
      <w:bookmarkStart w:id="56" w:name="_Toc102537357"/>
      <w:r>
        <w:rPr>
          <w:rStyle w:val="CharSectno"/>
        </w:rPr>
        <w:t>16</w:t>
      </w:r>
      <w:r>
        <w:rPr>
          <w:snapToGrid w:val="0"/>
        </w:rPr>
        <w:t>.</w:t>
      </w:r>
      <w:r>
        <w:rPr>
          <w:snapToGrid w:val="0"/>
        </w:rPr>
        <w:tab/>
        <w:t>Goods must be ascertained</w:t>
      </w:r>
      <w:bookmarkEnd w:id="54"/>
      <w:bookmarkEnd w:id="55"/>
      <w:bookmarkEnd w:id="56"/>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57" w:name="_Toc411842707"/>
      <w:bookmarkStart w:id="58" w:name="_Toc3696324"/>
      <w:bookmarkStart w:id="59" w:name="_Toc102537358"/>
      <w:r>
        <w:rPr>
          <w:rStyle w:val="CharSectno"/>
        </w:rPr>
        <w:t>17</w:t>
      </w:r>
      <w:r>
        <w:rPr>
          <w:snapToGrid w:val="0"/>
        </w:rPr>
        <w:t>.</w:t>
      </w:r>
      <w:r>
        <w:rPr>
          <w:snapToGrid w:val="0"/>
        </w:rPr>
        <w:tab/>
        <w:t>Property passes when intended to pass</w:t>
      </w:r>
      <w:bookmarkEnd w:id="57"/>
      <w:bookmarkEnd w:id="58"/>
      <w:bookmarkEnd w:id="59"/>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60" w:name="_Toc411842708"/>
      <w:bookmarkStart w:id="61" w:name="_Toc3696325"/>
      <w:bookmarkStart w:id="62" w:name="_Toc102537359"/>
      <w:r>
        <w:rPr>
          <w:rStyle w:val="CharSectno"/>
        </w:rPr>
        <w:t>18</w:t>
      </w:r>
      <w:r>
        <w:rPr>
          <w:snapToGrid w:val="0"/>
        </w:rPr>
        <w:t>.</w:t>
      </w:r>
      <w:r>
        <w:rPr>
          <w:snapToGrid w:val="0"/>
        </w:rPr>
        <w:tab/>
        <w:t>Rules for ascertaining intention</w:t>
      </w:r>
      <w:bookmarkEnd w:id="60"/>
      <w:bookmarkEnd w:id="61"/>
      <w:bookmarkEnd w:id="62"/>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March 2002 p.1032.]</w:t>
      </w:r>
    </w:p>
    <w:p>
      <w:pPr>
        <w:pStyle w:val="Heading5"/>
        <w:rPr>
          <w:snapToGrid w:val="0"/>
        </w:rPr>
      </w:pPr>
      <w:bookmarkStart w:id="63" w:name="_Toc411842709"/>
      <w:bookmarkStart w:id="64" w:name="_Toc3696326"/>
      <w:bookmarkStart w:id="65" w:name="_Toc102537360"/>
      <w:r>
        <w:rPr>
          <w:rStyle w:val="CharSectno"/>
        </w:rPr>
        <w:t>19</w:t>
      </w:r>
      <w:r>
        <w:rPr>
          <w:snapToGrid w:val="0"/>
        </w:rPr>
        <w:t>.</w:t>
      </w:r>
      <w:r>
        <w:rPr>
          <w:snapToGrid w:val="0"/>
        </w:rPr>
        <w:tab/>
        <w:t>Reservation of right of disposal</w:t>
      </w:r>
      <w:bookmarkEnd w:id="63"/>
      <w:bookmarkEnd w:id="64"/>
      <w:bookmarkEnd w:id="65"/>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66" w:name="_Toc411842710"/>
      <w:bookmarkStart w:id="67" w:name="_Toc3696327"/>
      <w:bookmarkStart w:id="68" w:name="_Toc102537361"/>
      <w:r>
        <w:rPr>
          <w:rStyle w:val="CharSectno"/>
        </w:rPr>
        <w:t>20</w:t>
      </w:r>
      <w:r>
        <w:rPr>
          <w:snapToGrid w:val="0"/>
        </w:rPr>
        <w:t>.</w:t>
      </w:r>
      <w:r>
        <w:rPr>
          <w:snapToGrid w:val="0"/>
        </w:rPr>
        <w:tab/>
        <w:t>Risk, prima facie, passes with property</w:t>
      </w:r>
      <w:bookmarkEnd w:id="66"/>
      <w:bookmarkEnd w:id="67"/>
      <w:bookmarkEnd w:id="68"/>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spacing w:before="120"/>
        <w:rPr>
          <w:snapToGrid w:val="0"/>
        </w:rPr>
      </w:pPr>
      <w:bookmarkStart w:id="69" w:name="_Toc411842711"/>
      <w:bookmarkStart w:id="70" w:name="_Toc3696328"/>
      <w:bookmarkStart w:id="71" w:name="_Toc102537362"/>
      <w:r>
        <w:rPr>
          <w:rStyle w:val="CharSectno"/>
        </w:rPr>
        <w:t>21</w:t>
      </w:r>
      <w:r>
        <w:rPr>
          <w:snapToGrid w:val="0"/>
        </w:rPr>
        <w:t>.</w:t>
      </w:r>
      <w:r>
        <w:rPr>
          <w:snapToGrid w:val="0"/>
        </w:rPr>
        <w:tab/>
        <w:t>Sale by person not the owner</w:t>
      </w:r>
      <w:bookmarkEnd w:id="69"/>
      <w:bookmarkEnd w:id="70"/>
      <w:bookmarkEnd w:id="71"/>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spacing w:before="120"/>
        <w:rPr>
          <w:snapToGrid w:val="0"/>
        </w:rPr>
      </w:pPr>
      <w:bookmarkStart w:id="72" w:name="_Toc411842712"/>
      <w:bookmarkStart w:id="73" w:name="_Toc3696329"/>
      <w:bookmarkStart w:id="74" w:name="_Toc102537363"/>
      <w:r>
        <w:rPr>
          <w:rStyle w:val="CharSectno"/>
        </w:rPr>
        <w:t>22</w:t>
      </w:r>
      <w:r>
        <w:rPr>
          <w:snapToGrid w:val="0"/>
        </w:rPr>
        <w:t>.</w:t>
      </w:r>
      <w:r>
        <w:rPr>
          <w:snapToGrid w:val="0"/>
        </w:rPr>
        <w:tab/>
        <w:t>Market overt</w:t>
      </w:r>
      <w:bookmarkEnd w:id="72"/>
      <w:bookmarkEnd w:id="73"/>
      <w:bookmarkEnd w:id="74"/>
      <w:r>
        <w:rPr>
          <w:snapToGrid w:val="0"/>
        </w:rPr>
        <w:t xml:space="preserve"> </w:t>
      </w:r>
    </w:p>
    <w:p>
      <w:pPr>
        <w:pStyle w:val="Subsection"/>
        <w:spacing w:before="120"/>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spacing w:before="120"/>
        <w:rPr>
          <w:snapToGrid w:val="0"/>
        </w:rPr>
      </w:pPr>
      <w:bookmarkStart w:id="75" w:name="_Toc411842713"/>
      <w:bookmarkStart w:id="76" w:name="_Toc3696330"/>
      <w:bookmarkStart w:id="77" w:name="_Toc102537364"/>
      <w:r>
        <w:rPr>
          <w:rStyle w:val="CharSectno"/>
        </w:rPr>
        <w:t>23</w:t>
      </w:r>
      <w:r>
        <w:rPr>
          <w:snapToGrid w:val="0"/>
        </w:rPr>
        <w:t>.</w:t>
      </w:r>
      <w:r>
        <w:rPr>
          <w:snapToGrid w:val="0"/>
        </w:rPr>
        <w:tab/>
        <w:t>Sale under voidable title</w:t>
      </w:r>
      <w:bookmarkEnd w:id="75"/>
      <w:bookmarkEnd w:id="76"/>
      <w:bookmarkEnd w:id="77"/>
      <w:r>
        <w:rPr>
          <w:snapToGrid w:val="0"/>
        </w:rPr>
        <w:t xml:space="preserve"> </w:t>
      </w:r>
    </w:p>
    <w:p>
      <w:pPr>
        <w:pStyle w:val="Subsection"/>
        <w:spacing w:before="120"/>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spacing w:before="120"/>
        <w:rPr>
          <w:snapToGrid w:val="0"/>
        </w:rPr>
      </w:pPr>
      <w:bookmarkStart w:id="78" w:name="_Toc411842714"/>
      <w:bookmarkStart w:id="79" w:name="_Toc3696331"/>
      <w:bookmarkStart w:id="80" w:name="_Toc102537365"/>
      <w:r>
        <w:rPr>
          <w:rStyle w:val="CharSectno"/>
        </w:rPr>
        <w:t>24</w:t>
      </w:r>
      <w:r>
        <w:rPr>
          <w:snapToGrid w:val="0"/>
        </w:rPr>
        <w:t>.</w:t>
      </w:r>
      <w:r>
        <w:rPr>
          <w:snapToGrid w:val="0"/>
        </w:rPr>
        <w:tab/>
        <w:t>Revesting of property in stolen goods on conviction of offender</w:t>
      </w:r>
      <w:bookmarkEnd w:id="78"/>
      <w:bookmarkEnd w:id="79"/>
      <w:bookmarkEnd w:id="80"/>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s.109.]</w:t>
      </w:r>
    </w:p>
    <w:p>
      <w:pPr>
        <w:pStyle w:val="Heading5"/>
        <w:rPr>
          <w:snapToGrid w:val="0"/>
        </w:rPr>
      </w:pPr>
      <w:bookmarkStart w:id="81" w:name="_Toc411842715"/>
      <w:bookmarkStart w:id="82" w:name="_Toc3696332"/>
      <w:bookmarkStart w:id="83" w:name="_Toc102537366"/>
      <w:r>
        <w:rPr>
          <w:rStyle w:val="CharSectno"/>
        </w:rPr>
        <w:t>25</w:t>
      </w:r>
      <w:r>
        <w:rPr>
          <w:snapToGrid w:val="0"/>
        </w:rPr>
        <w:t>.</w:t>
      </w:r>
      <w:r>
        <w:rPr>
          <w:snapToGrid w:val="0"/>
        </w:rPr>
        <w:tab/>
        <w:t>Seller or buyer in possession after sale</w:t>
      </w:r>
      <w:bookmarkEnd w:id="81"/>
      <w:bookmarkEnd w:id="82"/>
      <w:bookmarkEnd w:id="83"/>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b/>
          <w:snapToGrid w:val="0"/>
        </w:rPr>
        <w:t>“</w:t>
      </w:r>
      <w:r>
        <w:rPr>
          <w:rStyle w:val="CharDefText"/>
        </w:rPr>
        <w:t>mercantile agent</w:t>
      </w:r>
      <w:r>
        <w:rPr>
          <w:b/>
          <w:snapToGrid w:val="0"/>
        </w:rPr>
        <w: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r>
      <w:r>
        <w:tab/>
        <w:t>Repealed by No. 59 of 2004 s. 141.]</w:t>
      </w:r>
    </w:p>
    <w:p>
      <w:pPr>
        <w:pStyle w:val="Heading2"/>
      </w:pPr>
      <w:bookmarkStart w:id="84" w:name="_Toc89512457"/>
      <w:bookmarkStart w:id="85" w:name="_Toc89752764"/>
      <w:bookmarkStart w:id="86" w:name="_Toc102461955"/>
      <w:bookmarkStart w:id="87" w:name="_Toc102537367"/>
      <w:r>
        <w:rPr>
          <w:rStyle w:val="CharPartNo"/>
        </w:rPr>
        <w:t>Part III</w:t>
      </w:r>
      <w:r>
        <w:rPr>
          <w:rStyle w:val="CharDivNo"/>
        </w:rPr>
        <w:t> </w:t>
      </w:r>
      <w:r>
        <w:t>—</w:t>
      </w:r>
      <w:r>
        <w:rPr>
          <w:rStyle w:val="CharDivText"/>
        </w:rPr>
        <w:t> </w:t>
      </w:r>
      <w:r>
        <w:rPr>
          <w:rStyle w:val="CharPartText"/>
        </w:rPr>
        <w:t>Performance of the contract</w:t>
      </w:r>
      <w:bookmarkEnd w:id="84"/>
      <w:bookmarkEnd w:id="85"/>
      <w:bookmarkEnd w:id="86"/>
      <w:bookmarkEnd w:id="87"/>
      <w:r>
        <w:rPr>
          <w:rStyle w:val="CharPartText"/>
        </w:rPr>
        <w:t xml:space="preserve"> </w:t>
      </w:r>
    </w:p>
    <w:p>
      <w:pPr>
        <w:pStyle w:val="Heading5"/>
        <w:rPr>
          <w:snapToGrid w:val="0"/>
        </w:rPr>
      </w:pPr>
      <w:bookmarkStart w:id="88" w:name="_Toc411842717"/>
      <w:bookmarkStart w:id="89" w:name="_Toc3696334"/>
      <w:bookmarkStart w:id="90" w:name="_Toc102537368"/>
      <w:r>
        <w:rPr>
          <w:rStyle w:val="CharSectno"/>
        </w:rPr>
        <w:t>27</w:t>
      </w:r>
      <w:r>
        <w:rPr>
          <w:snapToGrid w:val="0"/>
        </w:rPr>
        <w:t>.</w:t>
      </w:r>
      <w:r>
        <w:rPr>
          <w:snapToGrid w:val="0"/>
        </w:rPr>
        <w:tab/>
        <w:t>Duties of seller and buyer</w:t>
      </w:r>
      <w:bookmarkEnd w:id="88"/>
      <w:bookmarkEnd w:id="89"/>
      <w:bookmarkEnd w:id="90"/>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91" w:name="_Toc411842718"/>
      <w:bookmarkStart w:id="92" w:name="_Toc3696335"/>
      <w:bookmarkStart w:id="93" w:name="_Toc102537369"/>
      <w:r>
        <w:rPr>
          <w:rStyle w:val="CharSectno"/>
        </w:rPr>
        <w:t>28</w:t>
      </w:r>
      <w:r>
        <w:rPr>
          <w:snapToGrid w:val="0"/>
        </w:rPr>
        <w:t>.</w:t>
      </w:r>
      <w:r>
        <w:rPr>
          <w:snapToGrid w:val="0"/>
        </w:rPr>
        <w:tab/>
        <w:t>Payment and delivery are concurrent conditions</w:t>
      </w:r>
      <w:bookmarkEnd w:id="91"/>
      <w:bookmarkEnd w:id="92"/>
      <w:bookmarkEnd w:id="93"/>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94" w:name="_Toc411842719"/>
      <w:bookmarkStart w:id="95" w:name="_Toc3696336"/>
      <w:bookmarkStart w:id="96" w:name="_Toc102537370"/>
      <w:r>
        <w:rPr>
          <w:rStyle w:val="CharSectno"/>
        </w:rPr>
        <w:t>29</w:t>
      </w:r>
      <w:r>
        <w:rPr>
          <w:snapToGrid w:val="0"/>
        </w:rPr>
        <w:t>.</w:t>
      </w:r>
      <w:r>
        <w:rPr>
          <w:snapToGrid w:val="0"/>
        </w:rPr>
        <w:tab/>
        <w:t>Rules as to delivery</w:t>
      </w:r>
      <w:bookmarkEnd w:id="94"/>
      <w:bookmarkEnd w:id="95"/>
      <w:bookmarkEnd w:id="96"/>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97" w:name="_Toc411842720"/>
      <w:bookmarkStart w:id="98" w:name="_Toc3696337"/>
      <w:bookmarkStart w:id="99" w:name="_Toc102537371"/>
      <w:r>
        <w:rPr>
          <w:rStyle w:val="CharSectno"/>
        </w:rPr>
        <w:t>30</w:t>
      </w:r>
      <w:r>
        <w:rPr>
          <w:snapToGrid w:val="0"/>
        </w:rPr>
        <w:t>.</w:t>
      </w:r>
      <w:r>
        <w:rPr>
          <w:snapToGrid w:val="0"/>
        </w:rPr>
        <w:tab/>
        <w:t>Delivery of wrong quantity</w:t>
      </w:r>
      <w:bookmarkEnd w:id="97"/>
      <w:bookmarkEnd w:id="98"/>
      <w:bookmarkEnd w:id="99"/>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100" w:name="_Toc411842721"/>
      <w:bookmarkStart w:id="101" w:name="_Toc3696338"/>
      <w:bookmarkStart w:id="102" w:name="_Toc102537372"/>
      <w:r>
        <w:rPr>
          <w:rStyle w:val="CharSectno"/>
        </w:rPr>
        <w:t>31</w:t>
      </w:r>
      <w:r>
        <w:rPr>
          <w:snapToGrid w:val="0"/>
        </w:rPr>
        <w:t>.</w:t>
      </w:r>
      <w:r>
        <w:rPr>
          <w:snapToGrid w:val="0"/>
        </w:rPr>
        <w:tab/>
        <w:t>Instalment deliveries</w:t>
      </w:r>
      <w:bookmarkEnd w:id="100"/>
      <w:bookmarkEnd w:id="101"/>
      <w:bookmarkEnd w:id="102"/>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103" w:name="_Toc411842722"/>
      <w:bookmarkStart w:id="104" w:name="_Toc3696339"/>
      <w:bookmarkStart w:id="105" w:name="_Toc102537373"/>
      <w:r>
        <w:rPr>
          <w:rStyle w:val="CharSectno"/>
        </w:rPr>
        <w:t>32</w:t>
      </w:r>
      <w:r>
        <w:rPr>
          <w:snapToGrid w:val="0"/>
        </w:rPr>
        <w:t>.</w:t>
      </w:r>
      <w:r>
        <w:rPr>
          <w:snapToGrid w:val="0"/>
        </w:rPr>
        <w:tab/>
        <w:t>Delivery to carrier</w:t>
      </w:r>
      <w:bookmarkEnd w:id="103"/>
      <w:bookmarkEnd w:id="104"/>
      <w:bookmarkEnd w:id="105"/>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106" w:name="_Toc411842723"/>
      <w:bookmarkStart w:id="107" w:name="_Toc3696340"/>
      <w:bookmarkStart w:id="108" w:name="_Toc102537374"/>
      <w:r>
        <w:rPr>
          <w:rStyle w:val="CharSectno"/>
        </w:rPr>
        <w:t>33</w:t>
      </w:r>
      <w:r>
        <w:rPr>
          <w:snapToGrid w:val="0"/>
        </w:rPr>
        <w:t>.</w:t>
      </w:r>
      <w:r>
        <w:rPr>
          <w:snapToGrid w:val="0"/>
        </w:rPr>
        <w:tab/>
        <w:t>Risk where goods are delivered at distant place</w:t>
      </w:r>
      <w:bookmarkEnd w:id="106"/>
      <w:bookmarkEnd w:id="107"/>
      <w:bookmarkEnd w:id="108"/>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s.4.] </w:t>
      </w:r>
    </w:p>
    <w:p>
      <w:pPr>
        <w:pStyle w:val="Heading5"/>
        <w:rPr>
          <w:snapToGrid w:val="0"/>
        </w:rPr>
      </w:pPr>
      <w:bookmarkStart w:id="109" w:name="_Toc411842724"/>
      <w:bookmarkStart w:id="110" w:name="_Toc3696341"/>
      <w:bookmarkStart w:id="111" w:name="_Toc102537375"/>
      <w:r>
        <w:rPr>
          <w:rStyle w:val="CharSectno"/>
        </w:rPr>
        <w:t>34</w:t>
      </w:r>
      <w:r>
        <w:rPr>
          <w:snapToGrid w:val="0"/>
        </w:rPr>
        <w:t>.</w:t>
      </w:r>
      <w:r>
        <w:rPr>
          <w:snapToGrid w:val="0"/>
        </w:rPr>
        <w:tab/>
        <w:t>Buyer’s right of examining the goods</w:t>
      </w:r>
      <w:bookmarkEnd w:id="109"/>
      <w:bookmarkEnd w:id="110"/>
      <w:bookmarkEnd w:id="111"/>
      <w:r>
        <w:rPr>
          <w:snapToGrid w:val="0"/>
        </w:rPr>
        <w:t xml:space="preserve"> </w:t>
      </w:r>
    </w:p>
    <w:p>
      <w:pPr>
        <w:pStyle w:val="Subsection"/>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rPr>
          <w:snapToGrid w:val="0"/>
        </w:rPr>
      </w:pPr>
      <w:bookmarkStart w:id="112" w:name="_Toc411842725"/>
      <w:bookmarkStart w:id="113" w:name="_Toc3696342"/>
      <w:bookmarkStart w:id="114" w:name="_Toc102537376"/>
      <w:r>
        <w:rPr>
          <w:rStyle w:val="CharSectno"/>
        </w:rPr>
        <w:t>35</w:t>
      </w:r>
      <w:r>
        <w:rPr>
          <w:snapToGrid w:val="0"/>
        </w:rPr>
        <w:t>.</w:t>
      </w:r>
      <w:r>
        <w:rPr>
          <w:snapToGrid w:val="0"/>
        </w:rPr>
        <w:tab/>
        <w:t>Acceptance</w:t>
      </w:r>
      <w:bookmarkEnd w:id="112"/>
      <w:bookmarkEnd w:id="113"/>
      <w:bookmarkEnd w:id="114"/>
      <w:r>
        <w:rPr>
          <w:snapToGrid w:val="0"/>
        </w:rPr>
        <w:t xml:space="preserve"> </w:t>
      </w:r>
    </w:p>
    <w:p>
      <w:pPr>
        <w:pStyle w:val="Subsection"/>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rPr>
          <w:snapToGrid w:val="0"/>
        </w:rPr>
      </w:pPr>
      <w:bookmarkStart w:id="115" w:name="_Toc411842726"/>
      <w:bookmarkStart w:id="116" w:name="_Toc3696343"/>
      <w:bookmarkStart w:id="117" w:name="_Toc102537377"/>
      <w:r>
        <w:rPr>
          <w:rStyle w:val="CharSectno"/>
        </w:rPr>
        <w:t>36</w:t>
      </w:r>
      <w:r>
        <w:rPr>
          <w:snapToGrid w:val="0"/>
        </w:rPr>
        <w:t>.</w:t>
      </w:r>
      <w:r>
        <w:rPr>
          <w:snapToGrid w:val="0"/>
        </w:rPr>
        <w:tab/>
        <w:t>Buyer not bound to return rejected goods</w:t>
      </w:r>
      <w:bookmarkEnd w:id="115"/>
      <w:bookmarkEnd w:id="116"/>
      <w:bookmarkEnd w:id="117"/>
      <w:r>
        <w:rPr>
          <w:snapToGrid w:val="0"/>
        </w:rPr>
        <w:t xml:space="preserve"> </w:t>
      </w:r>
    </w:p>
    <w:p>
      <w:pPr>
        <w:pStyle w:val="Subsection"/>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rPr>
          <w:snapToGrid w:val="0"/>
        </w:rPr>
      </w:pPr>
      <w:bookmarkStart w:id="118" w:name="_Toc411842727"/>
      <w:bookmarkStart w:id="119" w:name="_Toc3696344"/>
      <w:bookmarkStart w:id="120" w:name="_Toc102537378"/>
      <w:r>
        <w:rPr>
          <w:rStyle w:val="CharSectno"/>
        </w:rPr>
        <w:t>37</w:t>
      </w:r>
      <w:r>
        <w:rPr>
          <w:snapToGrid w:val="0"/>
        </w:rPr>
        <w:t>.</w:t>
      </w:r>
      <w:r>
        <w:rPr>
          <w:snapToGrid w:val="0"/>
        </w:rPr>
        <w:tab/>
        <w:t>Liability of buyer for neglecting or refusing delivery of goods</w:t>
      </w:r>
      <w:bookmarkEnd w:id="118"/>
      <w:bookmarkEnd w:id="119"/>
      <w:bookmarkEnd w:id="120"/>
      <w:r>
        <w:rPr>
          <w:snapToGrid w:val="0"/>
        </w:rPr>
        <w:t xml:space="preserve"> </w:t>
      </w:r>
    </w:p>
    <w:p>
      <w:pPr>
        <w:pStyle w:val="Subsection"/>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121" w:name="_Toc89512469"/>
      <w:bookmarkStart w:id="122" w:name="_Toc89752776"/>
      <w:bookmarkStart w:id="123" w:name="_Toc102461967"/>
      <w:bookmarkStart w:id="124" w:name="_Toc102537379"/>
      <w:r>
        <w:rPr>
          <w:rStyle w:val="CharPartNo"/>
        </w:rPr>
        <w:t>Part IV</w:t>
      </w:r>
      <w:r>
        <w:rPr>
          <w:rStyle w:val="CharDivNo"/>
        </w:rPr>
        <w:t> </w:t>
      </w:r>
      <w:r>
        <w:t>—</w:t>
      </w:r>
      <w:r>
        <w:rPr>
          <w:rStyle w:val="CharDivText"/>
        </w:rPr>
        <w:t> </w:t>
      </w:r>
      <w:r>
        <w:rPr>
          <w:rStyle w:val="CharPartText"/>
        </w:rPr>
        <w:t>Rights of unpaid seller against the goods</w:t>
      </w:r>
      <w:bookmarkEnd w:id="121"/>
      <w:bookmarkEnd w:id="122"/>
      <w:bookmarkEnd w:id="123"/>
      <w:bookmarkEnd w:id="124"/>
      <w:r>
        <w:rPr>
          <w:rStyle w:val="CharPartText"/>
        </w:rPr>
        <w:t xml:space="preserve"> </w:t>
      </w:r>
    </w:p>
    <w:p>
      <w:pPr>
        <w:pStyle w:val="Heading5"/>
        <w:spacing w:before="120"/>
        <w:rPr>
          <w:snapToGrid w:val="0"/>
        </w:rPr>
      </w:pPr>
      <w:bookmarkStart w:id="125" w:name="_Toc411842728"/>
      <w:bookmarkStart w:id="126" w:name="_Toc3696345"/>
      <w:bookmarkStart w:id="127" w:name="_Toc102537380"/>
      <w:r>
        <w:rPr>
          <w:rStyle w:val="CharSectno"/>
        </w:rPr>
        <w:t>38</w:t>
      </w:r>
      <w:r>
        <w:rPr>
          <w:snapToGrid w:val="0"/>
        </w:rPr>
        <w:t>.</w:t>
      </w:r>
      <w:r>
        <w:rPr>
          <w:snapToGrid w:val="0"/>
        </w:rPr>
        <w:tab/>
        <w:t>Unpaid seller defined</w:t>
      </w:r>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The seller of goods is deemed to be an </w:t>
      </w:r>
      <w:r>
        <w:rPr>
          <w:b/>
          <w:snapToGrid w:val="0"/>
        </w:rPr>
        <w:t>“</w:t>
      </w:r>
      <w:r>
        <w:rPr>
          <w:rStyle w:val="CharDefText"/>
        </w:rPr>
        <w:t>unpaid seller</w:t>
      </w:r>
      <w:r>
        <w:rPr>
          <w:b/>
          <w:snapToGrid w:val="0"/>
        </w:rPr>
        <w:t>”</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b/>
          <w:snapToGrid w:val="0"/>
        </w:rPr>
        <w:t>“</w:t>
      </w:r>
      <w:r>
        <w:rPr>
          <w:rStyle w:val="CharDefText"/>
        </w:rPr>
        <w:t>seller</w:t>
      </w:r>
      <w:r>
        <w:rPr>
          <w:b/>
          <w:snapToGrid w:val="0"/>
        </w:rPr>
        <w:t>”</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128" w:name="_Toc411842729"/>
      <w:bookmarkStart w:id="129" w:name="_Toc3696346"/>
      <w:bookmarkStart w:id="130" w:name="_Toc102537381"/>
      <w:r>
        <w:rPr>
          <w:rStyle w:val="CharSectno"/>
        </w:rPr>
        <w:t>39</w:t>
      </w:r>
      <w:r>
        <w:rPr>
          <w:snapToGrid w:val="0"/>
        </w:rPr>
        <w:t>.</w:t>
      </w:r>
      <w:r>
        <w:rPr>
          <w:snapToGrid w:val="0"/>
        </w:rPr>
        <w:tab/>
        <w:t>Unpaid seller’s rights</w:t>
      </w:r>
      <w:bookmarkEnd w:id="128"/>
      <w:bookmarkEnd w:id="129"/>
      <w:bookmarkEnd w:id="130"/>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131" w:name="_Toc411842730"/>
      <w:bookmarkStart w:id="132" w:name="_Toc3696347"/>
      <w:bookmarkStart w:id="133" w:name="_Toc102537382"/>
      <w:r>
        <w:rPr>
          <w:rStyle w:val="CharSectno"/>
        </w:rPr>
        <w:t>40</w:t>
      </w:r>
      <w:r>
        <w:rPr>
          <w:snapToGrid w:val="0"/>
        </w:rPr>
        <w:t>.</w:t>
      </w:r>
      <w:r>
        <w:rPr>
          <w:snapToGrid w:val="0"/>
        </w:rPr>
        <w:tab/>
        <w:t>Seller’s lien</w:t>
      </w:r>
      <w:bookmarkEnd w:id="131"/>
      <w:bookmarkEnd w:id="132"/>
      <w:bookmarkEnd w:id="133"/>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134" w:name="_Toc411842731"/>
      <w:bookmarkStart w:id="135" w:name="_Toc3696348"/>
      <w:bookmarkStart w:id="136" w:name="_Toc102537383"/>
      <w:r>
        <w:rPr>
          <w:rStyle w:val="CharSectno"/>
        </w:rPr>
        <w:t>41</w:t>
      </w:r>
      <w:r>
        <w:rPr>
          <w:snapToGrid w:val="0"/>
        </w:rPr>
        <w:t>.</w:t>
      </w:r>
      <w:r>
        <w:rPr>
          <w:snapToGrid w:val="0"/>
        </w:rPr>
        <w:tab/>
        <w:t>Part delivery</w:t>
      </w:r>
      <w:bookmarkEnd w:id="134"/>
      <w:bookmarkEnd w:id="135"/>
      <w:bookmarkEnd w:id="136"/>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137" w:name="_Toc411842732"/>
      <w:bookmarkStart w:id="138" w:name="_Toc3696349"/>
      <w:bookmarkStart w:id="139" w:name="_Toc102537384"/>
      <w:r>
        <w:rPr>
          <w:rStyle w:val="CharSectno"/>
        </w:rPr>
        <w:t>42</w:t>
      </w:r>
      <w:r>
        <w:rPr>
          <w:snapToGrid w:val="0"/>
        </w:rPr>
        <w:t>.</w:t>
      </w:r>
      <w:r>
        <w:rPr>
          <w:snapToGrid w:val="0"/>
        </w:rPr>
        <w:tab/>
        <w:t>Termination of lien</w:t>
      </w:r>
      <w:bookmarkEnd w:id="137"/>
      <w:bookmarkEnd w:id="138"/>
      <w:bookmarkEnd w:id="139"/>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rPr>
          <w:b/>
          <w:i/>
          <w:snapToGrid w:val="0"/>
        </w:rPr>
      </w:pPr>
      <w:r>
        <w:rPr>
          <w:b/>
          <w:snapToGrid w:val="0"/>
        </w:rPr>
        <w:t xml:space="preserve">Stoppage </w:t>
      </w:r>
      <w:r>
        <w:rPr>
          <w:b/>
          <w:i/>
          <w:snapToGrid w:val="0"/>
        </w:rPr>
        <w:t>in transitu</w:t>
      </w:r>
    </w:p>
    <w:p>
      <w:pPr>
        <w:pStyle w:val="Heading5"/>
        <w:spacing w:before="120"/>
        <w:rPr>
          <w:snapToGrid w:val="0"/>
        </w:rPr>
      </w:pPr>
      <w:bookmarkStart w:id="140" w:name="_Toc411842733"/>
      <w:bookmarkStart w:id="141" w:name="_Toc3696350"/>
      <w:bookmarkStart w:id="142" w:name="_Toc102537385"/>
      <w:r>
        <w:rPr>
          <w:rStyle w:val="CharSectno"/>
        </w:rPr>
        <w:t>43</w:t>
      </w:r>
      <w:r>
        <w:rPr>
          <w:snapToGrid w:val="0"/>
        </w:rPr>
        <w:t>.</w:t>
      </w:r>
      <w:r>
        <w:rPr>
          <w:snapToGrid w:val="0"/>
        </w:rPr>
        <w:tab/>
        <w:t xml:space="preserve">Right of stoppage </w:t>
      </w:r>
      <w:r>
        <w:rPr>
          <w:i/>
          <w:snapToGrid w:val="0"/>
        </w:rPr>
        <w:t>in transitu</w:t>
      </w:r>
      <w:bookmarkEnd w:id="140"/>
      <w:bookmarkEnd w:id="141"/>
      <w:bookmarkEnd w:id="142"/>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spacing w:before="120"/>
        <w:rPr>
          <w:snapToGrid w:val="0"/>
        </w:rPr>
      </w:pPr>
      <w:bookmarkStart w:id="143" w:name="_Toc411842734"/>
      <w:bookmarkStart w:id="144" w:name="_Toc3696351"/>
      <w:bookmarkStart w:id="145" w:name="_Toc102537386"/>
      <w:r>
        <w:rPr>
          <w:rStyle w:val="CharSectno"/>
        </w:rPr>
        <w:t>44</w:t>
      </w:r>
      <w:r>
        <w:rPr>
          <w:snapToGrid w:val="0"/>
        </w:rPr>
        <w:t>.</w:t>
      </w:r>
      <w:r>
        <w:rPr>
          <w:snapToGrid w:val="0"/>
        </w:rPr>
        <w:tab/>
        <w:t>Duration of transit</w:t>
      </w:r>
      <w:bookmarkEnd w:id="143"/>
      <w:bookmarkEnd w:id="144"/>
      <w:bookmarkEnd w:id="145"/>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rPr>
          <w:snapToGrid w:val="0"/>
        </w:rPr>
      </w:pPr>
      <w:bookmarkStart w:id="146" w:name="_Toc411842735"/>
      <w:bookmarkStart w:id="147" w:name="_Toc3696352"/>
      <w:bookmarkStart w:id="148" w:name="_Toc102537387"/>
      <w:r>
        <w:rPr>
          <w:rStyle w:val="CharSectno"/>
        </w:rPr>
        <w:t>45</w:t>
      </w:r>
      <w:r>
        <w:rPr>
          <w:snapToGrid w:val="0"/>
        </w:rPr>
        <w:t>.</w:t>
      </w:r>
      <w:r>
        <w:rPr>
          <w:snapToGrid w:val="0"/>
        </w:rPr>
        <w:tab/>
        <w:t xml:space="preserve">How stoppage </w:t>
      </w:r>
      <w:r>
        <w:rPr>
          <w:i/>
          <w:snapToGrid w:val="0"/>
        </w:rPr>
        <w:t>in transitu</w:t>
      </w:r>
      <w:r>
        <w:rPr>
          <w:snapToGrid w:val="0"/>
        </w:rPr>
        <w:t xml:space="preserve"> is affected</w:t>
      </w:r>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20"/>
        <w:rPr>
          <w:snapToGrid w:val="0"/>
        </w:rPr>
      </w:pPr>
      <w:bookmarkStart w:id="149" w:name="_Toc411842736"/>
      <w:bookmarkStart w:id="150" w:name="_Toc3696353"/>
      <w:bookmarkStart w:id="151" w:name="_Toc102537388"/>
      <w:r>
        <w:rPr>
          <w:rStyle w:val="CharSectno"/>
        </w:rPr>
        <w:t>46</w:t>
      </w:r>
      <w:r>
        <w:rPr>
          <w:snapToGrid w:val="0"/>
        </w:rPr>
        <w:t>.</w:t>
      </w:r>
      <w:r>
        <w:rPr>
          <w:snapToGrid w:val="0"/>
        </w:rPr>
        <w:tab/>
        <w:t>Effect of sub</w:t>
      </w:r>
      <w:r>
        <w:rPr>
          <w:snapToGrid w:val="0"/>
        </w:rPr>
        <w:noBreakHyphen/>
        <w:t>sale or pledge by buyer</w:t>
      </w:r>
      <w:bookmarkEnd w:id="149"/>
      <w:bookmarkEnd w:id="150"/>
      <w:bookmarkEnd w:id="151"/>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152" w:name="_Toc411842737"/>
      <w:bookmarkStart w:id="153" w:name="_Toc3696354"/>
      <w:bookmarkStart w:id="154" w:name="_Toc102537389"/>
      <w:r>
        <w:rPr>
          <w:rStyle w:val="CharSectno"/>
        </w:rPr>
        <w:t>47</w:t>
      </w:r>
      <w:r>
        <w:rPr>
          <w:snapToGrid w:val="0"/>
        </w:rPr>
        <w:t>.</w:t>
      </w:r>
      <w:r>
        <w:rPr>
          <w:snapToGrid w:val="0"/>
        </w:rPr>
        <w:tab/>
        <w:t xml:space="preserve">Sale not generally rescinded by lien or stoppage </w:t>
      </w:r>
      <w:r>
        <w:rPr>
          <w:i/>
          <w:snapToGrid w:val="0"/>
        </w:rPr>
        <w:t>in transitu</w:t>
      </w:r>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155" w:name="_Toc89512480"/>
      <w:bookmarkStart w:id="156" w:name="_Toc89752787"/>
      <w:bookmarkStart w:id="157" w:name="_Toc102461978"/>
      <w:bookmarkStart w:id="158" w:name="_Toc102537390"/>
      <w:r>
        <w:rPr>
          <w:rStyle w:val="CharPartNo"/>
        </w:rPr>
        <w:t>Part V</w:t>
      </w:r>
      <w:r>
        <w:rPr>
          <w:rStyle w:val="CharDivNo"/>
        </w:rPr>
        <w:t> </w:t>
      </w:r>
      <w:r>
        <w:t>—</w:t>
      </w:r>
      <w:r>
        <w:rPr>
          <w:rStyle w:val="CharDivText"/>
        </w:rPr>
        <w:t> </w:t>
      </w:r>
      <w:r>
        <w:rPr>
          <w:rStyle w:val="CharPartText"/>
        </w:rPr>
        <w:t>Actions for breach of the contract</w:t>
      </w:r>
      <w:bookmarkEnd w:id="155"/>
      <w:bookmarkEnd w:id="156"/>
      <w:bookmarkEnd w:id="157"/>
      <w:bookmarkEnd w:id="158"/>
      <w:r>
        <w:rPr>
          <w:rStyle w:val="CharPartText"/>
        </w:rPr>
        <w:t xml:space="preserve"> </w:t>
      </w:r>
    </w:p>
    <w:p>
      <w:pPr>
        <w:pStyle w:val="MiscellaneousHeading"/>
        <w:rPr>
          <w:b/>
          <w:snapToGrid w:val="0"/>
        </w:rPr>
      </w:pPr>
      <w:r>
        <w:rPr>
          <w:b/>
          <w:snapToGrid w:val="0"/>
        </w:rPr>
        <w:t>Remedies of the seller</w:t>
      </w:r>
    </w:p>
    <w:p>
      <w:pPr>
        <w:pStyle w:val="Heading5"/>
        <w:rPr>
          <w:snapToGrid w:val="0"/>
        </w:rPr>
      </w:pPr>
      <w:bookmarkStart w:id="159" w:name="_Toc411842738"/>
      <w:bookmarkStart w:id="160" w:name="_Toc3696355"/>
      <w:bookmarkStart w:id="161" w:name="_Toc102537391"/>
      <w:r>
        <w:rPr>
          <w:rStyle w:val="CharSectno"/>
        </w:rPr>
        <w:t>48</w:t>
      </w:r>
      <w:r>
        <w:rPr>
          <w:snapToGrid w:val="0"/>
        </w:rPr>
        <w:t>.</w:t>
      </w:r>
      <w:r>
        <w:rPr>
          <w:snapToGrid w:val="0"/>
        </w:rPr>
        <w:tab/>
        <w:t>Action for price</w:t>
      </w:r>
      <w:bookmarkEnd w:id="159"/>
      <w:bookmarkEnd w:id="160"/>
      <w:bookmarkEnd w:id="161"/>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162" w:name="_Toc411842739"/>
      <w:bookmarkStart w:id="163" w:name="_Toc3696356"/>
      <w:bookmarkStart w:id="164" w:name="_Toc102537392"/>
      <w:r>
        <w:rPr>
          <w:rStyle w:val="CharSectno"/>
        </w:rPr>
        <w:t>49</w:t>
      </w:r>
      <w:r>
        <w:rPr>
          <w:snapToGrid w:val="0"/>
        </w:rPr>
        <w:t>.</w:t>
      </w:r>
      <w:r>
        <w:rPr>
          <w:snapToGrid w:val="0"/>
        </w:rPr>
        <w:tab/>
        <w:t>Damages for non</w:t>
      </w:r>
      <w:r>
        <w:rPr>
          <w:snapToGrid w:val="0"/>
        </w:rPr>
        <w:noBreakHyphen/>
        <w:t>acceptance</w:t>
      </w:r>
      <w:bookmarkEnd w:id="162"/>
      <w:bookmarkEnd w:id="163"/>
      <w:bookmarkEnd w:id="164"/>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rPr>
          <w:b/>
          <w:snapToGrid w:val="0"/>
        </w:rPr>
      </w:pPr>
      <w:r>
        <w:rPr>
          <w:b/>
          <w:snapToGrid w:val="0"/>
        </w:rPr>
        <w:t>Remedies of the Buyer</w:t>
      </w:r>
    </w:p>
    <w:p>
      <w:pPr>
        <w:pStyle w:val="Heading5"/>
        <w:rPr>
          <w:snapToGrid w:val="0"/>
        </w:rPr>
      </w:pPr>
      <w:bookmarkStart w:id="165" w:name="_Toc411842740"/>
      <w:bookmarkStart w:id="166" w:name="_Toc3696357"/>
      <w:bookmarkStart w:id="167" w:name="_Toc102537393"/>
      <w:r>
        <w:rPr>
          <w:rStyle w:val="CharSectno"/>
        </w:rPr>
        <w:t>50</w:t>
      </w:r>
      <w:r>
        <w:rPr>
          <w:snapToGrid w:val="0"/>
        </w:rPr>
        <w:t>.</w:t>
      </w:r>
      <w:r>
        <w:rPr>
          <w:snapToGrid w:val="0"/>
        </w:rPr>
        <w:tab/>
        <w:t>Damages for non</w:t>
      </w:r>
      <w:r>
        <w:rPr>
          <w:snapToGrid w:val="0"/>
        </w:rPr>
        <w:noBreakHyphen/>
        <w:t>delivery</w:t>
      </w:r>
      <w:bookmarkEnd w:id="165"/>
      <w:bookmarkEnd w:id="166"/>
      <w:bookmarkEnd w:id="167"/>
      <w:r>
        <w:rPr>
          <w:snapToGrid w:val="0"/>
        </w:rPr>
        <w:t xml:space="preserve"> </w:t>
      </w:r>
    </w:p>
    <w:p>
      <w:pPr>
        <w:pStyle w:val="Subsection"/>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rPr>
          <w:snapToGrid w:val="0"/>
        </w:rPr>
      </w:pPr>
      <w:bookmarkStart w:id="168" w:name="_Toc411842741"/>
      <w:bookmarkStart w:id="169" w:name="_Toc3696358"/>
      <w:bookmarkStart w:id="170" w:name="_Toc102537394"/>
      <w:r>
        <w:rPr>
          <w:rStyle w:val="CharSectno"/>
        </w:rPr>
        <w:t>51</w:t>
      </w:r>
      <w:r>
        <w:rPr>
          <w:snapToGrid w:val="0"/>
        </w:rPr>
        <w:t>.</w:t>
      </w:r>
      <w:r>
        <w:rPr>
          <w:snapToGrid w:val="0"/>
        </w:rPr>
        <w:tab/>
        <w:t>Specific performance</w:t>
      </w:r>
      <w:bookmarkEnd w:id="168"/>
      <w:bookmarkEnd w:id="169"/>
      <w:bookmarkEnd w:id="170"/>
      <w:r>
        <w:rPr>
          <w:snapToGrid w:val="0"/>
        </w:rPr>
        <w:t xml:space="preserve"> </w:t>
      </w:r>
    </w:p>
    <w:p>
      <w:pPr>
        <w:pStyle w:val="Subsection"/>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rPr>
          <w:snapToGrid w:val="0"/>
        </w:rPr>
      </w:pPr>
      <w:bookmarkStart w:id="171" w:name="_Toc411842742"/>
      <w:bookmarkStart w:id="172" w:name="_Toc3696359"/>
      <w:bookmarkStart w:id="173" w:name="_Toc102537395"/>
      <w:r>
        <w:rPr>
          <w:rStyle w:val="CharSectno"/>
        </w:rPr>
        <w:t>52</w:t>
      </w:r>
      <w:r>
        <w:rPr>
          <w:snapToGrid w:val="0"/>
        </w:rPr>
        <w:t>.</w:t>
      </w:r>
      <w:r>
        <w:rPr>
          <w:snapToGrid w:val="0"/>
        </w:rPr>
        <w:tab/>
        <w:t>Remedy for breach of warranty</w:t>
      </w:r>
      <w:bookmarkEnd w:id="171"/>
      <w:bookmarkEnd w:id="172"/>
      <w:bookmarkEnd w:id="173"/>
      <w:r>
        <w:rPr>
          <w:snapToGrid w:val="0"/>
        </w:rPr>
        <w:t xml:space="preserve"> </w:t>
      </w:r>
    </w:p>
    <w:p>
      <w:pPr>
        <w:pStyle w:val="Subsection"/>
        <w:keepNext/>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174" w:name="_Toc411842743"/>
      <w:bookmarkStart w:id="175" w:name="_Toc3696360"/>
      <w:bookmarkStart w:id="176" w:name="_Toc102537396"/>
      <w:r>
        <w:rPr>
          <w:rStyle w:val="CharSectno"/>
        </w:rPr>
        <w:t>53</w:t>
      </w:r>
      <w:r>
        <w:rPr>
          <w:snapToGrid w:val="0"/>
        </w:rPr>
        <w:t>.</w:t>
      </w:r>
      <w:r>
        <w:rPr>
          <w:snapToGrid w:val="0"/>
        </w:rPr>
        <w:tab/>
        <w:t>Interest and special damages</w:t>
      </w:r>
      <w:bookmarkEnd w:id="174"/>
      <w:bookmarkEnd w:id="175"/>
      <w:bookmarkEnd w:id="176"/>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177" w:name="_Toc89512487"/>
      <w:bookmarkStart w:id="178" w:name="_Toc89752794"/>
      <w:bookmarkStart w:id="179" w:name="_Toc102461985"/>
      <w:bookmarkStart w:id="180" w:name="_Toc102537397"/>
      <w:r>
        <w:rPr>
          <w:rStyle w:val="CharPartNo"/>
        </w:rPr>
        <w:t>Part VI</w:t>
      </w:r>
      <w:r>
        <w:rPr>
          <w:rStyle w:val="CharDivNo"/>
        </w:rPr>
        <w:t> </w:t>
      </w:r>
      <w:r>
        <w:t>—</w:t>
      </w:r>
      <w:r>
        <w:rPr>
          <w:rStyle w:val="CharDivText"/>
        </w:rPr>
        <w:t> </w:t>
      </w:r>
      <w:r>
        <w:rPr>
          <w:rStyle w:val="CharPartText"/>
        </w:rPr>
        <w:t>Supplementary</w:t>
      </w:r>
      <w:bookmarkEnd w:id="177"/>
      <w:bookmarkEnd w:id="178"/>
      <w:bookmarkEnd w:id="179"/>
      <w:bookmarkEnd w:id="180"/>
      <w:r>
        <w:rPr>
          <w:rStyle w:val="CharPartText"/>
        </w:rPr>
        <w:t xml:space="preserve"> </w:t>
      </w:r>
    </w:p>
    <w:p>
      <w:pPr>
        <w:pStyle w:val="Heading5"/>
        <w:rPr>
          <w:snapToGrid w:val="0"/>
        </w:rPr>
      </w:pPr>
      <w:bookmarkStart w:id="181" w:name="_Toc411842744"/>
      <w:bookmarkStart w:id="182" w:name="_Toc3696361"/>
      <w:bookmarkStart w:id="183" w:name="_Toc102537398"/>
      <w:r>
        <w:rPr>
          <w:rStyle w:val="CharSectno"/>
        </w:rPr>
        <w:t>54</w:t>
      </w:r>
      <w:r>
        <w:rPr>
          <w:snapToGrid w:val="0"/>
        </w:rPr>
        <w:t>.</w:t>
      </w:r>
      <w:r>
        <w:rPr>
          <w:snapToGrid w:val="0"/>
        </w:rPr>
        <w:tab/>
        <w:t>Exclusion of implied terms and conditions</w:t>
      </w:r>
      <w:bookmarkEnd w:id="181"/>
      <w:bookmarkEnd w:id="182"/>
      <w:bookmarkEnd w:id="183"/>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184" w:name="_Toc411842745"/>
      <w:bookmarkStart w:id="185" w:name="_Toc3696362"/>
      <w:bookmarkStart w:id="186" w:name="_Toc102537399"/>
      <w:r>
        <w:rPr>
          <w:rStyle w:val="CharSectno"/>
        </w:rPr>
        <w:t>55</w:t>
      </w:r>
      <w:r>
        <w:rPr>
          <w:snapToGrid w:val="0"/>
        </w:rPr>
        <w:t>.</w:t>
      </w:r>
      <w:r>
        <w:rPr>
          <w:snapToGrid w:val="0"/>
        </w:rPr>
        <w:tab/>
        <w:t>Reasonable time a question of fact</w:t>
      </w:r>
      <w:bookmarkEnd w:id="184"/>
      <w:bookmarkEnd w:id="185"/>
      <w:bookmarkEnd w:id="186"/>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187" w:name="_Toc411842746"/>
      <w:bookmarkStart w:id="188" w:name="_Toc3696363"/>
      <w:bookmarkStart w:id="189" w:name="_Toc102537400"/>
      <w:r>
        <w:rPr>
          <w:rStyle w:val="CharSectno"/>
        </w:rPr>
        <w:t>56</w:t>
      </w:r>
      <w:r>
        <w:rPr>
          <w:snapToGrid w:val="0"/>
        </w:rPr>
        <w:t>.</w:t>
      </w:r>
      <w:r>
        <w:rPr>
          <w:snapToGrid w:val="0"/>
        </w:rPr>
        <w:tab/>
        <w:t>Rights, etc., enforceable by action</w:t>
      </w:r>
      <w:bookmarkEnd w:id="187"/>
      <w:bookmarkEnd w:id="188"/>
      <w:bookmarkEnd w:id="189"/>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190" w:name="_Toc411842747"/>
      <w:bookmarkStart w:id="191" w:name="_Toc3696364"/>
      <w:bookmarkStart w:id="192" w:name="_Toc102537401"/>
      <w:r>
        <w:rPr>
          <w:rStyle w:val="CharSectno"/>
        </w:rPr>
        <w:t>57</w:t>
      </w:r>
      <w:r>
        <w:rPr>
          <w:snapToGrid w:val="0"/>
        </w:rPr>
        <w:t>.</w:t>
      </w:r>
      <w:r>
        <w:rPr>
          <w:snapToGrid w:val="0"/>
        </w:rPr>
        <w:tab/>
        <w:t>Auction sales</w:t>
      </w:r>
      <w:bookmarkEnd w:id="190"/>
      <w:bookmarkEnd w:id="191"/>
      <w:bookmarkEnd w:id="192"/>
      <w:r>
        <w:rPr>
          <w:snapToGrid w:val="0"/>
        </w:rPr>
        <w:t xml:space="preserve"> </w:t>
      </w:r>
    </w:p>
    <w:p>
      <w:pPr>
        <w:pStyle w:val="Subsection"/>
        <w:rPr>
          <w:snapToGrid w:val="0"/>
        </w:rPr>
      </w:pPr>
      <w:r>
        <w:rPr>
          <w:snapToGrid w:val="0"/>
        </w:rPr>
        <w:tab/>
      </w:r>
      <w:r>
        <w:rPr>
          <w:snapToGrid w:val="0"/>
        </w:rPr>
        <w:tab/>
        <w:t>In the case of a sale by auction — </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193" w:name="_Toc411842748"/>
      <w:bookmarkStart w:id="194" w:name="_Toc3696365"/>
      <w:bookmarkStart w:id="195" w:name="_Toc102537402"/>
      <w:r>
        <w:rPr>
          <w:rStyle w:val="CharSectno"/>
        </w:rPr>
        <w:t>58</w:t>
      </w:r>
      <w:r>
        <w:rPr>
          <w:snapToGrid w:val="0"/>
        </w:rPr>
        <w:t>.</w:t>
      </w:r>
      <w:r>
        <w:rPr>
          <w:snapToGrid w:val="0"/>
        </w:rPr>
        <w:tab/>
        <w:t>Repeals</w:t>
      </w:r>
      <w:bookmarkEnd w:id="193"/>
      <w:bookmarkEnd w:id="194"/>
      <w:bookmarkEnd w:id="195"/>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196" w:name="_Toc411842749"/>
      <w:bookmarkStart w:id="197" w:name="_Toc3696366"/>
      <w:bookmarkStart w:id="198" w:name="_Toc102537403"/>
      <w:r>
        <w:rPr>
          <w:rStyle w:val="CharSectno"/>
        </w:rPr>
        <w:t>59</w:t>
      </w:r>
      <w:r>
        <w:rPr>
          <w:snapToGrid w:val="0"/>
        </w:rPr>
        <w:t>.</w:t>
      </w:r>
      <w:r>
        <w:rPr>
          <w:snapToGrid w:val="0"/>
        </w:rPr>
        <w:tab/>
        <w:t>Savings</w:t>
      </w:r>
      <w:bookmarkEnd w:id="196"/>
      <w:bookmarkEnd w:id="197"/>
      <w:bookmarkEnd w:id="198"/>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s.100.] </w:t>
      </w:r>
    </w:p>
    <w:p>
      <w:pPr>
        <w:pStyle w:val="Heading5"/>
        <w:rPr>
          <w:snapToGrid w:val="0"/>
        </w:rPr>
      </w:pPr>
      <w:bookmarkStart w:id="199" w:name="_Toc411842750"/>
      <w:bookmarkStart w:id="200" w:name="_Toc3696367"/>
      <w:bookmarkStart w:id="201" w:name="_Toc102537404"/>
      <w:r>
        <w:rPr>
          <w:rStyle w:val="CharSectno"/>
        </w:rPr>
        <w:t>60</w:t>
      </w:r>
      <w:r>
        <w:rPr>
          <w:snapToGrid w:val="0"/>
        </w:rPr>
        <w:t>.</w:t>
      </w:r>
      <w:r>
        <w:rPr>
          <w:snapToGrid w:val="0"/>
        </w:rPr>
        <w:tab/>
        <w:t>Interpretation of terms</w:t>
      </w:r>
      <w:bookmarkEnd w:id="199"/>
      <w:bookmarkEnd w:id="200"/>
      <w:bookmarkEnd w:id="201"/>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t>“</w:t>
      </w:r>
      <w:r>
        <w:rPr>
          <w:rStyle w:val="CharDefText"/>
        </w:rPr>
        <w:t>Action</w:t>
      </w:r>
      <w:r>
        <w:rPr>
          <w:b/>
        </w:rPr>
        <w:t>”</w:t>
      </w:r>
      <w:r>
        <w:t xml:space="preserve"> includes counter</w:t>
      </w:r>
      <w:r>
        <w:noBreakHyphen/>
        <w:t>claim and set</w:t>
      </w:r>
      <w:r>
        <w:noBreakHyphen/>
        <w:t>off:</w:t>
      </w:r>
    </w:p>
    <w:p>
      <w:pPr>
        <w:pStyle w:val="Defstart"/>
      </w:pPr>
      <w:r>
        <w:rPr>
          <w:b/>
        </w:rPr>
        <w:tab/>
        <w:t>“</w:t>
      </w:r>
      <w:r>
        <w:rPr>
          <w:rStyle w:val="CharDefText"/>
        </w:rPr>
        <w:t>Buyer</w:t>
      </w:r>
      <w:r>
        <w:rPr>
          <w:b/>
        </w:rPr>
        <w:t>”</w:t>
      </w:r>
      <w:r>
        <w:t xml:space="preserve"> means a person who buys or agrees to buy goods:</w:t>
      </w:r>
    </w:p>
    <w:p>
      <w:pPr>
        <w:pStyle w:val="Defstart"/>
      </w:pPr>
      <w:r>
        <w:rPr>
          <w:b/>
        </w:rPr>
        <w:tab/>
        <w:t>“</w:t>
      </w:r>
      <w:r>
        <w:rPr>
          <w:rStyle w:val="CharDefText"/>
        </w:rPr>
        <w:t>Contract of sale</w:t>
      </w:r>
      <w:r>
        <w:rPr>
          <w:b/>
        </w:rPr>
        <w:t>”</w:t>
      </w:r>
      <w:r>
        <w:t xml:space="preserve"> includes an agreement to sell as well as a sale:</w:t>
      </w:r>
    </w:p>
    <w:p>
      <w:pPr>
        <w:pStyle w:val="Defstart"/>
      </w:pPr>
      <w:r>
        <w:rPr>
          <w:b/>
        </w:rPr>
        <w:tab/>
        <w:t>“</w:t>
      </w:r>
      <w:r>
        <w:rPr>
          <w:rStyle w:val="CharDefText"/>
        </w:rPr>
        <w:t>Delivery</w:t>
      </w:r>
      <w:r>
        <w:rPr>
          <w:b/>
        </w:rPr>
        <w:t>”</w:t>
      </w:r>
      <w:r>
        <w:t xml:space="preserve"> means voluntary transfer of possession from one person to another:</w:t>
      </w:r>
    </w:p>
    <w:p>
      <w:pPr>
        <w:pStyle w:val="Defstart"/>
      </w:pPr>
      <w:r>
        <w:rPr>
          <w:b/>
        </w:rPr>
        <w:tab/>
        <w:t>“</w:t>
      </w:r>
      <w:r>
        <w:rPr>
          <w:rStyle w:val="CharDefText"/>
        </w:rPr>
        <w:t>Document of title to goods</w:t>
      </w:r>
      <w:r>
        <w:rPr>
          <w:b/>
        </w:rPr>
        <w:t>”</w:t>
      </w:r>
      <w:r>
        <w:t xml:space="preserve"> has the same meaning as it has in </w:t>
      </w:r>
      <w:r>
        <w:rPr>
          <w:i/>
        </w:rPr>
        <w:t>The Factors Acts 1823</w:t>
      </w:r>
      <w:r>
        <w:t>, or any Act amending or substituted for the same:</w:t>
      </w:r>
    </w:p>
    <w:p>
      <w:pPr>
        <w:pStyle w:val="Defstart"/>
      </w:pPr>
      <w:r>
        <w:rPr>
          <w:b/>
        </w:rPr>
        <w:tab/>
        <w:t>“</w:t>
      </w:r>
      <w:r>
        <w:rPr>
          <w:rStyle w:val="CharDefText"/>
        </w:rPr>
        <w:t>Fault</w:t>
      </w:r>
      <w:r>
        <w:rPr>
          <w:b/>
        </w:rPr>
        <w:t>”</w:t>
      </w:r>
      <w:r>
        <w:t xml:space="preserve"> means wrongful act or default:</w:t>
      </w:r>
    </w:p>
    <w:p>
      <w:pPr>
        <w:pStyle w:val="Defstart"/>
      </w:pPr>
      <w:r>
        <w:rPr>
          <w:b/>
        </w:rPr>
        <w:tab/>
        <w:t>“</w:t>
      </w:r>
      <w:r>
        <w:rPr>
          <w:rStyle w:val="CharDefText"/>
        </w:rPr>
        <w:t>Future goods</w:t>
      </w:r>
      <w:r>
        <w:rPr>
          <w:b/>
        </w:rPr>
        <w:t>”</w:t>
      </w:r>
      <w:r>
        <w:t xml:space="preserve"> mean goods to be manufactured or acquired by the seller after the making of the contract of sale:</w:t>
      </w:r>
    </w:p>
    <w:p>
      <w:pPr>
        <w:pStyle w:val="Defstart"/>
      </w:pPr>
      <w:r>
        <w:rPr>
          <w:b/>
        </w:rPr>
        <w:tab/>
        <w:t>“</w:t>
      </w:r>
      <w:r>
        <w:rPr>
          <w:rStyle w:val="CharDefText"/>
        </w:rPr>
        <w:t xml:space="preserve">Goods </w:t>
      </w:r>
      <w:r>
        <w:rPr>
          <w:b/>
        </w:rPr>
        <w:t>”</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t>“</w:t>
      </w:r>
      <w:r>
        <w:rPr>
          <w:rStyle w:val="CharDefText"/>
        </w:rPr>
        <w:t>Plaintiff</w:t>
      </w:r>
      <w:r>
        <w:rPr>
          <w:b/>
        </w:rPr>
        <w:t>”</w:t>
      </w:r>
      <w:r>
        <w:t xml:space="preserve"> includes defendant counterclaiming:</w:t>
      </w:r>
    </w:p>
    <w:p>
      <w:pPr>
        <w:pStyle w:val="Defstart"/>
      </w:pPr>
      <w:r>
        <w:rPr>
          <w:b/>
        </w:rPr>
        <w:tab/>
        <w:t>“</w:t>
      </w:r>
      <w:r>
        <w:rPr>
          <w:rStyle w:val="CharDefText"/>
        </w:rPr>
        <w:t>Property</w:t>
      </w:r>
      <w:r>
        <w:rPr>
          <w:b/>
        </w:rPr>
        <w:t>”</w:t>
      </w:r>
      <w:r>
        <w:t xml:space="preserve"> means the general property in goods, and not merely a special property:</w:t>
      </w:r>
    </w:p>
    <w:p>
      <w:pPr>
        <w:pStyle w:val="Defstart"/>
      </w:pPr>
      <w:r>
        <w:rPr>
          <w:b/>
        </w:rPr>
        <w:tab/>
        <w:t>“</w:t>
      </w:r>
      <w:r>
        <w:rPr>
          <w:rStyle w:val="CharDefText"/>
        </w:rPr>
        <w:t>Quality of goods</w:t>
      </w:r>
      <w:r>
        <w:rPr>
          <w:b/>
        </w:rPr>
        <w:t>”</w:t>
      </w:r>
      <w:r>
        <w:t xml:space="preserve"> includes their state or condition:</w:t>
      </w:r>
    </w:p>
    <w:p>
      <w:pPr>
        <w:pStyle w:val="Defstart"/>
      </w:pPr>
      <w:r>
        <w:rPr>
          <w:b/>
        </w:rPr>
        <w:tab/>
        <w:t>“</w:t>
      </w:r>
      <w:r>
        <w:rPr>
          <w:rStyle w:val="CharDefText"/>
        </w:rPr>
        <w:t>Sale</w:t>
      </w:r>
      <w:r>
        <w:rPr>
          <w:b/>
        </w:rPr>
        <w:t>”</w:t>
      </w:r>
      <w:r>
        <w:t xml:space="preserve"> includes a bargain and sale as well as a sale and delivery:</w:t>
      </w:r>
    </w:p>
    <w:p>
      <w:pPr>
        <w:pStyle w:val="Defstart"/>
      </w:pPr>
      <w:r>
        <w:rPr>
          <w:b/>
        </w:rPr>
        <w:tab/>
        <w:t>“</w:t>
      </w:r>
      <w:r>
        <w:rPr>
          <w:rStyle w:val="CharDefText"/>
        </w:rPr>
        <w:t>Seller</w:t>
      </w:r>
      <w:r>
        <w:rPr>
          <w:b/>
        </w:rPr>
        <w:t>”</w:t>
      </w:r>
      <w:r>
        <w:t xml:space="preserve"> means a person who sells or agrees to sell goods:</w:t>
      </w:r>
    </w:p>
    <w:p>
      <w:pPr>
        <w:pStyle w:val="Defstart"/>
      </w:pPr>
      <w:r>
        <w:rPr>
          <w:b/>
        </w:rPr>
        <w:tab/>
        <w:t>“</w:t>
      </w:r>
      <w:r>
        <w:rPr>
          <w:rStyle w:val="CharDefText"/>
        </w:rPr>
        <w:t>Specific goods</w:t>
      </w:r>
      <w:r>
        <w:rPr>
          <w:b/>
        </w:rPr>
        <w:t>”</w:t>
      </w:r>
      <w:r>
        <w:t xml:space="preserve"> mean goods identified and agreed upon at the time a contract of sale is made:</w:t>
      </w:r>
    </w:p>
    <w:p>
      <w:pPr>
        <w:pStyle w:val="Defstart"/>
      </w:pPr>
      <w:r>
        <w:rPr>
          <w:b/>
        </w:rPr>
        <w:tab/>
        <w:t>“</w:t>
      </w:r>
      <w:bookmarkStart w:id="202" w:name="endcomma"/>
      <w:bookmarkEnd w:id="202"/>
      <w:r>
        <w:rPr>
          <w:rStyle w:val="CharDefText"/>
        </w:rPr>
        <w:t>Warranty</w:t>
      </w:r>
      <w:r>
        <w:rPr>
          <w:b/>
        </w:rPr>
        <w:t>”</w:t>
      </w:r>
      <w:r>
        <w:t xml:space="preserve"> </w:t>
      </w:r>
      <w:bookmarkStart w:id="203" w:name="comma"/>
      <w:bookmarkEnd w:id="203"/>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b/>
          <w:snapToGrid w:val="0"/>
        </w:rPr>
        <w:t>“</w:t>
      </w:r>
      <w:r>
        <w:rPr>
          <w:rStyle w:val="CharDefText"/>
        </w:rPr>
        <w:t>good faith</w:t>
      </w:r>
      <w:r>
        <w:rPr>
          <w:b/>
          <w:snapToGrid w:val="0"/>
        </w:rPr>
        <w:t>”</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A person is deemed to be insolvent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b/>
          <w:snapToGrid w:val="0"/>
        </w:rPr>
        <w:t>“</w:t>
      </w:r>
      <w:r>
        <w:rPr>
          <w:rStyle w:val="CharDefText"/>
        </w:rPr>
        <w:t>deliverable state</w:t>
      </w:r>
      <w:r>
        <w:rPr>
          <w:b/>
          <w:snapToGrid w:val="0"/>
        </w:rPr>
        <w:t>”</w:t>
      </w:r>
      <w:r>
        <w:rPr>
          <w:snapToGrid w:val="0"/>
        </w:rPr>
        <w:t xml:space="preserve"> within the meaning of this Act when they are in such a state that the buyer would under the contract be bound to take delivery of them.</w:t>
      </w:r>
    </w:p>
    <w:p>
      <w:pPr>
        <w:pStyle w:val="Heading5"/>
        <w:rPr>
          <w:snapToGrid w:val="0"/>
        </w:rPr>
      </w:pPr>
      <w:bookmarkStart w:id="204" w:name="_Toc411842751"/>
      <w:bookmarkStart w:id="205" w:name="_Toc3696368"/>
      <w:bookmarkStart w:id="206" w:name="_Toc102537405"/>
      <w:r>
        <w:rPr>
          <w:rStyle w:val="CharSectno"/>
        </w:rPr>
        <w:t>61</w:t>
      </w:r>
      <w:r>
        <w:rPr>
          <w:snapToGrid w:val="0"/>
        </w:rPr>
        <w:t>.</w:t>
      </w:r>
      <w:r>
        <w:rPr>
          <w:snapToGrid w:val="0"/>
        </w:rPr>
        <w:tab/>
        <w:t>Commencement</w:t>
      </w:r>
      <w:bookmarkEnd w:id="204"/>
      <w:bookmarkEnd w:id="205"/>
      <w:bookmarkEnd w:id="206"/>
      <w:r>
        <w:rPr>
          <w:snapToGrid w:val="0"/>
        </w:rPr>
        <w:t xml:space="preserve"> </w:t>
      </w:r>
    </w:p>
    <w:p>
      <w:pPr>
        <w:pStyle w:val="Subsection"/>
        <w:rPr>
          <w:snapToGrid w:val="0"/>
        </w:rPr>
      </w:pPr>
      <w:r>
        <w:rPr>
          <w:snapToGrid w:val="0"/>
        </w:rPr>
        <w:tab/>
      </w:r>
      <w:r>
        <w:rPr>
          <w:snapToGrid w:val="0"/>
        </w:rPr>
        <w:tab/>
        <w:t>This Act shall come into operation on the 1 January 1896.</w:t>
      </w:r>
    </w:p>
    <w:p>
      <w:pPr>
        <w:pStyle w:val="Heading5"/>
      </w:pPr>
      <w:bookmarkStart w:id="207" w:name="_Toc102537406"/>
      <w:r>
        <w:t>62.</w:t>
      </w:r>
      <w:r>
        <w:tab/>
        <w:t>Short title</w:t>
      </w:r>
      <w:bookmarkEnd w:id="207"/>
    </w:p>
    <w:p>
      <w:pPr>
        <w:pStyle w:val="Subsection"/>
      </w:pPr>
      <w:r>
        <w:tab/>
      </w:r>
      <w:r>
        <w:tab/>
        <w:t xml:space="preserve">This Act may be cited as the </w:t>
      </w:r>
      <w:r>
        <w:rPr>
          <w:i/>
        </w:rPr>
        <w:t>Sale of Goods Act 1895</w:t>
      </w:r>
      <w:r>
        <w:t>.</w:t>
      </w:r>
    </w:p>
    <w:p>
      <w:pPr>
        <w:pStyle w:val="Footnotesection"/>
      </w:pPr>
      <w:r>
        <w:tab/>
        <w:t>[Section 62 inserted by No. 74 of 2003 s. 150(1).]</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08" w:name="_Toc102537407"/>
      <w:r>
        <w:rPr>
          <w:rStyle w:val="CharSchNo"/>
        </w:rPr>
        <w:t>Schedule</w:t>
      </w:r>
      <w:bookmarkEnd w:id="208"/>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209" w:name="_Toc89512498"/>
      <w:bookmarkStart w:id="210" w:name="_Toc89752805"/>
      <w:bookmarkStart w:id="211" w:name="_Toc102461996"/>
      <w:bookmarkStart w:id="212" w:name="_Toc102537408"/>
      <w:r>
        <w:t>Notes</w:t>
      </w:r>
      <w:bookmarkEnd w:id="209"/>
      <w:bookmarkEnd w:id="210"/>
      <w:bookmarkEnd w:id="211"/>
      <w:bookmarkEnd w:id="212"/>
    </w:p>
    <w:p>
      <w:pPr>
        <w:pStyle w:val="nSubsection"/>
        <w:rPr>
          <w:snapToGrid w:val="0"/>
        </w:rPr>
      </w:pPr>
      <w:r>
        <w:rPr>
          <w:snapToGrid w:val="0"/>
          <w:vertAlign w:val="superscript"/>
        </w:rPr>
        <w:t>1</w:t>
      </w:r>
      <w:r>
        <w:rPr>
          <w:snapToGrid w:val="0"/>
        </w:rPr>
        <w:tab/>
        <w:t xml:space="preserve">This is a compilation of the </w:t>
      </w:r>
      <w:r>
        <w:rPr>
          <w:i/>
          <w:noProof/>
          <w:snapToGrid w:val="0"/>
        </w:rPr>
        <w:t>Sale of Goods Act 1895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3" w:name="_Toc102537409"/>
      <w:r>
        <w:rPr>
          <w:snapToGrid w:val="0"/>
        </w:rPr>
        <w:t>Compilation table</w:t>
      </w:r>
      <w:bookmarkEnd w:id="21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vertAlign w:val="superscript"/>
              </w:rPr>
            </w:pPr>
            <w:r>
              <w:rPr>
                <w:i/>
                <w:sz w:val="19"/>
              </w:rPr>
              <w:t>The Sale of Goods Act 1895 </w:t>
            </w:r>
            <w:r>
              <w:rPr>
                <w:i/>
                <w:sz w:val="19"/>
                <w:vertAlign w:val="superscript"/>
              </w:rPr>
              <w:t>2</w:t>
            </w:r>
          </w:p>
        </w:tc>
        <w:tc>
          <w:tcPr>
            <w:tcW w:w="1134" w:type="dxa"/>
          </w:tcPr>
          <w:p>
            <w:pPr>
              <w:pStyle w:val="nTable"/>
              <w:spacing w:before="120"/>
              <w:rPr>
                <w:sz w:val="19"/>
              </w:rPr>
            </w:pPr>
            <w:r>
              <w:rPr>
                <w:sz w:val="19"/>
              </w:rPr>
              <w:t>41 of 1895</w:t>
            </w:r>
          </w:p>
        </w:tc>
        <w:tc>
          <w:tcPr>
            <w:tcW w:w="1134" w:type="dxa"/>
          </w:tcPr>
          <w:p>
            <w:pPr>
              <w:pStyle w:val="nTable"/>
              <w:spacing w:before="120"/>
              <w:rPr>
                <w:sz w:val="19"/>
              </w:rPr>
            </w:pPr>
            <w:r>
              <w:rPr>
                <w:sz w:val="19"/>
              </w:rPr>
              <w:t>12 Oct 1895</w:t>
            </w:r>
          </w:p>
        </w:tc>
        <w:tc>
          <w:tcPr>
            <w:tcW w:w="2552" w:type="dxa"/>
          </w:tcPr>
          <w:p>
            <w:pPr>
              <w:pStyle w:val="nTable"/>
              <w:spacing w:before="120"/>
              <w:rPr>
                <w:sz w:val="19"/>
              </w:rPr>
            </w:pPr>
            <w:r>
              <w:rPr>
                <w:sz w:val="19"/>
              </w:rPr>
              <w:t>1 Jan 1896 (see s. 61)</w:t>
            </w:r>
          </w:p>
        </w:tc>
      </w:tr>
      <w:tr>
        <w:trPr>
          <w:cantSplit/>
        </w:trPr>
        <w:tc>
          <w:tcPr>
            <w:tcW w:w="2268" w:type="dxa"/>
          </w:tcPr>
          <w:p>
            <w:pPr>
              <w:pStyle w:val="nTable"/>
              <w:spacing w:before="120"/>
              <w:ind w:right="113"/>
              <w:rPr>
                <w:sz w:val="19"/>
              </w:rPr>
            </w:pPr>
            <w:r>
              <w:rPr>
                <w:i/>
                <w:sz w:val="19"/>
              </w:rPr>
              <w:t>Statutes (Repeals and Minor Amendments) Act 1994</w:t>
            </w:r>
            <w:r>
              <w:rPr>
                <w:sz w:val="19"/>
              </w:rPr>
              <w:t xml:space="preserve"> s. 4</w:t>
            </w:r>
          </w:p>
        </w:tc>
        <w:tc>
          <w:tcPr>
            <w:tcW w:w="1134" w:type="dxa"/>
          </w:tcPr>
          <w:p>
            <w:pPr>
              <w:pStyle w:val="nTable"/>
              <w:spacing w:before="120"/>
              <w:rPr>
                <w:sz w:val="19"/>
              </w:rPr>
            </w:pPr>
            <w:r>
              <w:rPr>
                <w:sz w:val="19"/>
              </w:rPr>
              <w:t>73 of 1994</w:t>
            </w:r>
          </w:p>
        </w:tc>
        <w:tc>
          <w:tcPr>
            <w:tcW w:w="1134" w:type="dxa"/>
          </w:tcPr>
          <w:p>
            <w:pPr>
              <w:pStyle w:val="nTable"/>
              <w:spacing w:before="120"/>
              <w:rPr>
                <w:sz w:val="19"/>
              </w:rPr>
            </w:pPr>
            <w:r>
              <w:rPr>
                <w:sz w:val="19"/>
              </w:rPr>
              <w:t>9 Dec 1994</w:t>
            </w:r>
          </w:p>
        </w:tc>
        <w:tc>
          <w:tcPr>
            <w:tcW w:w="2552" w:type="dxa"/>
          </w:tcPr>
          <w:p>
            <w:pPr>
              <w:pStyle w:val="nTable"/>
              <w:spacing w:before="120"/>
              <w:rPr>
                <w:sz w:val="19"/>
              </w:rPr>
            </w:pPr>
            <w:r>
              <w:rPr>
                <w:sz w:val="19"/>
              </w:rPr>
              <w:t xml:space="preserve">9 Dec 1994 (see </w:t>
            </w:r>
            <w:r>
              <w:rPr>
                <w:sz w:val="20"/>
              </w:rPr>
              <w:t>s. </w:t>
            </w:r>
            <w:r>
              <w:rPr>
                <w:sz w:val="19"/>
              </w:rPr>
              <w:t>2)</w:t>
            </w:r>
          </w:p>
        </w:tc>
      </w:tr>
      <w:tr>
        <w:trPr>
          <w:cantSplit/>
        </w:trPr>
        <w:tc>
          <w:tcPr>
            <w:tcW w:w="2268" w:type="dxa"/>
          </w:tcPr>
          <w:p>
            <w:pPr>
              <w:pStyle w:val="nTable"/>
              <w:spacing w:before="120"/>
              <w:ind w:right="113"/>
              <w:rPr>
                <w:sz w:val="19"/>
              </w:rPr>
            </w:pPr>
            <w:r>
              <w:rPr>
                <w:i/>
                <w:sz w:val="19"/>
              </w:rPr>
              <w:t>Pawnbrokers and Second</w:t>
            </w:r>
            <w:r>
              <w:rPr>
                <w:i/>
                <w:sz w:val="19"/>
              </w:rPr>
              <w:noBreakHyphen/>
              <w:t>hand Dealers Act 1994</w:t>
            </w:r>
            <w:r>
              <w:rPr>
                <w:sz w:val="19"/>
              </w:rPr>
              <w:t> s. 100</w:t>
            </w:r>
          </w:p>
        </w:tc>
        <w:tc>
          <w:tcPr>
            <w:tcW w:w="1134" w:type="dxa"/>
          </w:tcPr>
          <w:p>
            <w:pPr>
              <w:pStyle w:val="nTable"/>
              <w:spacing w:before="120"/>
              <w:rPr>
                <w:sz w:val="19"/>
              </w:rPr>
            </w:pPr>
            <w:r>
              <w:rPr>
                <w:sz w:val="19"/>
              </w:rPr>
              <w:t>88 of 1994</w:t>
            </w:r>
          </w:p>
        </w:tc>
        <w:tc>
          <w:tcPr>
            <w:tcW w:w="1134" w:type="dxa"/>
          </w:tcPr>
          <w:p>
            <w:pPr>
              <w:pStyle w:val="nTable"/>
              <w:spacing w:before="120"/>
              <w:rPr>
                <w:sz w:val="19"/>
              </w:rPr>
            </w:pPr>
            <w:r>
              <w:rPr>
                <w:sz w:val="19"/>
              </w:rPr>
              <w:t>5 Jan1995</w:t>
            </w:r>
          </w:p>
        </w:tc>
        <w:tc>
          <w:tcPr>
            <w:tcW w:w="2552" w:type="dxa"/>
          </w:tcPr>
          <w:p>
            <w:pPr>
              <w:pStyle w:val="nTable"/>
              <w:spacing w:before="12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before="120"/>
              <w:ind w:right="113"/>
              <w:rPr>
                <w:sz w:val="19"/>
              </w:rPr>
            </w:pPr>
            <w:r>
              <w:rPr>
                <w:i/>
                <w:sz w:val="19"/>
              </w:rPr>
              <w:t>Statutes (Repeals and Minor Amendments) Act 1997</w:t>
            </w:r>
            <w:r>
              <w:rPr>
                <w:sz w:val="19"/>
              </w:rPr>
              <w:t xml:space="preserve"> s. 109</w:t>
            </w:r>
          </w:p>
        </w:tc>
        <w:tc>
          <w:tcPr>
            <w:tcW w:w="1134" w:type="dxa"/>
          </w:tcPr>
          <w:p>
            <w:pPr>
              <w:pStyle w:val="nTable"/>
              <w:spacing w:before="120"/>
              <w:rPr>
                <w:sz w:val="19"/>
              </w:rPr>
            </w:pPr>
            <w:r>
              <w:rPr>
                <w:sz w:val="19"/>
              </w:rPr>
              <w:t>57 of 1997</w:t>
            </w:r>
          </w:p>
        </w:tc>
        <w:tc>
          <w:tcPr>
            <w:tcW w:w="1134" w:type="dxa"/>
          </w:tcPr>
          <w:p>
            <w:pPr>
              <w:pStyle w:val="nTable"/>
              <w:spacing w:before="120"/>
              <w:rPr>
                <w:sz w:val="19"/>
              </w:rPr>
            </w:pPr>
            <w:r>
              <w:rPr>
                <w:sz w:val="19"/>
              </w:rPr>
              <w:t>15 Dec 1997</w:t>
            </w:r>
          </w:p>
        </w:tc>
        <w:tc>
          <w:tcPr>
            <w:tcW w:w="2552" w:type="dxa"/>
          </w:tcPr>
          <w:p>
            <w:pPr>
              <w:pStyle w:val="nTable"/>
              <w:spacing w:before="120"/>
              <w:rPr>
                <w:sz w:val="19"/>
              </w:rPr>
            </w:pPr>
            <w:r>
              <w:rPr>
                <w:sz w:val="19"/>
              </w:rPr>
              <w:t>15 Dec 1997 (see s. 2)</w:t>
            </w:r>
          </w:p>
        </w:tc>
      </w:tr>
      <w:tr>
        <w:trPr>
          <w:cantSplit/>
        </w:trPr>
        <w:tc>
          <w:tcPr>
            <w:tcW w:w="7088" w:type="dxa"/>
            <w:gridSpan w:val="4"/>
          </w:tcPr>
          <w:p>
            <w:pPr>
              <w:pStyle w:val="nTable"/>
              <w:spacing w:before="120"/>
              <w:rPr>
                <w:sz w:val="19"/>
              </w:rPr>
            </w:pPr>
            <w:r>
              <w:rPr>
                <w:b/>
                <w:sz w:val="19"/>
              </w:rPr>
              <w:t>Reprint of</w:t>
            </w:r>
            <w:r>
              <w:rPr>
                <w:b/>
                <w:i/>
                <w:sz w:val="19"/>
              </w:rPr>
              <w:t xml:space="preserve"> The Sale of Goods Act 1895 </w:t>
            </w:r>
            <w:r>
              <w:rPr>
                <w:b/>
                <w:sz w:val="19"/>
              </w:rPr>
              <w:t xml:space="preserve">as at 7 July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March 2002 p.1032)</w:t>
            </w:r>
          </w:p>
        </w:tc>
      </w:tr>
      <w:tr>
        <w:trPr>
          <w:cantSplit/>
        </w:trPr>
        <w:tc>
          <w:tcPr>
            <w:tcW w:w="2268" w:type="dxa"/>
          </w:tcPr>
          <w:p>
            <w:pPr>
              <w:pStyle w:val="nTable"/>
              <w:spacing w:before="120"/>
              <w:ind w:right="113"/>
              <w:rPr>
                <w:sz w:val="19"/>
              </w:rPr>
            </w:pPr>
            <w:r>
              <w:rPr>
                <w:i/>
                <w:sz w:val="19"/>
              </w:rPr>
              <w:t>Statutes (Repeals and Minor Amendments) Act 2003</w:t>
            </w:r>
            <w:r>
              <w:rPr>
                <w:sz w:val="19"/>
              </w:rPr>
              <w:t xml:space="preserve"> s. 150(1)</w:t>
            </w:r>
          </w:p>
        </w:tc>
        <w:tc>
          <w:tcPr>
            <w:tcW w:w="1134" w:type="dxa"/>
          </w:tcPr>
          <w:p>
            <w:pPr>
              <w:pStyle w:val="nTable"/>
              <w:spacing w:before="120"/>
              <w:rPr>
                <w:sz w:val="19"/>
              </w:rPr>
            </w:pPr>
            <w:r>
              <w:rPr>
                <w:sz w:val="19"/>
              </w:rPr>
              <w:t>74 of 2003</w:t>
            </w:r>
          </w:p>
        </w:tc>
        <w:tc>
          <w:tcPr>
            <w:tcW w:w="1134" w:type="dxa"/>
          </w:tcPr>
          <w:p>
            <w:pPr>
              <w:pStyle w:val="nTable"/>
              <w:spacing w:before="120"/>
              <w:rPr>
                <w:sz w:val="19"/>
              </w:rPr>
            </w:pPr>
            <w:r>
              <w:rPr>
                <w:sz w:val="19"/>
              </w:rPr>
              <w:t>15 Dec 2003</w:t>
            </w:r>
          </w:p>
        </w:tc>
        <w:tc>
          <w:tcPr>
            <w:tcW w:w="2552" w:type="dxa"/>
          </w:tcPr>
          <w:p>
            <w:pPr>
              <w:pStyle w:val="nTable"/>
              <w:spacing w:before="120"/>
              <w:rPr>
                <w:sz w:val="19"/>
              </w:rPr>
            </w:pPr>
            <w:r>
              <w:rPr>
                <w:spacing w:val="-2"/>
                <w:sz w:val="19"/>
              </w:rPr>
              <w:t>15 Dec 2003 (see s. 2)</w:t>
            </w:r>
          </w:p>
        </w:tc>
      </w:tr>
      <w:tr>
        <w:trPr>
          <w:cantSplit/>
        </w:trPr>
        <w:tc>
          <w:tcPr>
            <w:tcW w:w="2268" w:type="dxa"/>
            <w:tcBorders>
              <w:bottom w:val="single" w:sz="4" w:space="0" w:color="auto"/>
            </w:tcBorders>
          </w:tcPr>
          <w:p>
            <w:pPr>
              <w:pStyle w:val="nTable"/>
              <w:spacing w:before="120"/>
              <w:ind w:right="113"/>
              <w:rPr>
                <w:i/>
                <w:sz w:val="19"/>
              </w:rPr>
            </w:pPr>
            <w:r>
              <w:rPr>
                <w:i/>
                <w:iCs/>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w:t>
            </w:r>
          </w:p>
        </w:tc>
        <w:tc>
          <w:tcPr>
            <w:tcW w:w="1134" w:type="dxa"/>
            <w:tcBorders>
              <w:bottom w:val="single" w:sz="4" w:space="0" w:color="auto"/>
            </w:tcBorders>
          </w:tcPr>
          <w:p>
            <w:pPr>
              <w:pStyle w:val="nTable"/>
              <w:spacing w:before="120"/>
              <w:rPr>
                <w:sz w:val="19"/>
              </w:rPr>
            </w:pPr>
            <w:r>
              <w:rPr>
                <w:snapToGrid w:val="0"/>
                <w:sz w:val="19"/>
                <w:lang w:val="en-US"/>
              </w:rPr>
              <w:t>59 of 2004</w:t>
            </w:r>
          </w:p>
        </w:tc>
        <w:tc>
          <w:tcPr>
            <w:tcW w:w="1134" w:type="dxa"/>
            <w:tcBorders>
              <w:bottom w:val="single" w:sz="4" w:space="0" w:color="auto"/>
            </w:tcBorders>
          </w:tcPr>
          <w:p>
            <w:pPr>
              <w:pStyle w:val="nTable"/>
              <w:spacing w:before="120"/>
              <w:rPr>
                <w:sz w:val="19"/>
              </w:rPr>
            </w:pPr>
            <w:r>
              <w:rPr>
                <w:sz w:val="19"/>
              </w:rPr>
              <w:t>23 Nov 2004</w:t>
            </w:r>
          </w:p>
        </w:tc>
        <w:tc>
          <w:tcPr>
            <w:tcW w:w="2552" w:type="dxa"/>
            <w:tcBorders>
              <w:bottom w:val="single" w:sz="4" w:space="0" w:color="auto"/>
            </w:tcBorders>
          </w:tcPr>
          <w:p>
            <w:pPr>
              <w:pStyle w:val="nTable"/>
              <w:spacing w:before="12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bl>
    <w:p>
      <w:pPr>
        <w:pStyle w:val="nSubsection"/>
        <w:keepNext/>
        <w:rPr>
          <w:sz w:val="19"/>
        </w:rPr>
      </w:pPr>
      <w:r>
        <w:rPr>
          <w:vertAlign w:val="superscript"/>
        </w:rPr>
        <w:t>2</w:t>
      </w:r>
      <w:r>
        <w:tab/>
        <w:t xml:space="preserve">Now known as the </w:t>
      </w:r>
      <w:r>
        <w:rPr>
          <w:i/>
        </w:rPr>
        <w:t>Sale of Goods Act 1895</w:t>
      </w:r>
      <w:r>
        <w:rPr>
          <w:sz w:val="19"/>
        </w:rPr>
        <w:t>; short title changed (see note under s. 62).</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766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0B632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98E244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03E95A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F8CED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2E865D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20090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C4F98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961F7A"/>
    <w:lvl w:ilvl="0">
      <w:start w:val="1"/>
      <w:numFmt w:val="decimal"/>
      <w:pStyle w:val="ListNumber"/>
      <w:lvlText w:val="%1."/>
      <w:lvlJc w:val="left"/>
      <w:pPr>
        <w:tabs>
          <w:tab w:val="num" w:pos="360"/>
        </w:tabs>
        <w:ind w:left="360" w:hanging="360"/>
      </w:pPr>
    </w:lvl>
  </w:abstractNum>
  <w:abstractNum w:abstractNumId="9">
    <w:nsid w:val="FFFFFF89"/>
    <w:multiLevelType w:val="singleLevel"/>
    <w:tmpl w:val="D8BE7F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FD8277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23671EE"/>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994697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608AEB9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7"/>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42926"/>
    <w:docVar w:name="WAFER_20151209142926" w:val="RemoveTrackChanges"/>
    <w:docVar w:name="WAFER_20151209142926_GUID" w:val="ecda1592-4883-4627-861a-be98cf21b5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9199</Words>
  <Characters>41306</Characters>
  <Application>Microsoft Office Word</Application>
  <DocSecurity>0</DocSecurity>
  <Lines>1059</Lines>
  <Paragraphs>500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1895 - 04-b0-03</dc:title>
  <dc:subject/>
  <dc:creator/>
  <cp:keywords/>
  <dc:description/>
  <cp:lastModifiedBy>svcMRProcess</cp:lastModifiedBy>
  <cp:revision>4</cp:revision>
  <cp:lastPrinted>2000-08-02T00:29:00Z</cp:lastPrinted>
  <dcterms:created xsi:type="dcterms:W3CDTF">2019-05-07T06:59:00Z</dcterms:created>
  <dcterms:modified xsi:type="dcterms:W3CDTF">2019-05-07T06:59:00Z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20050501</vt:lpwstr>
  </property>
  <property fmtid="{D5CDD505-2E9C-101B-9397-08002B2CF9AE}" pid="4" name="DocumentType">
    <vt:lpwstr>Act</vt:lpwstr>
  </property>
  <property fmtid="{D5CDD505-2E9C-101B-9397-08002B2CF9AE}" pid="5" name="OwlsUID">
    <vt:i4>726</vt:i4>
  </property>
  <property fmtid="{D5CDD505-2E9C-101B-9397-08002B2CF9AE}" pid="6" name="AsAtDate">
    <vt:lpwstr>01 May 2005</vt:lpwstr>
  </property>
  <property fmtid="{D5CDD505-2E9C-101B-9397-08002B2CF9AE}" pid="7" name="Suffix">
    <vt:lpwstr>04-b0-03</vt:lpwstr>
  </property>
</Properties>
</file>