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Chiropractors Act 2005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Chiropractors Regulations 2007</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Health Practitioner Regulation National Law (WA) Act 2010</w:t>
      </w:r>
      <w:r>
        <w:rPr>
          <w:color w:val="000000"/>
          <w:sz w:val="22"/>
          <w:szCs w:val="22"/>
        </w:rPr>
        <w:t xml:space="preserve"> s. 15(2)(a)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Chiropractors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_Toc473810608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_Toc473810609 \h </w:instrText>
      </w:r>
      <w:r>
        <w:fldChar w:fldCharType="separate"/>
      </w:r>
      <w:r>
        <w:t>1</w:t>
      </w:r>
      <w:r>
        <w:fldChar w:fldCharType="end"/>
      </w:r>
    </w:p>
    <w:p>
      <w:pPr>
        <w:pStyle w:val="TOC8"/>
        <w:rPr>
          <w:rFonts w:asciiTheme="minorHAnsi" w:eastAsiaTheme="minorEastAsia" w:hAnsiTheme="minorHAnsi" w:cstheme="minorBidi"/>
          <w:szCs w:val="22"/>
        </w:rPr>
      </w:pPr>
      <w:r>
        <w:t>3.</w:t>
      </w:r>
      <w:r>
        <w:tab/>
        <w:t>Criminal record screening</w:t>
      </w:r>
      <w:r>
        <w:tab/>
      </w:r>
      <w:r>
        <w:fldChar w:fldCharType="begin"/>
      </w:r>
      <w:r>
        <w:instrText xml:space="preserve"> PAGEREF _Toc473810610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qualifications for registration under section 27(2)(f) and (g)</w:t>
      </w:r>
      <w:r>
        <w:tab/>
      </w:r>
      <w:r>
        <w:fldChar w:fldCharType="begin"/>
      </w:r>
      <w:r>
        <w:instrText xml:space="preserve"> PAGEREF _Toc473810611 \h </w:instrText>
      </w:r>
      <w:r>
        <w:fldChar w:fldCharType="separate"/>
      </w:r>
      <w:r>
        <w:t>1</w:t>
      </w:r>
      <w:r>
        <w:fldChar w:fldCharType="end"/>
      </w:r>
    </w:p>
    <w:p>
      <w:pPr>
        <w:pStyle w:val="TOC8"/>
        <w:rPr>
          <w:rFonts w:asciiTheme="minorHAnsi" w:eastAsiaTheme="minorEastAsia" w:hAnsiTheme="minorHAnsi" w:cstheme="minorBidi"/>
          <w:szCs w:val="22"/>
        </w:rPr>
      </w:pPr>
      <w:r>
        <w:t>5.</w:t>
      </w:r>
      <w:r>
        <w:tab/>
        <w:t>Prescribed period for registration and renewal of registration under section 34</w:t>
      </w:r>
      <w:r>
        <w:tab/>
      </w:r>
      <w:r>
        <w:fldChar w:fldCharType="begin"/>
      </w:r>
      <w:r>
        <w:instrText xml:space="preserve"> PAGEREF _Toc473810612 \h </w:instrText>
      </w:r>
      <w:r>
        <w:fldChar w:fldCharType="separate"/>
      </w:r>
      <w:r>
        <w:t>2</w:t>
      </w:r>
      <w:r>
        <w:fldChar w:fldCharType="end"/>
      </w:r>
    </w:p>
    <w:p>
      <w:pPr>
        <w:pStyle w:val="TOC8"/>
        <w:rPr>
          <w:rFonts w:asciiTheme="minorHAnsi" w:eastAsiaTheme="minorEastAsia" w:hAnsiTheme="minorHAnsi" w:cstheme="minorBidi"/>
          <w:szCs w:val="22"/>
        </w:rPr>
      </w:pPr>
      <w:r>
        <w:t>6.</w:t>
      </w:r>
      <w:r>
        <w:tab/>
        <w:t>Day on which fee falls due under section 35(1)</w:t>
      </w:r>
      <w:r>
        <w:tab/>
      </w:r>
      <w:r>
        <w:fldChar w:fldCharType="begin"/>
      </w:r>
      <w:r>
        <w:instrText xml:space="preserve"> PAGEREF _Toc473810613 \h </w:instrText>
      </w:r>
      <w:r>
        <w:fldChar w:fldCharType="separate"/>
      </w:r>
      <w:r>
        <w:t>3</w:t>
      </w:r>
      <w:r>
        <w:fldChar w:fldCharType="end"/>
      </w:r>
    </w:p>
    <w:p>
      <w:pPr>
        <w:pStyle w:val="TOC8"/>
        <w:rPr>
          <w:rFonts w:asciiTheme="minorHAnsi" w:eastAsiaTheme="minorEastAsia" w:hAnsiTheme="minorHAnsi" w:cstheme="minorBidi"/>
          <w:szCs w:val="22"/>
        </w:rPr>
      </w:pPr>
      <w:r>
        <w:t>7.</w:t>
      </w:r>
      <w:r>
        <w:tab/>
        <w:t>Prescribed information under section 37(g)</w:t>
      </w:r>
      <w:r>
        <w:tab/>
      </w:r>
      <w:r>
        <w:fldChar w:fldCharType="begin"/>
      </w:r>
      <w:r>
        <w:instrText xml:space="preserve"> PAGEREF _Toc473810614 \h </w:instrText>
      </w:r>
      <w:r>
        <w:fldChar w:fldCharType="separate"/>
      </w:r>
      <w:r>
        <w:t>3</w:t>
      </w:r>
      <w:r>
        <w:fldChar w:fldCharType="end"/>
      </w:r>
    </w:p>
    <w:p>
      <w:pPr>
        <w:pStyle w:val="TOC8"/>
        <w:rPr>
          <w:rFonts w:asciiTheme="minorHAnsi" w:eastAsiaTheme="minorEastAsia" w:hAnsiTheme="minorHAnsi" w:cstheme="minorBidi"/>
          <w:szCs w:val="22"/>
        </w:rPr>
      </w:pPr>
      <w:r>
        <w:t>8.</w:t>
      </w:r>
      <w:r>
        <w:tab/>
        <w:t>Amendment of particulars</w:t>
      </w:r>
      <w:r>
        <w:tab/>
      </w:r>
      <w:r>
        <w:fldChar w:fldCharType="begin"/>
      </w:r>
      <w:r>
        <w:instrText xml:space="preserve"> PAGEREF _Toc473810615 \h </w:instrText>
      </w:r>
      <w:r>
        <w:fldChar w:fldCharType="separate"/>
      </w:r>
      <w:r>
        <w:t>3</w:t>
      </w:r>
      <w:r>
        <w:fldChar w:fldCharType="end"/>
      </w:r>
    </w:p>
    <w:p>
      <w:pPr>
        <w:pStyle w:val="TOC8"/>
        <w:rPr>
          <w:rFonts w:asciiTheme="minorHAnsi" w:eastAsiaTheme="minorEastAsia" w:hAnsiTheme="minorHAnsi" w:cstheme="minorBidi"/>
          <w:szCs w:val="22"/>
        </w:rPr>
      </w:pPr>
      <w:r>
        <w:t>9.</w:t>
      </w:r>
      <w:r>
        <w:tab/>
        <w:t>Change of name</w:t>
      </w:r>
      <w:r>
        <w:tab/>
      </w:r>
      <w:r>
        <w:fldChar w:fldCharType="begin"/>
      </w:r>
      <w:r>
        <w:instrText xml:space="preserve"> PAGEREF _Toc473810616 \h </w:instrText>
      </w:r>
      <w:r>
        <w:fldChar w:fldCharType="separate"/>
      </w:r>
      <w:r>
        <w:t>3</w:t>
      </w:r>
      <w:r>
        <w:fldChar w:fldCharType="end"/>
      </w:r>
    </w:p>
    <w:p>
      <w:pPr>
        <w:pStyle w:val="TOC8"/>
        <w:rPr>
          <w:rFonts w:asciiTheme="minorHAnsi" w:eastAsiaTheme="minorEastAsia" w:hAnsiTheme="minorHAnsi" w:cstheme="minorBidi"/>
          <w:szCs w:val="22"/>
        </w:rPr>
      </w:pPr>
      <w:r>
        <w:t>10.</w:t>
      </w:r>
      <w:r>
        <w:tab/>
        <w:t>Complaints to the complaints assessment committee</w:t>
      </w:r>
      <w:r>
        <w:tab/>
      </w:r>
      <w:r>
        <w:fldChar w:fldCharType="begin"/>
      </w:r>
      <w:r>
        <w:instrText xml:space="preserve"> PAGEREF _Toc473810617 \h </w:instrText>
      </w:r>
      <w:r>
        <w:fldChar w:fldCharType="separate"/>
      </w:r>
      <w:r>
        <w:t>4</w:t>
      </w:r>
      <w:r>
        <w:fldChar w:fldCharType="end"/>
      </w:r>
    </w:p>
    <w:p>
      <w:pPr>
        <w:pStyle w:val="TOC8"/>
        <w:rPr>
          <w:rFonts w:asciiTheme="minorHAnsi" w:eastAsiaTheme="minorEastAsia" w:hAnsiTheme="minorHAnsi" w:cstheme="minorBidi"/>
          <w:szCs w:val="22"/>
        </w:rPr>
      </w:pPr>
      <w:r>
        <w:t>11.</w:t>
      </w:r>
      <w:r>
        <w:tab/>
        <w:t>Appointment of a conciliator</w:t>
      </w:r>
      <w:r>
        <w:tab/>
      </w:r>
      <w:r>
        <w:fldChar w:fldCharType="begin"/>
      </w:r>
      <w:r>
        <w:instrText xml:space="preserve"> PAGEREF _Toc473810618 \h </w:instrText>
      </w:r>
      <w:r>
        <w:fldChar w:fldCharType="separate"/>
      </w:r>
      <w:r>
        <w:t>4</w:t>
      </w:r>
      <w:r>
        <w:fldChar w:fldCharType="end"/>
      </w:r>
    </w:p>
    <w:p>
      <w:pPr>
        <w:pStyle w:val="TOC8"/>
        <w:rPr>
          <w:rFonts w:asciiTheme="minorHAnsi" w:eastAsiaTheme="minorEastAsia" w:hAnsiTheme="minorHAnsi" w:cstheme="minorBidi"/>
          <w:szCs w:val="22"/>
        </w:rPr>
      </w:pPr>
      <w:r>
        <w:t>12.</w:t>
      </w:r>
      <w:r>
        <w:tab/>
        <w:t>Advertising</w:t>
      </w:r>
      <w:r>
        <w:tab/>
      </w:r>
      <w:r>
        <w:fldChar w:fldCharType="begin"/>
      </w:r>
      <w:r>
        <w:instrText xml:space="preserve"> PAGEREF _Toc473810619 \h </w:instrText>
      </w:r>
      <w:r>
        <w:fldChar w:fldCharType="separate"/>
      </w:r>
      <w:r>
        <w:t>4</w:t>
      </w:r>
      <w:r>
        <w:fldChar w:fldCharType="end"/>
      </w:r>
    </w:p>
    <w:p>
      <w:pPr>
        <w:pStyle w:val="TOC8"/>
        <w:rPr>
          <w:rFonts w:asciiTheme="minorHAnsi" w:eastAsiaTheme="minorEastAsia" w:hAnsiTheme="minorHAnsi" w:cstheme="minorBidi"/>
          <w:szCs w:val="22"/>
        </w:rPr>
      </w:pPr>
      <w:r>
        <w:t>13.</w:t>
      </w:r>
      <w:r>
        <w:tab/>
        <w:t>Fees</w:t>
      </w:r>
      <w:r>
        <w:tab/>
      </w:r>
      <w:r>
        <w:fldChar w:fldCharType="begin"/>
      </w:r>
      <w:r>
        <w:instrText xml:space="preserve"> PAGEREF _Toc473810620 \h </w:instrText>
      </w:r>
      <w:r>
        <w:fldChar w:fldCharType="separate"/>
      </w:r>
      <w:r>
        <w:t>5</w:t>
      </w:r>
      <w:r>
        <w:fldChar w:fldCharType="end"/>
      </w:r>
    </w:p>
    <w:p>
      <w:pPr>
        <w:pStyle w:val="TOC8"/>
        <w:rPr>
          <w:rFonts w:asciiTheme="minorHAnsi" w:eastAsiaTheme="minorEastAsia" w:hAnsiTheme="minorHAnsi" w:cstheme="minorBidi"/>
          <w:szCs w:val="22"/>
        </w:rPr>
      </w:pPr>
      <w:r>
        <w:t>14.</w:t>
      </w:r>
      <w:r>
        <w:tab/>
        <w:t xml:space="preserve">Fees for registration under </w:t>
      </w:r>
      <w:r>
        <w:rPr>
          <w:i/>
          <w:iCs/>
        </w:rPr>
        <w:t xml:space="preserve">Mutual Recognition (Western Australia) Act 2001 </w:t>
      </w:r>
      <w:r>
        <w:t>or</w:t>
      </w:r>
      <w:r>
        <w:rPr>
          <w:i/>
          <w:iCs/>
        </w:rPr>
        <w:t xml:space="preserve"> Trans</w:t>
      </w:r>
      <w:r>
        <w:rPr>
          <w:i/>
          <w:iCs/>
        </w:rPr>
        <w:noBreakHyphen/>
        <w:t>Tasman Mutual Recognition (Western Australia) Act 2007</w:t>
      </w:r>
      <w:r>
        <w:tab/>
      </w:r>
      <w:r>
        <w:fldChar w:fldCharType="begin"/>
      </w:r>
      <w:r>
        <w:instrText xml:space="preserve"> PAGEREF _Toc473810621 \h </w:instrText>
      </w:r>
      <w:r>
        <w:fldChar w:fldCharType="separate"/>
      </w:r>
      <w:r>
        <w:t>5</w:t>
      </w:r>
      <w:r>
        <w:fldChar w:fldCharType="end"/>
      </w:r>
    </w:p>
    <w:p>
      <w:pPr>
        <w:pStyle w:val="TOC8"/>
        <w:rPr>
          <w:rFonts w:asciiTheme="minorHAnsi" w:eastAsiaTheme="minorEastAsia" w:hAnsiTheme="minorHAnsi" w:cstheme="minorBidi"/>
          <w:szCs w:val="22"/>
        </w:rPr>
      </w:pPr>
      <w:r>
        <w:t>15.</w:t>
      </w:r>
      <w:r>
        <w:tab/>
        <w:t>Reduction, waiver or refund of fees</w:t>
      </w:r>
      <w:r>
        <w:tab/>
      </w:r>
      <w:r>
        <w:fldChar w:fldCharType="begin"/>
      </w:r>
      <w:r>
        <w:instrText xml:space="preserve"> PAGEREF _Toc473810622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 xml:space="preserve">Schedule 2 — Fees for registration under </w:t>
      </w:r>
      <w:r>
        <w:rPr>
          <w:i/>
          <w:iCs/>
        </w:rPr>
        <w:t>Mutual Recognition (Western Australia) Act 2001</w:t>
      </w:r>
      <w:r>
        <w:t xml:space="preserve"> or </w:t>
      </w:r>
      <w:r>
        <w:rPr>
          <w:i/>
          <w:iCs/>
        </w:rPr>
        <w:t>Trans</w:t>
      </w:r>
      <w:r>
        <w:rPr>
          <w:i/>
          <w:iCs/>
        </w:rPr>
        <w:noBreakHyphen/>
        <w:t>Tasman Mutual Recognition (Western Australia) Act 2007</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_Toc473810626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PrincipalActReg"/>
      </w:pPr>
      <w:r>
        <w:t>Chiropractors Act 2005</w:t>
      </w:r>
    </w:p>
    <w:p>
      <w:pPr>
        <w:pStyle w:val="NameofActReg"/>
      </w:pPr>
      <w:r>
        <w:t>Chiropractors Regulations 2007</w:t>
      </w:r>
    </w:p>
    <w:p>
      <w:pPr>
        <w:pStyle w:val="Heading5"/>
      </w:pPr>
      <w:bookmarkStart w:id="3" w:name="_Toc378076040"/>
      <w:bookmarkStart w:id="4" w:name="_Toc473810608"/>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pPr>
        <w:pStyle w:val="Heading5"/>
        <w:rPr>
          <w:spacing w:val="-2"/>
        </w:rPr>
      </w:pPr>
      <w:bookmarkStart w:id="6" w:name="_Toc378076041"/>
      <w:bookmarkStart w:id="7" w:name="_Toc473810609"/>
      <w:r>
        <w:rPr>
          <w:rStyle w:val="CharSectno"/>
        </w:rPr>
        <w:t>2</w:t>
      </w:r>
      <w:r>
        <w:rPr>
          <w:spacing w:val="-2"/>
        </w:rPr>
        <w:t>.</w:t>
      </w:r>
      <w:r>
        <w:rPr>
          <w:spacing w:val="-2"/>
        </w:rPr>
        <w:tab/>
        <w:t>Commencement</w:t>
      </w:r>
      <w:bookmarkEnd w:id="6"/>
      <w:bookmarkEnd w:id="7"/>
    </w:p>
    <w:p>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pPr>
        <w:pStyle w:val="Heading5"/>
      </w:pPr>
      <w:bookmarkStart w:id="8" w:name="_Toc378076042"/>
      <w:bookmarkStart w:id="9" w:name="_Toc473810610"/>
      <w:r>
        <w:rPr>
          <w:rStyle w:val="CharSectno"/>
        </w:rPr>
        <w:t>3</w:t>
      </w:r>
      <w:r>
        <w:t>.</w:t>
      </w:r>
      <w:r>
        <w:tab/>
        <w:t>Criminal record screening</w:t>
      </w:r>
      <w:bookmarkEnd w:id="8"/>
      <w:bookmarkEnd w:id="9"/>
    </w:p>
    <w:p>
      <w:pPr>
        <w:pStyle w:val="Subsection"/>
      </w:pPr>
      <w:r>
        <w:tab/>
      </w:r>
      <w:r>
        <w:tab/>
        <w:t>The Board may require a person who applies to the Board for registration under the Act section 27 or 30 to give the Board authority to obtain details of any record of criminal convictions of that person.</w:t>
      </w:r>
    </w:p>
    <w:p>
      <w:pPr>
        <w:pStyle w:val="Heading5"/>
      </w:pPr>
      <w:bookmarkStart w:id="10" w:name="_Toc378076043"/>
      <w:bookmarkStart w:id="11" w:name="_Toc473810611"/>
      <w:r>
        <w:rPr>
          <w:rStyle w:val="CharSectno"/>
        </w:rPr>
        <w:t>4</w:t>
      </w:r>
      <w:r>
        <w:t>.</w:t>
      </w:r>
      <w:r>
        <w:tab/>
        <w:t>Prescribed qualifications for registration under section 27(2)(f) and (g)</w:t>
      </w:r>
      <w:bookmarkEnd w:id="10"/>
      <w:bookmarkEnd w:id="11"/>
    </w:p>
    <w:p>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yTable"/>
              <w:jc w:val="center"/>
            </w:pPr>
            <w:r>
              <w:rPr>
                <w:b/>
                <w:bCs/>
              </w:rPr>
              <w:t>Column 1</w:t>
            </w:r>
            <w:r>
              <w:rPr>
                <w:b/>
                <w:bCs/>
              </w:rPr>
              <w:br/>
              <w:t>Qualification</w:t>
            </w:r>
          </w:p>
        </w:tc>
        <w:tc>
          <w:tcPr>
            <w:tcW w:w="2976" w:type="dxa"/>
            <w:tcBorders>
              <w:top w:val="single" w:sz="4" w:space="0" w:color="auto"/>
              <w:bottom w:val="single" w:sz="4" w:space="0" w:color="auto"/>
            </w:tcBorders>
          </w:tcPr>
          <w:p>
            <w:pPr>
              <w:pStyle w:val="yTable"/>
              <w:jc w:val="center"/>
            </w:pPr>
            <w:r>
              <w:rPr>
                <w:b/>
                <w:bCs/>
              </w:rPr>
              <w:t>Column 2</w:t>
            </w:r>
            <w:r>
              <w:rPr>
                <w:b/>
                <w:bCs/>
              </w:rPr>
              <w:br/>
              <w:t>Institution</w:t>
            </w:r>
          </w:p>
        </w:tc>
      </w:tr>
      <w:tr>
        <w:trPr>
          <w:cantSplit/>
          <w:trHeight w:val="704"/>
        </w:trPr>
        <w:tc>
          <w:tcPr>
            <w:tcW w:w="2977" w:type="dxa"/>
            <w:tcBorders>
              <w:top w:val="single" w:sz="4" w:space="0" w:color="auto"/>
              <w:bottom w:val="nil"/>
            </w:tcBorders>
          </w:tcPr>
          <w:p>
            <w:pPr>
              <w:pStyle w:val="yTable"/>
            </w:pPr>
            <w:r>
              <w:t xml:space="preserve">Bachelor of Science (Chiropractic) and </w:t>
            </w:r>
          </w:p>
          <w:p>
            <w:pPr>
              <w:pStyle w:val="yTable"/>
            </w:pPr>
            <w:r>
              <w:t>Bachelor of Chiropractic</w:t>
            </w:r>
          </w:p>
        </w:tc>
        <w:tc>
          <w:tcPr>
            <w:tcW w:w="2976" w:type="dxa"/>
            <w:tcBorders>
              <w:top w:val="single" w:sz="4" w:space="0" w:color="auto"/>
              <w:bottom w:val="nil"/>
            </w:tcBorders>
          </w:tcPr>
          <w:p>
            <w:pPr>
              <w:pStyle w:val="yTable"/>
            </w:pPr>
            <w:r>
              <w:t>Murdoch University</w:t>
            </w:r>
          </w:p>
        </w:tc>
      </w:tr>
      <w:tr>
        <w:trPr>
          <w:cantSplit/>
          <w:trHeight w:val="463"/>
        </w:trPr>
        <w:tc>
          <w:tcPr>
            <w:tcW w:w="2977" w:type="dxa"/>
            <w:tcBorders>
              <w:bottom w:val="nil"/>
            </w:tcBorders>
          </w:tcPr>
          <w:p>
            <w:pPr>
              <w:pStyle w:val="yTable"/>
              <w:spacing w:before="80"/>
            </w:pPr>
            <w:r>
              <w:t>Bachelor of Chiropractic and</w:t>
            </w:r>
          </w:p>
          <w:p>
            <w:pPr>
              <w:pStyle w:val="yTable"/>
            </w:pPr>
            <w:r>
              <w:t>Master of Chiropractic</w:t>
            </w:r>
          </w:p>
        </w:tc>
        <w:tc>
          <w:tcPr>
            <w:tcW w:w="2976" w:type="dxa"/>
            <w:tcBorders>
              <w:bottom w:val="nil"/>
            </w:tcBorders>
          </w:tcPr>
          <w:p>
            <w:pPr>
              <w:pStyle w:val="yTable"/>
              <w:spacing w:before="80"/>
            </w:pPr>
            <w:r>
              <w:t>Macquarie University</w:t>
            </w:r>
          </w:p>
        </w:tc>
      </w:tr>
      <w:tr>
        <w:trPr>
          <w:cantSplit/>
          <w:trHeight w:val="1388"/>
        </w:trPr>
        <w:tc>
          <w:tcPr>
            <w:tcW w:w="2977" w:type="dxa"/>
            <w:tcBorders>
              <w:bottom w:val="nil"/>
            </w:tcBorders>
          </w:tcPr>
          <w:p>
            <w:pPr>
              <w:pStyle w:val="yTable"/>
              <w:spacing w:before="80"/>
            </w:pPr>
            <w:r>
              <w:t xml:space="preserve">Bachelor of Applied Science (Clinical Sciences) (conferred during or before 2006) and </w:t>
            </w:r>
          </w:p>
          <w:p>
            <w:pPr>
              <w:pStyle w:val="yTable"/>
            </w:pPr>
            <w:r>
              <w:t>Bachelor of Chiropractic Science (conferred during or before 2006)</w:t>
            </w:r>
          </w:p>
        </w:tc>
        <w:tc>
          <w:tcPr>
            <w:tcW w:w="2976" w:type="dxa"/>
            <w:tcBorders>
              <w:bottom w:val="nil"/>
            </w:tcBorders>
          </w:tcPr>
          <w:p>
            <w:pPr>
              <w:pStyle w:val="yTable"/>
              <w:spacing w:before="80"/>
            </w:pPr>
            <w:r>
              <w:t>Royal Melbourne Institute of Technology</w:t>
            </w:r>
          </w:p>
        </w:tc>
      </w:tr>
      <w:tr>
        <w:trPr>
          <w:cantSplit/>
          <w:trHeight w:val="1156"/>
        </w:trPr>
        <w:tc>
          <w:tcPr>
            <w:tcW w:w="2977" w:type="dxa"/>
            <w:tcBorders>
              <w:bottom w:val="nil"/>
            </w:tcBorders>
          </w:tcPr>
          <w:p>
            <w:pPr>
              <w:pStyle w:val="yTable"/>
              <w:spacing w:before="80"/>
              <w:rPr>
                <w:highlight w:val="yellow"/>
              </w:rPr>
            </w:pPr>
            <w:r>
              <w:t>Bachelor of Applied Science (Complementary Medicine</w:t>
            </w:r>
            <w:r>
              <w:noBreakHyphen/>
              <w:t>Chiropractic) and</w:t>
            </w:r>
          </w:p>
          <w:p>
            <w:pPr>
              <w:pStyle w:val="yTable"/>
              <w:rPr>
                <w:highlight w:val="yellow"/>
              </w:rPr>
            </w:pPr>
            <w:r>
              <w:t>Master of Clinical Chiropractic</w:t>
            </w:r>
          </w:p>
        </w:tc>
        <w:tc>
          <w:tcPr>
            <w:tcW w:w="2976" w:type="dxa"/>
            <w:tcBorders>
              <w:bottom w:val="nil"/>
            </w:tcBorders>
          </w:tcPr>
          <w:p>
            <w:pPr>
              <w:pStyle w:val="yTable"/>
              <w:spacing w:before="80"/>
              <w:rPr>
                <w:highlight w:val="yellow"/>
              </w:rPr>
            </w:pPr>
            <w:r>
              <w:t>Royal Melbourne Institute of Technology</w:t>
            </w:r>
          </w:p>
        </w:tc>
      </w:tr>
      <w:tr>
        <w:tc>
          <w:tcPr>
            <w:tcW w:w="2977" w:type="dxa"/>
          </w:tcPr>
          <w:p>
            <w:pPr>
              <w:pStyle w:val="yTable"/>
              <w:spacing w:before="80"/>
            </w:pPr>
            <w:r>
              <w:t>Certificate of Attainment</w:t>
            </w:r>
          </w:p>
        </w:tc>
        <w:tc>
          <w:tcPr>
            <w:tcW w:w="2976" w:type="dxa"/>
          </w:tcPr>
          <w:p>
            <w:pPr>
              <w:pStyle w:val="yTable"/>
              <w:spacing w:before="80"/>
            </w:pPr>
            <w:r>
              <w:t>Council of Chiropractic Education of Australasia Inc.</w:t>
            </w:r>
          </w:p>
        </w:tc>
      </w:tr>
      <w:tr>
        <w:tc>
          <w:tcPr>
            <w:tcW w:w="2977" w:type="dxa"/>
          </w:tcPr>
          <w:p>
            <w:pPr>
              <w:pStyle w:val="yTable"/>
              <w:spacing w:before="80"/>
            </w:pPr>
            <w:r>
              <w:t>Bachelor of Chiropractic</w:t>
            </w:r>
          </w:p>
        </w:tc>
        <w:tc>
          <w:tcPr>
            <w:tcW w:w="2976" w:type="dxa"/>
          </w:tcPr>
          <w:p>
            <w:pPr>
              <w:pStyle w:val="yTable"/>
              <w:spacing w:before="80"/>
            </w:pPr>
            <w:r>
              <w:t>New Zealand College of Chiropractic</w:t>
            </w:r>
          </w:p>
        </w:tc>
      </w:tr>
      <w:tr>
        <w:tc>
          <w:tcPr>
            <w:tcW w:w="2977" w:type="dxa"/>
            <w:tcBorders>
              <w:bottom w:val="single" w:sz="4" w:space="0" w:color="auto"/>
            </w:tcBorders>
          </w:tcPr>
          <w:p>
            <w:pPr>
              <w:pStyle w:val="yTable"/>
            </w:pPr>
            <w:r>
              <w:t>Bachelor of Applied Science (Clinical Sciences)</w:t>
            </w:r>
          </w:p>
          <w:p>
            <w:pPr>
              <w:pStyle w:val="yTable"/>
            </w:pPr>
            <w:r>
              <w:t>and</w:t>
            </w:r>
          </w:p>
          <w:p>
            <w:pPr>
              <w:pStyle w:val="yTable"/>
              <w:spacing w:before="80"/>
            </w:pPr>
            <w:r>
              <w:t>Bachelor of Chiropractic Science</w:t>
            </w:r>
          </w:p>
        </w:tc>
        <w:tc>
          <w:tcPr>
            <w:tcW w:w="2976" w:type="dxa"/>
            <w:tcBorders>
              <w:bottom w:val="single" w:sz="4" w:space="0" w:color="auto"/>
            </w:tcBorders>
          </w:tcPr>
          <w:p>
            <w:pPr>
              <w:pStyle w:val="yTable"/>
              <w:spacing w:before="80"/>
            </w:pPr>
            <w:r>
              <w:t>Royal Melbourne Institute of Technology — Japan</w:t>
            </w:r>
          </w:p>
        </w:tc>
      </w:tr>
    </w:tbl>
    <w:p>
      <w:pPr>
        <w:pStyle w:val="Footnotesection"/>
        <w:rPr>
          <w:rStyle w:val="CharSectno"/>
        </w:rPr>
      </w:pPr>
      <w:r>
        <w:tab/>
        <w:t>[Regulation 4 amended in Gazette 31 Jul 2007 p. 3792-3; 8 Jan 2008 p. 35.]</w:t>
      </w:r>
    </w:p>
    <w:p>
      <w:pPr>
        <w:pStyle w:val="Heading5"/>
      </w:pPr>
      <w:bookmarkStart w:id="12" w:name="_Toc378076044"/>
      <w:bookmarkStart w:id="13" w:name="_Toc473810612"/>
      <w:r>
        <w:rPr>
          <w:rStyle w:val="CharSectno"/>
        </w:rPr>
        <w:t>5</w:t>
      </w:r>
      <w:r>
        <w:t>.</w:t>
      </w:r>
      <w:r>
        <w:tab/>
        <w:t>Prescribed period for registration and renewal of registration under section 34</w:t>
      </w:r>
      <w:bookmarkEnd w:id="12"/>
      <w:bookmarkEnd w:id="13"/>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14" w:name="_Toc378076045"/>
      <w:bookmarkStart w:id="15" w:name="_Toc473810613"/>
      <w:r>
        <w:rPr>
          <w:rStyle w:val="CharSectno"/>
        </w:rPr>
        <w:t>6</w:t>
      </w:r>
      <w:r>
        <w:t>.</w:t>
      </w:r>
      <w:r>
        <w:tab/>
        <w:t>Day on which fee falls due under section 35(1)</w:t>
      </w:r>
      <w:bookmarkEnd w:id="14"/>
      <w:bookmarkEnd w:id="15"/>
    </w:p>
    <w:p>
      <w:pPr>
        <w:pStyle w:val="Subsection"/>
      </w:pPr>
      <w:r>
        <w:tab/>
      </w:r>
      <w:r>
        <w:tab/>
        <w:t>For the purposes of the Act section 35(1), the day in each year on which the prescribed fee for the renewal of registration falls due is 30 June.</w:t>
      </w:r>
    </w:p>
    <w:p>
      <w:pPr>
        <w:pStyle w:val="Heading5"/>
      </w:pPr>
      <w:bookmarkStart w:id="16" w:name="_Toc378076046"/>
      <w:bookmarkStart w:id="17" w:name="_Toc473810614"/>
      <w:r>
        <w:rPr>
          <w:rStyle w:val="CharSectno"/>
        </w:rPr>
        <w:t>7</w:t>
      </w:r>
      <w:r>
        <w:t>.</w:t>
      </w:r>
      <w:r>
        <w:tab/>
        <w:t>Prescribed information under section 37(g)</w:t>
      </w:r>
      <w:bookmarkEnd w:id="16"/>
      <w:bookmarkEnd w:id="17"/>
    </w:p>
    <w:p>
      <w:pPr>
        <w:pStyle w:val="Subsection"/>
      </w:pPr>
      <w:r>
        <w:tab/>
      </w:r>
      <w:r>
        <w:tab/>
        <w:t xml:space="preserve">For the purposes of the Act section 37(g), the following information is prescribed — </w:t>
      </w:r>
    </w:p>
    <w:p>
      <w:pPr>
        <w:pStyle w:val="Indenta"/>
      </w:pPr>
      <w:r>
        <w:tab/>
        <w:t>(a)</w:t>
      </w:r>
      <w:r>
        <w:tab/>
        <w:t>any offence under the Act for which the chiropractor has been convicted;</w:t>
      </w:r>
    </w:p>
    <w:p>
      <w:pPr>
        <w:pStyle w:val="Indenta"/>
      </w:pPr>
      <w:r>
        <w:tab/>
        <w:t>(b)</w:t>
      </w:r>
      <w:r>
        <w:tab/>
        <w:t>the date on which the chiropractor was first registered as a chiropractor.</w:t>
      </w:r>
    </w:p>
    <w:p>
      <w:pPr>
        <w:pStyle w:val="Heading5"/>
      </w:pPr>
      <w:bookmarkStart w:id="18" w:name="_Toc378076047"/>
      <w:bookmarkStart w:id="19" w:name="_Toc473810615"/>
      <w:r>
        <w:rPr>
          <w:rStyle w:val="CharSectno"/>
        </w:rPr>
        <w:t>8</w:t>
      </w:r>
      <w:r>
        <w:t>.</w:t>
      </w:r>
      <w:r>
        <w:tab/>
        <w:t>Amendment of particulars</w:t>
      </w:r>
      <w:bookmarkEnd w:id="18"/>
      <w:bookmarkEnd w:id="19"/>
    </w:p>
    <w:p>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pPr>
        <w:pStyle w:val="Heading5"/>
      </w:pPr>
      <w:bookmarkStart w:id="20" w:name="_Toc378076048"/>
      <w:bookmarkStart w:id="21" w:name="_Toc473810616"/>
      <w:r>
        <w:rPr>
          <w:rStyle w:val="CharSectno"/>
        </w:rPr>
        <w:t>9</w:t>
      </w:r>
      <w:r>
        <w:t>.</w:t>
      </w:r>
      <w:r>
        <w:tab/>
        <w:t>Change of name</w:t>
      </w:r>
      <w:bookmarkEnd w:id="20"/>
      <w:bookmarkEnd w:id="21"/>
    </w:p>
    <w:p>
      <w:pPr>
        <w:pStyle w:val="Subsection"/>
      </w:pPr>
      <w:r>
        <w:tab/>
        <w:t>(1)</w:t>
      </w:r>
      <w:r>
        <w:tab/>
        <w:t>A chiropractor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22" w:name="_Toc378076049"/>
      <w:bookmarkStart w:id="23" w:name="_Toc473810617"/>
      <w:r>
        <w:rPr>
          <w:rStyle w:val="CharSectno"/>
        </w:rPr>
        <w:t>10</w:t>
      </w:r>
      <w:r>
        <w:t>.</w:t>
      </w:r>
      <w:r>
        <w:tab/>
        <w:t>Complaints to the complaints assessment committee</w:t>
      </w:r>
      <w:bookmarkEnd w:id="22"/>
      <w:bookmarkEnd w:id="23"/>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24" w:name="_Toc378076050"/>
      <w:bookmarkStart w:id="25" w:name="_Toc473810618"/>
      <w:r>
        <w:rPr>
          <w:rStyle w:val="CharSectno"/>
        </w:rPr>
        <w:t>11</w:t>
      </w:r>
      <w:r>
        <w:t>.</w:t>
      </w:r>
      <w:r>
        <w:tab/>
        <w:t>Appointment of a conciliator</w:t>
      </w:r>
      <w:bookmarkEnd w:id="24"/>
      <w:bookmarkEnd w:id="25"/>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26" w:name="_Toc378076051"/>
      <w:bookmarkStart w:id="27" w:name="_Toc473810619"/>
      <w:r>
        <w:rPr>
          <w:rStyle w:val="CharSectno"/>
        </w:rPr>
        <w:t>12</w:t>
      </w:r>
      <w:r>
        <w:t>.</w:t>
      </w:r>
      <w:r>
        <w:tab/>
        <w:t>Advertising</w:t>
      </w:r>
      <w:bookmarkEnd w:id="26"/>
      <w:bookmarkEnd w:id="27"/>
    </w:p>
    <w:p>
      <w:pPr>
        <w:pStyle w:val="Subsection"/>
      </w:pPr>
      <w:r>
        <w:tab/>
      </w:r>
      <w:r>
        <w:tab/>
        <w:t xml:space="preserve">A chiropractor who advertises, or causes to be advertised, any material relating to the chiropractor’s practice of chiropractic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chiropractor’s services,</w:t>
      </w:r>
    </w:p>
    <w:p>
      <w:pPr>
        <w:pStyle w:val="Subsection"/>
      </w:pPr>
      <w:r>
        <w:tab/>
      </w:r>
      <w:r>
        <w:tab/>
        <w:t>commits an offence.</w:t>
      </w:r>
    </w:p>
    <w:p>
      <w:pPr>
        <w:pStyle w:val="Penstart"/>
      </w:pPr>
      <w:r>
        <w:tab/>
        <w:t>Penalty: a fine of $1 000.</w:t>
      </w:r>
    </w:p>
    <w:p>
      <w:pPr>
        <w:pStyle w:val="Heading5"/>
      </w:pPr>
      <w:bookmarkStart w:id="28" w:name="_Toc378076052"/>
      <w:bookmarkStart w:id="29" w:name="_Toc473810620"/>
      <w:r>
        <w:rPr>
          <w:rStyle w:val="CharSectno"/>
        </w:rPr>
        <w:t>13</w:t>
      </w:r>
      <w:r>
        <w:t>.</w:t>
      </w:r>
      <w:r>
        <w:tab/>
        <w:t>Fees</w:t>
      </w:r>
      <w:bookmarkEnd w:id="28"/>
      <w:bookmarkEnd w:id="29"/>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30" w:name="_Toc378076053"/>
      <w:bookmarkStart w:id="31" w:name="_Toc473810621"/>
      <w:r>
        <w:rPr>
          <w:rStyle w:val="CharSectno"/>
        </w:rPr>
        <w:t>14</w:t>
      </w:r>
      <w:r>
        <w:t>.</w:t>
      </w:r>
      <w:r>
        <w:tab/>
        <w:t xml:space="preserve">Fees for registration under </w:t>
      </w:r>
      <w:r>
        <w:rPr>
          <w:i/>
          <w:iCs/>
        </w:rPr>
        <w:t xml:space="preserve">Mutual Recognition (Western Australia) Act 2001 </w:t>
      </w:r>
      <w:r>
        <w:t>or</w:t>
      </w:r>
      <w:r>
        <w:rPr>
          <w:i/>
          <w:iCs/>
        </w:rPr>
        <w:t xml:space="preserve"> Trans</w:t>
      </w:r>
      <w:r>
        <w:rPr>
          <w:i/>
          <w:iCs/>
        </w:rPr>
        <w:noBreakHyphen/>
        <w:t>Tasman Mutual Recognition (Western Australia) Act 2007</w:t>
      </w:r>
      <w:bookmarkEnd w:id="30"/>
      <w:bookmarkEnd w:id="31"/>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pPr>
        <w:pStyle w:val="Subsection"/>
      </w:pPr>
      <w:r>
        <w:tab/>
      </w:r>
      <w:r>
        <w:tab/>
        <w:t>to be registered in this State as a chiropractor.</w:t>
      </w:r>
    </w:p>
    <w:p>
      <w:pPr>
        <w:pStyle w:val="Footnotesection"/>
      </w:pPr>
      <w:r>
        <w:tab/>
        <w:t>[Regulation 14 inserted in Gazette 22 Dec 2009 p. 5257.]</w:t>
      </w:r>
    </w:p>
    <w:p>
      <w:pPr>
        <w:pStyle w:val="Heading5"/>
      </w:pPr>
      <w:bookmarkStart w:id="32" w:name="_Toc378076054"/>
      <w:bookmarkStart w:id="33" w:name="_Toc473810622"/>
      <w:r>
        <w:rPr>
          <w:rStyle w:val="CharSectno"/>
        </w:rPr>
        <w:t>15</w:t>
      </w:r>
      <w:r>
        <w:t>.</w:t>
      </w:r>
      <w:r>
        <w:tab/>
        <w:t>Reduction, waiver or refund of fees</w:t>
      </w:r>
      <w:bookmarkEnd w:id="32"/>
      <w:bookmarkEnd w:id="33"/>
    </w:p>
    <w:p>
      <w:pPr>
        <w:pStyle w:val="Subsection"/>
      </w:pPr>
      <w:r>
        <w:tab/>
      </w:r>
      <w:r>
        <w:tab/>
        <w:t>The Board may authorise the reduction, waiver or refund of any fee provided for in these regulations if the Board considers it appropriate to do so.</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4" w:name="_Toc473810604"/>
      <w:bookmarkStart w:id="35" w:name="_Toc473810623"/>
      <w:bookmarkStart w:id="36" w:name="_Toc378076057"/>
      <w:bookmarkStart w:id="37" w:name="_Toc425844317"/>
      <w:bookmarkStart w:id="38" w:name="_Toc425844367"/>
      <w:bookmarkStart w:id="39" w:name="_Toc473809450"/>
      <w:r>
        <w:rPr>
          <w:rStyle w:val="CharSchNo"/>
        </w:rPr>
        <w:t>Schedule 1</w:t>
      </w:r>
      <w:r>
        <w:rPr>
          <w:rStyle w:val="CharSDivNo"/>
        </w:rPr>
        <w:t> </w:t>
      </w:r>
      <w:r>
        <w:t>—</w:t>
      </w:r>
      <w:r>
        <w:rPr>
          <w:rStyle w:val="CharSDivText"/>
        </w:rPr>
        <w:t> </w:t>
      </w:r>
      <w:r>
        <w:rPr>
          <w:rStyle w:val="CharSchText"/>
        </w:rPr>
        <w:t>Fees</w:t>
      </w:r>
      <w:bookmarkEnd w:id="34"/>
      <w:bookmarkEnd w:id="35"/>
    </w:p>
    <w:p>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trPr>
          <w:cantSplit/>
          <w:tblHeader/>
        </w:trPr>
        <w:tc>
          <w:tcPr>
            <w:tcW w:w="709" w:type="dxa"/>
            <w:tcBorders>
              <w:top w:val="single" w:sz="4" w:space="0" w:color="auto"/>
              <w:bottom w:val="single" w:sz="4" w:space="0" w:color="auto"/>
            </w:tcBorders>
          </w:tcPr>
          <w:p>
            <w:pPr>
              <w:pStyle w:val="yTable"/>
              <w:jc w:val="center"/>
              <w:rPr>
                <w:b/>
              </w:rPr>
            </w:pPr>
          </w:p>
        </w:tc>
        <w:tc>
          <w:tcPr>
            <w:tcW w:w="3260"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709" w:type="dxa"/>
          </w:tcPr>
          <w:p>
            <w:pPr>
              <w:pStyle w:val="yTable"/>
            </w:pPr>
            <w:r>
              <w:t>1.</w:t>
            </w:r>
          </w:p>
        </w:tc>
        <w:tc>
          <w:tcPr>
            <w:tcW w:w="3260"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709" w:type="dxa"/>
          </w:tcPr>
          <w:p>
            <w:pPr>
              <w:pStyle w:val="yTable"/>
            </w:pPr>
            <w:r>
              <w:t>2.</w:t>
            </w:r>
          </w:p>
        </w:tc>
        <w:tc>
          <w:tcPr>
            <w:tcW w:w="3260"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450</w:t>
            </w:r>
          </w:p>
        </w:tc>
      </w:tr>
      <w:tr>
        <w:trPr>
          <w:cantSplit/>
        </w:trPr>
        <w:tc>
          <w:tcPr>
            <w:tcW w:w="709" w:type="dxa"/>
          </w:tcPr>
          <w:p>
            <w:pPr>
              <w:pStyle w:val="yTable"/>
            </w:pPr>
            <w:r>
              <w:t>3.</w:t>
            </w:r>
          </w:p>
        </w:tc>
        <w:tc>
          <w:tcPr>
            <w:tcW w:w="3260"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709" w:type="dxa"/>
          </w:tcPr>
          <w:p>
            <w:pPr>
              <w:pStyle w:val="yTable"/>
            </w:pPr>
            <w:r>
              <w:t>4.</w:t>
            </w:r>
          </w:p>
        </w:tc>
        <w:tc>
          <w:tcPr>
            <w:tcW w:w="3260" w:type="dxa"/>
          </w:tcPr>
          <w:p>
            <w:pPr>
              <w:pStyle w:val="yTable"/>
            </w:pPr>
            <w:r>
              <w:t>Fee payable by a person who applies for registration under the Act section 27 or 30 for the conduct of criminal record screening.</w:t>
            </w:r>
          </w:p>
        </w:tc>
        <w:tc>
          <w:tcPr>
            <w:tcW w:w="1559" w:type="dxa"/>
          </w:tcPr>
          <w:p>
            <w:pPr>
              <w:pStyle w:val="yTable"/>
              <w:jc w:val="center"/>
            </w:pPr>
            <w:r>
              <w:br/>
            </w:r>
            <w:r>
              <w:br/>
            </w:r>
            <w:r>
              <w:br/>
              <w:t>s. 27, 30 and 97(2)(h)</w:t>
            </w:r>
          </w:p>
        </w:tc>
        <w:tc>
          <w:tcPr>
            <w:tcW w:w="1276" w:type="dxa"/>
          </w:tcPr>
          <w:p>
            <w:pPr>
              <w:pStyle w:val="yTable"/>
              <w:jc w:val="center"/>
            </w:pPr>
            <w:r>
              <w:br/>
            </w:r>
            <w:r>
              <w:br/>
            </w:r>
            <w:r>
              <w:br/>
            </w:r>
            <w:r>
              <w:br/>
              <w:t>50</w:t>
            </w:r>
          </w:p>
        </w:tc>
      </w:tr>
      <w:tr>
        <w:trPr>
          <w:cantSplit/>
        </w:trPr>
        <w:tc>
          <w:tcPr>
            <w:tcW w:w="709" w:type="dxa"/>
          </w:tcPr>
          <w:p>
            <w:pPr>
              <w:pStyle w:val="yTable"/>
            </w:pPr>
            <w:r>
              <w:t>5.</w:t>
            </w:r>
          </w:p>
        </w:tc>
        <w:tc>
          <w:tcPr>
            <w:tcW w:w="3260"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450</w:t>
            </w:r>
          </w:p>
        </w:tc>
      </w:tr>
      <w:tr>
        <w:trPr>
          <w:cantSplit/>
        </w:trPr>
        <w:tc>
          <w:tcPr>
            <w:tcW w:w="709" w:type="dxa"/>
          </w:tcPr>
          <w:p>
            <w:pPr>
              <w:pStyle w:val="yTable"/>
            </w:pPr>
            <w:r>
              <w:t>6.</w:t>
            </w:r>
          </w:p>
        </w:tc>
        <w:tc>
          <w:tcPr>
            <w:tcW w:w="3260" w:type="dxa"/>
          </w:tcPr>
          <w:p>
            <w:pPr>
              <w:pStyle w:val="yTable"/>
            </w:pPr>
            <w:r>
              <w:t>Registration fee payable by a person for conditional registration for supervised clinical practice.</w:t>
            </w:r>
          </w:p>
        </w:tc>
        <w:tc>
          <w:tcPr>
            <w:tcW w:w="1559" w:type="dxa"/>
          </w:tcPr>
          <w:p>
            <w:pPr>
              <w:pStyle w:val="yTable"/>
              <w:jc w:val="center"/>
            </w:pPr>
            <w:r>
              <w:br/>
            </w:r>
            <w:r>
              <w:br/>
            </w:r>
            <w:r>
              <w:br/>
              <w:t>s. 29(1)(b)</w:t>
            </w:r>
          </w:p>
        </w:tc>
        <w:tc>
          <w:tcPr>
            <w:tcW w:w="1276" w:type="dxa"/>
          </w:tcPr>
          <w:p>
            <w:pPr>
              <w:pStyle w:val="yTable"/>
              <w:jc w:val="center"/>
            </w:pPr>
            <w:r>
              <w:br/>
            </w:r>
            <w:r>
              <w:br/>
            </w:r>
            <w:r>
              <w:br/>
              <w:t>450</w:t>
            </w:r>
          </w:p>
        </w:tc>
      </w:tr>
      <w:tr>
        <w:trPr>
          <w:cantSplit/>
        </w:trPr>
        <w:tc>
          <w:tcPr>
            <w:tcW w:w="709" w:type="dxa"/>
          </w:tcPr>
          <w:p>
            <w:pPr>
              <w:pStyle w:val="yTable"/>
            </w:pPr>
            <w:r>
              <w:t>7.</w:t>
            </w:r>
          </w:p>
        </w:tc>
        <w:tc>
          <w:tcPr>
            <w:tcW w:w="3260" w:type="dxa"/>
          </w:tcPr>
          <w:p>
            <w:pPr>
              <w:pStyle w:val="yTable"/>
            </w:pPr>
            <w:r>
              <w:t>Registration fee payable by a person for conditional registration.</w:t>
            </w:r>
          </w:p>
        </w:tc>
        <w:tc>
          <w:tcPr>
            <w:tcW w:w="1559" w:type="dxa"/>
          </w:tcPr>
          <w:p>
            <w:pPr>
              <w:pStyle w:val="yTable"/>
              <w:jc w:val="center"/>
            </w:pPr>
            <w:r>
              <w:br/>
            </w:r>
            <w:r>
              <w:br/>
              <w:t>s. 30(1)(c)</w:t>
            </w:r>
          </w:p>
        </w:tc>
        <w:tc>
          <w:tcPr>
            <w:tcW w:w="1276" w:type="dxa"/>
          </w:tcPr>
          <w:p>
            <w:pPr>
              <w:pStyle w:val="yTable"/>
              <w:jc w:val="center"/>
            </w:pPr>
            <w:r>
              <w:br/>
            </w:r>
            <w:r>
              <w:br/>
              <w:t>450</w:t>
            </w:r>
          </w:p>
        </w:tc>
      </w:tr>
      <w:tr>
        <w:trPr>
          <w:cantSplit/>
        </w:trPr>
        <w:tc>
          <w:tcPr>
            <w:tcW w:w="709" w:type="dxa"/>
          </w:tcPr>
          <w:p>
            <w:pPr>
              <w:pStyle w:val="yTable"/>
            </w:pPr>
            <w:r>
              <w:t>8.</w:t>
            </w:r>
          </w:p>
        </w:tc>
        <w:tc>
          <w:tcPr>
            <w:tcW w:w="3260"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150</w:t>
            </w:r>
          </w:p>
        </w:tc>
      </w:tr>
      <w:tr>
        <w:trPr>
          <w:cantSplit/>
        </w:trPr>
        <w:tc>
          <w:tcPr>
            <w:tcW w:w="709" w:type="dxa"/>
          </w:tcPr>
          <w:p>
            <w:pPr>
              <w:pStyle w:val="yTable"/>
            </w:pPr>
            <w:r>
              <w:t>9.</w:t>
            </w:r>
          </w:p>
        </w:tc>
        <w:tc>
          <w:tcPr>
            <w:tcW w:w="3260" w:type="dxa"/>
          </w:tcPr>
          <w:p>
            <w:pPr>
              <w:pStyle w:val="yTable"/>
            </w:pPr>
            <w:r>
              <w:t>Fee payable by a chiropractor for renewal of registration of the chiropractor.</w:t>
            </w:r>
          </w:p>
        </w:tc>
        <w:tc>
          <w:tcPr>
            <w:tcW w:w="1559" w:type="dxa"/>
          </w:tcPr>
          <w:p>
            <w:pPr>
              <w:pStyle w:val="yTable"/>
              <w:jc w:val="center"/>
            </w:pPr>
            <w:r>
              <w:br/>
            </w:r>
            <w:r>
              <w:br/>
              <w:t>s. 35(1)</w:t>
            </w:r>
          </w:p>
        </w:tc>
        <w:tc>
          <w:tcPr>
            <w:tcW w:w="1276" w:type="dxa"/>
          </w:tcPr>
          <w:p>
            <w:pPr>
              <w:pStyle w:val="yTable"/>
              <w:jc w:val="center"/>
            </w:pPr>
            <w:r>
              <w:br/>
            </w:r>
            <w:r>
              <w:br/>
              <w:t>450</w:t>
            </w:r>
          </w:p>
        </w:tc>
      </w:tr>
      <w:tr>
        <w:trPr>
          <w:cantSplit/>
        </w:trPr>
        <w:tc>
          <w:tcPr>
            <w:tcW w:w="709" w:type="dxa"/>
          </w:tcPr>
          <w:p>
            <w:pPr>
              <w:pStyle w:val="yTable"/>
            </w:pPr>
            <w:r>
              <w:t>10.</w:t>
            </w:r>
          </w:p>
        </w:tc>
        <w:tc>
          <w:tcPr>
            <w:tcW w:w="3260"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75</w:t>
            </w:r>
          </w:p>
        </w:tc>
      </w:tr>
      <w:tr>
        <w:trPr>
          <w:cantSplit/>
        </w:trPr>
        <w:tc>
          <w:tcPr>
            <w:tcW w:w="709" w:type="dxa"/>
          </w:tcPr>
          <w:p>
            <w:pPr>
              <w:pStyle w:val="yTable"/>
            </w:pPr>
            <w:r>
              <w:t>11.</w:t>
            </w:r>
          </w:p>
        </w:tc>
        <w:tc>
          <w:tcPr>
            <w:tcW w:w="3260"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r>
        <w:trPr>
          <w:cantSplit/>
        </w:trPr>
        <w:tc>
          <w:tcPr>
            <w:tcW w:w="709" w:type="dxa"/>
            <w:tcBorders>
              <w:bottom w:val="single" w:sz="4" w:space="0" w:color="auto"/>
            </w:tcBorders>
          </w:tcPr>
          <w:p>
            <w:pPr>
              <w:pStyle w:val="yTable"/>
            </w:pPr>
            <w:r>
              <w:t>12.</w:t>
            </w:r>
          </w:p>
        </w:tc>
        <w:tc>
          <w:tcPr>
            <w:tcW w:w="3260"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40" w:name="_Toc473810605"/>
      <w:bookmarkStart w:id="41" w:name="_Toc473810624"/>
      <w:r>
        <w:rPr>
          <w:rStyle w:val="CharSchNo"/>
        </w:rPr>
        <w:t>Schedule 2</w:t>
      </w:r>
      <w:r>
        <w:t> —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40"/>
      <w:bookmarkEnd w:id="41"/>
    </w:p>
    <w:p>
      <w:pPr>
        <w:pStyle w:val="yShoulderClause"/>
      </w:pPr>
      <w:r>
        <w:t>[r. 14]</w:t>
      </w:r>
    </w:p>
    <w:p>
      <w:pPr>
        <w:pStyle w:val="yFootnoteheading"/>
        <w:spacing w:after="120"/>
      </w:pPr>
      <w:r>
        <w:tab/>
        <w:t>[Heading inserted in Gazette 22 Dec 2009 p. 5257.]</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p>
          <w:p>
            <w:pPr>
              <w:pStyle w:val="yTableNAm"/>
              <w:jc w:val="center"/>
              <w:rPr>
                <w:b/>
                <w:bCs/>
              </w:rPr>
            </w:pPr>
            <w:r>
              <w:rPr>
                <w:b/>
                <w:bCs/>
              </w:rPr>
              <w:t>$</w:t>
            </w:r>
          </w:p>
        </w:tc>
      </w:tr>
      <w:t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150</w:t>
            </w:r>
          </w:p>
        </w:tc>
      </w:tr>
      <w:t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225</w:t>
            </w:r>
          </w:p>
        </w:tc>
      </w:tr>
      <w:t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450</w:t>
            </w:r>
          </w:p>
        </w:tc>
      </w:tr>
    </w:tbl>
    <w:p>
      <w:pPr>
        <w:pStyle w:val="yFootnotesection"/>
      </w:pPr>
      <w:r>
        <w:tab/>
        <w:t>[Schedule 2 inserted in Gazette 22 Dec 2009 p. 5257</w:t>
      </w:r>
      <w:r>
        <w:noBreakHyphen/>
        <w:t>8.]</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43" w:name="_Toc473810606"/>
      <w:bookmarkStart w:id="44" w:name="_Toc473810625"/>
      <w:r>
        <w:t>Notes</w:t>
      </w:r>
      <w:bookmarkEnd w:id="36"/>
      <w:bookmarkEnd w:id="37"/>
      <w:bookmarkEnd w:id="38"/>
      <w:bookmarkEnd w:id="39"/>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w:t>
      </w:r>
    </w:p>
    <w:p>
      <w:pPr>
        <w:pStyle w:val="nHeading3"/>
      </w:pPr>
      <w:bookmarkStart w:id="45" w:name="_Toc378076058"/>
      <w:bookmarkStart w:id="46" w:name="_Toc473810626"/>
      <w:r>
        <w:t>Compilation table</w:t>
      </w:r>
      <w:bookmarkEnd w:id="45"/>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4"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noProof/>
                <w:snapToGrid w:val="0"/>
              </w:rPr>
              <w:t>Chiropractors Regulations 2007</w:t>
            </w:r>
          </w:p>
        </w:tc>
        <w:tc>
          <w:tcPr>
            <w:tcW w:w="1276" w:type="dxa"/>
            <w:tcBorders>
              <w:top w:val="single" w:sz="4" w:space="0" w:color="auto"/>
              <w:bottom w:val="nil"/>
            </w:tcBorders>
          </w:tcPr>
          <w:p>
            <w:pPr>
              <w:pStyle w:val="nTable"/>
              <w:spacing w:after="40"/>
            </w:pPr>
            <w:r>
              <w:t>15 May 2007 p. 2111</w:t>
            </w:r>
            <w:r>
              <w:noBreakHyphen/>
              <w:t>22</w:t>
            </w:r>
          </w:p>
        </w:tc>
        <w:tc>
          <w:tcPr>
            <w:tcW w:w="2694" w:type="dxa"/>
            <w:tcBorders>
              <w:top w:val="single" w:sz="4" w:space="0" w:color="auto"/>
              <w:bottom w:val="nil"/>
            </w:tcBorders>
          </w:tcPr>
          <w:p>
            <w:pPr>
              <w:pStyle w:val="nTable"/>
              <w:spacing w:after="40"/>
            </w:pPr>
            <w:r>
              <w:t>r. 1 and 2: 15 May 2007</w:t>
            </w:r>
            <w:r>
              <w:br/>
              <w:t xml:space="preserve">Regulations other than r. 1 and 2: 1 Aug 2007 (see r. 2 and </w:t>
            </w:r>
            <w:r>
              <w:rPr>
                <w:i/>
                <w:iCs/>
              </w:rPr>
              <w:t>Gazette</w:t>
            </w:r>
            <w:r>
              <w:t xml:space="preserve"> 31 Jul 2007 p. 3789)</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2007</w:t>
            </w:r>
          </w:p>
        </w:tc>
        <w:tc>
          <w:tcPr>
            <w:tcW w:w="1276" w:type="dxa"/>
            <w:tcBorders>
              <w:top w:val="nil"/>
              <w:bottom w:val="nil"/>
            </w:tcBorders>
          </w:tcPr>
          <w:p>
            <w:pPr>
              <w:pStyle w:val="nTable"/>
              <w:spacing w:after="40"/>
            </w:pPr>
            <w:r>
              <w:t>31 Jul 2007 p. 3792-3</w:t>
            </w:r>
          </w:p>
        </w:tc>
        <w:tc>
          <w:tcPr>
            <w:tcW w:w="2694" w:type="dxa"/>
            <w:tcBorders>
              <w:top w:val="nil"/>
              <w:bottom w:val="nil"/>
            </w:tcBorders>
          </w:tcPr>
          <w:p>
            <w:pPr>
              <w:pStyle w:val="nTable"/>
              <w:spacing w:after="40"/>
            </w:pPr>
            <w:r>
              <w:t>r. 1 and 2: 31 Jul 2007 (see r. 2(a))</w:t>
            </w:r>
            <w:r>
              <w:br/>
              <w:t>Regulations other than r. 1 and 2: 1 Aug 2007 (see r. 2(b))</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(No. 2) 2007</w:t>
            </w:r>
          </w:p>
        </w:tc>
        <w:tc>
          <w:tcPr>
            <w:tcW w:w="1276" w:type="dxa"/>
            <w:tcBorders>
              <w:top w:val="nil"/>
              <w:bottom w:val="nil"/>
            </w:tcBorders>
          </w:tcPr>
          <w:p>
            <w:pPr>
              <w:pStyle w:val="nTable"/>
              <w:spacing w:after="40"/>
            </w:pPr>
            <w:r>
              <w:t>8 Jan 2008</w:t>
            </w:r>
          </w:p>
        </w:tc>
        <w:tc>
          <w:tcPr>
            <w:tcW w:w="2694" w:type="dxa"/>
            <w:tcBorders>
              <w:top w:val="nil"/>
              <w:bottom w:val="nil"/>
            </w:tcBorders>
          </w:tcPr>
          <w:p>
            <w:pPr>
              <w:pStyle w:val="nTable"/>
              <w:spacing w:after="40"/>
            </w:pPr>
            <w:r>
              <w:rPr>
                <w:snapToGrid w:val="0"/>
              </w:rPr>
              <w:t>r. 1 and 2: 8 Jan 2008 (see r. 2(a));</w:t>
            </w:r>
            <w:r>
              <w:rPr>
                <w:snapToGrid w:val="0"/>
              </w:rPr>
              <w:br/>
              <w:t>Regulations other than r. 1 and 2: 9 Jan 2008 (see r. 2(b))</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2009</w:t>
            </w:r>
          </w:p>
        </w:tc>
        <w:tc>
          <w:tcPr>
            <w:tcW w:w="1276" w:type="dxa"/>
            <w:tcBorders>
              <w:top w:val="nil"/>
              <w:bottom w:val="nil"/>
            </w:tcBorders>
          </w:tcPr>
          <w:p>
            <w:pPr>
              <w:pStyle w:val="nTable"/>
              <w:spacing w:after="40"/>
            </w:pPr>
            <w:r>
              <w:t>22 Dec 2009 p. 5256</w:t>
            </w:r>
            <w:r>
              <w:noBreakHyphen/>
              <w:t>8</w:t>
            </w:r>
          </w:p>
        </w:tc>
        <w:tc>
          <w:tcPr>
            <w:tcW w:w="2694" w:type="dxa"/>
            <w:tcBorders>
              <w:top w:val="nil"/>
              <w:bottom w:val="nil"/>
            </w:tcBorders>
          </w:tcPr>
          <w:p>
            <w:pPr>
              <w:pStyle w:val="nTable"/>
              <w:spacing w:after="40"/>
              <w:rPr>
                <w:snapToGrid w:val="0"/>
              </w:rPr>
            </w:pPr>
            <w:r>
              <w:rPr>
                <w:snapToGrid w:val="0"/>
                <w:spacing w:val="-2"/>
              </w:rPr>
              <w:t>r. 1 and 2: 22 Dec 2009 (see r. 2(a));</w:t>
            </w:r>
            <w:r>
              <w:rPr>
                <w:snapToGrid w:val="0"/>
                <w:spacing w:val="-2"/>
              </w:rPr>
              <w:br/>
              <w:t xml:space="preserve">Regulations other than r. 1 and 2: </w:t>
            </w:r>
            <w:r>
              <w:rPr>
                <w:snapToGrid w:val="0"/>
              </w:rPr>
              <w:t xml:space="preserve">23 Dec </w:t>
            </w:r>
            <w:r>
              <w:rPr>
                <w:snapToGrid w:val="0"/>
                <w:spacing w:val="-2"/>
              </w:rPr>
              <w:t>2009 (see r. 2(b))</w:t>
            </w:r>
          </w:p>
        </w:tc>
      </w:tr>
      <w:tr>
        <w:tblPrEx>
          <w:tblBorders>
            <w:bottom w:val="single" w:sz="8" w:space="0" w:color="auto"/>
          </w:tblBorders>
          <w:tblCellMar>
            <w:left w:w="57" w:type="dxa"/>
            <w:right w:w="57" w:type="dxa"/>
          </w:tblCellMar>
        </w:tblPrEx>
        <w:trPr>
          <w:cantSplit/>
        </w:trPr>
        <w:tc>
          <w:tcPr>
            <w:tcW w:w="7088" w:type="dxa"/>
            <w:gridSpan w:val="3"/>
            <w:tcBorders>
              <w:top w:val="nil"/>
              <w:bottom w:val="single" w:sz="4" w:space="0" w:color="auto"/>
            </w:tcBorders>
          </w:tcPr>
          <w:p>
            <w:pPr>
              <w:pStyle w:val="nTable"/>
              <w:spacing w:after="40"/>
              <w:rPr>
                <w:b/>
                <w:bCs/>
                <w:snapToGrid w:val="0"/>
                <w:color w:val="FF0000"/>
              </w:rPr>
            </w:pPr>
            <w:r>
              <w:rPr>
                <w:b/>
                <w:bCs/>
                <w:snapToGrid w:val="0"/>
                <w:color w:val="FF0000"/>
              </w:rPr>
              <w:t xml:space="preserve">These regulations were repealed by the </w:t>
            </w:r>
            <w:r>
              <w:rPr>
                <w:b/>
                <w:bCs/>
                <w:i/>
                <w:iCs/>
                <w:snapToGrid w:val="0"/>
                <w:color w:val="FF0000"/>
              </w:rPr>
              <w:t>Health Practitioner Regulation National Law (WA) Act 2010</w:t>
            </w:r>
            <w:r>
              <w:rPr>
                <w:b/>
                <w:bCs/>
                <w:snapToGrid w:val="0"/>
                <w:color w:val="FF0000"/>
              </w:rPr>
              <w:t xml:space="preserve"> s. 15(2)(a) (No. 35 of 2010) as at 18 Oct 2010 (see s. 2(b) and </w:t>
            </w:r>
            <w:r>
              <w:rPr>
                <w:b/>
                <w:bCs/>
                <w:i/>
                <w:iCs/>
                <w:snapToGrid w:val="0"/>
                <w:color w:val="FF0000"/>
              </w:rPr>
              <w:t>Gazette</w:t>
            </w:r>
            <w:r>
              <w:rPr>
                <w:b/>
                <w:bCs/>
                <w:snapToGrid w:val="0"/>
                <w:color w:val="FF0000"/>
              </w:rPr>
              <w:t xml:space="preserve"> 1 Oct 2010 p. 5075-6)</w:t>
            </w:r>
          </w:p>
        </w:tc>
      </w:tr>
    </w:tbl>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Chiropractors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Chiropractors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Chiropractors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Chiropractors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Chiropractors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Chiropractors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C030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38B6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026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C45B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2E1D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7C09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2E61C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9B648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EEA6A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74820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7CAE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3310"/>
    <w:docVar w:name="WAFER_20140121133236" w:val="RemoveTocBookmarks,RemoveUnusedBookmarks,RemoveLanguageTags,UsedStyles,ResetPageSize,UpdateArrangement"/>
    <w:docVar w:name="WAFER_20140121133236_GUID" w:val="6a32e218-7614-4ecc-86b9-fbe1bd061744"/>
    <w:docVar w:name="WAFER_20140121135126" w:val="RemoveTocBookmarks,RunningHeaders"/>
    <w:docVar w:name="WAFER_20140121135126_GUID" w:val="bfa7833f-9fe1-4b83-bb55-53e7b3528fc2"/>
    <w:docVar w:name="WAFER_20150728105518" w:val="ResetPageSize,UpdateArrangement,UpdateNTable"/>
    <w:docVar w:name="WAFER_20150728105518_GUID" w:val="61d48a8c-99cf-4cb9-8364-6e8c6e18be46"/>
    <w:docVar w:name="WAFER_20151117093310" w:val="UpdateStyles,UsedStyles"/>
    <w:docVar w:name="WAFER_20151117093310_GUID" w:val="43393447-0816-420a-81c2-94f73afcb1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1910</Words>
  <Characters>9765</Characters>
  <Application>Microsoft Office Word</Application>
  <DocSecurity>0</DocSecurity>
  <Lines>488</Lines>
  <Paragraphs>248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Manager/>
  <Company/>
  <LinksUpToDate>false</LinksUpToDate>
  <CharactersWithSpaces>11427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2007 - 00-g0-07</dc:title>
  <dc:subject/>
  <dc:creator/>
  <cp:keywords/>
  <dc:description/>
  <cp:lastModifiedBy>svcMRProcess</cp:lastModifiedBy>
  <cp:revision>4</cp:revision>
  <cp:lastPrinted>2007-03-20T23:49:00Z</cp:lastPrinted>
  <dcterms:created xsi:type="dcterms:W3CDTF">2017-02-02T06:56:00Z</dcterms:created>
  <dcterms:modified xsi:type="dcterms:W3CDTF">2017-02-02T06:56:00Z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38974</vt:i4>
  </property>
  <property fmtid="{D5CDD505-2E9C-101B-9397-08002B2CF9AE}" pid="6" name="AsAtDate">
    <vt:lpwstr>18 Oct 2010</vt:lpwstr>
  </property>
  <property fmtid="{D5CDD505-2E9C-101B-9397-08002B2CF9AE}" pid="7" name="Suffix">
    <vt:lpwstr>00-g0-07</vt:lpwstr>
  </property>
  <property fmtid="{D5CDD505-2E9C-101B-9397-08002B2CF9AE}" pid="8" name="Status">
    <vt:lpwstr>NIF</vt:lpwstr>
  </property>
</Properties>
</file>