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Podiatrists Act 2005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Podiatrists Regulations 2006</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Health Practitioner Regulation National Law (WA) Act 2010</w:t>
      </w:r>
      <w:r>
        <w:rPr>
          <w:color w:val="000000"/>
          <w:sz w:val="22"/>
          <w:szCs w:val="22"/>
        </w:rPr>
        <w:t xml:space="preserve"> s. 15(2)(m)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Podiatrists Regulations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_Toc426976573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_Toc426976574 \h </w:instrText>
      </w:r>
      <w:r>
        <w:fldChar w:fldCharType="separate"/>
      </w:r>
      <w:r>
        <w:t>1</w:t>
      </w:r>
      <w:r>
        <w:fldChar w:fldCharType="end"/>
      </w:r>
    </w:p>
    <w:p>
      <w:pPr>
        <w:pStyle w:val="TOC8"/>
        <w:rPr>
          <w:rFonts w:asciiTheme="minorHAnsi" w:eastAsiaTheme="minorEastAsia" w:hAnsiTheme="minorHAnsi" w:cstheme="minorBidi"/>
          <w:szCs w:val="22"/>
        </w:rPr>
      </w:pPr>
      <w:r>
        <w:t>3.</w:t>
      </w:r>
      <w:r>
        <w:tab/>
        <w:t>Criminal record screening</w:t>
      </w:r>
      <w:r>
        <w:tab/>
      </w:r>
      <w:r>
        <w:fldChar w:fldCharType="begin"/>
      </w:r>
      <w:r>
        <w:instrText xml:space="preserve"> PAGEREF _Toc426976575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qualifications under section 27(2)(f) for registration</w:t>
      </w:r>
      <w:r>
        <w:tab/>
      </w:r>
      <w:r>
        <w:fldChar w:fldCharType="begin"/>
      </w:r>
      <w:r>
        <w:instrText xml:space="preserve"> PAGEREF _Toc426976576 \h </w:instrText>
      </w:r>
      <w:r>
        <w:fldChar w:fldCharType="separate"/>
      </w:r>
      <w:r>
        <w:t>1</w:t>
      </w:r>
      <w:r>
        <w:fldChar w:fldCharType="end"/>
      </w:r>
    </w:p>
    <w:p>
      <w:pPr>
        <w:pStyle w:val="TOC8"/>
        <w:rPr>
          <w:rFonts w:asciiTheme="minorHAnsi" w:eastAsiaTheme="minorEastAsia" w:hAnsiTheme="minorHAnsi" w:cstheme="minorBidi"/>
          <w:szCs w:val="22"/>
        </w:rPr>
      </w:pPr>
      <w:r>
        <w:t>5.</w:t>
      </w:r>
      <w:r>
        <w:tab/>
        <w:t>Examinations</w:t>
      </w:r>
      <w:r>
        <w:tab/>
      </w:r>
      <w:r>
        <w:fldChar w:fldCharType="begin"/>
      </w:r>
      <w:r>
        <w:instrText xml:space="preserve"> PAGEREF _Toc426976577 \h </w:instrText>
      </w:r>
      <w:r>
        <w:fldChar w:fldCharType="separate"/>
      </w:r>
      <w:r>
        <w:t>2</w:t>
      </w:r>
      <w:r>
        <w:fldChar w:fldCharType="end"/>
      </w:r>
    </w:p>
    <w:p>
      <w:pPr>
        <w:pStyle w:val="TOC8"/>
        <w:rPr>
          <w:rFonts w:asciiTheme="minorHAnsi" w:eastAsiaTheme="minorEastAsia" w:hAnsiTheme="minorHAnsi" w:cstheme="minorBidi"/>
          <w:szCs w:val="22"/>
        </w:rPr>
      </w:pPr>
      <w:r>
        <w:t>6.</w:t>
      </w:r>
      <w:r>
        <w:tab/>
        <w:t>Specialties prescribed</w:t>
      </w:r>
      <w:r>
        <w:tab/>
      </w:r>
      <w:r>
        <w:fldChar w:fldCharType="begin"/>
      </w:r>
      <w:r>
        <w:instrText xml:space="preserve"> PAGEREF _Toc426976578 \h </w:instrText>
      </w:r>
      <w:r>
        <w:fldChar w:fldCharType="separate"/>
      </w:r>
      <w:r>
        <w:t>2</w:t>
      </w:r>
      <w:r>
        <w:fldChar w:fldCharType="end"/>
      </w:r>
    </w:p>
    <w:p>
      <w:pPr>
        <w:pStyle w:val="TOC8"/>
        <w:rPr>
          <w:rFonts w:asciiTheme="minorHAnsi" w:eastAsiaTheme="minorEastAsia" w:hAnsiTheme="minorHAnsi" w:cstheme="minorBidi"/>
          <w:szCs w:val="22"/>
        </w:rPr>
      </w:pPr>
      <w:r>
        <w:t>7.</w:t>
      </w:r>
      <w:r>
        <w:tab/>
        <w:t>Qualifications for specialty</w:t>
      </w:r>
      <w:r>
        <w:tab/>
      </w:r>
      <w:r>
        <w:fldChar w:fldCharType="begin"/>
      </w:r>
      <w:r>
        <w:instrText xml:space="preserve"> PAGEREF _Toc426976579 \h </w:instrText>
      </w:r>
      <w:r>
        <w:fldChar w:fldCharType="separate"/>
      </w:r>
      <w:r>
        <w:t>2</w:t>
      </w:r>
      <w:r>
        <w:fldChar w:fldCharType="end"/>
      </w:r>
    </w:p>
    <w:p>
      <w:pPr>
        <w:pStyle w:val="TOC8"/>
        <w:rPr>
          <w:rFonts w:asciiTheme="minorHAnsi" w:eastAsiaTheme="minorEastAsia" w:hAnsiTheme="minorHAnsi" w:cstheme="minorBidi"/>
          <w:szCs w:val="22"/>
        </w:rPr>
      </w:pPr>
      <w:r>
        <w:t>8.</w:t>
      </w:r>
      <w:r>
        <w:tab/>
        <w:t>Titles under which a specialty may be practised</w:t>
      </w:r>
      <w:r>
        <w:tab/>
      </w:r>
      <w:r>
        <w:fldChar w:fldCharType="begin"/>
      </w:r>
      <w:r>
        <w:instrText xml:space="preserve"> PAGEREF _Toc426976580 \h </w:instrText>
      </w:r>
      <w:r>
        <w:fldChar w:fldCharType="separate"/>
      </w:r>
      <w:r>
        <w:t>3</w:t>
      </w:r>
      <w:r>
        <w:fldChar w:fldCharType="end"/>
      </w:r>
    </w:p>
    <w:p>
      <w:pPr>
        <w:pStyle w:val="TOC8"/>
        <w:rPr>
          <w:rFonts w:asciiTheme="minorHAnsi" w:eastAsiaTheme="minorEastAsia" w:hAnsiTheme="minorHAnsi" w:cstheme="minorBidi"/>
          <w:szCs w:val="22"/>
        </w:rPr>
      </w:pPr>
      <w:r>
        <w:t>9.</w:t>
      </w:r>
      <w:r>
        <w:tab/>
        <w:t>Prescribed period for registration and renewal of registration under section 34</w:t>
      </w:r>
      <w:r>
        <w:tab/>
      </w:r>
      <w:r>
        <w:fldChar w:fldCharType="begin"/>
      </w:r>
      <w:r>
        <w:instrText xml:space="preserve"> PAGEREF _Toc426976581 \h </w:instrText>
      </w:r>
      <w:r>
        <w:fldChar w:fldCharType="separate"/>
      </w:r>
      <w:r>
        <w:t>4</w:t>
      </w:r>
      <w:r>
        <w:fldChar w:fldCharType="end"/>
      </w:r>
    </w:p>
    <w:p>
      <w:pPr>
        <w:pStyle w:val="TOC8"/>
        <w:rPr>
          <w:rFonts w:asciiTheme="minorHAnsi" w:eastAsiaTheme="minorEastAsia" w:hAnsiTheme="minorHAnsi" w:cstheme="minorBidi"/>
          <w:szCs w:val="22"/>
        </w:rPr>
      </w:pPr>
      <w:r>
        <w:t>10.</w:t>
      </w:r>
      <w:r>
        <w:tab/>
        <w:t>Day on which fee falls due under section 35(1)</w:t>
      </w:r>
      <w:r>
        <w:tab/>
      </w:r>
      <w:r>
        <w:fldChar w:fldCharType="begin"/>
      </w:r>
      <w:r>
        <w:instrText xml:space="preserve"> PAGEREF _Toc426976582 \h </w:instrText>
      </w:r>
      <w:r>
        <w:fldChar w:fldCharType="separate"/>
      </w:r>
      <w:r>
        <w:t>4</w:t>
      </w:r>
      <w:r>
        <w:fldChar w:fldCharType="end"/>
      </w:r>
    </w:p>
    <w:p>
      <w:pPr>
        <w:pStyle w:val="TOC8"/>
        <w:rPr>
          <w:rFonts w:asciiTheme="minorHAnsi" w:eastAsiaTheme="minorEastAsia" w:hAnsiTheme="minorHAnsi" w:cstheme="minorBidi"/>
          <w:szCs w:val="22"/>
        </w:rPr>
      </w:pPr>
      <w:r>
        <w:t>11.</w:t>
      </w:r>
      <w:r>
        <w:tab/>
        <w:t>Prescribed information under section 37(g)</w:t>
      </w:r>
      <w:r>
        <w:tab/>
      </w:r>
      <w:r>
        <w:fldChar w:fldCharType="begin"/>
      </w:r>
      <w:r>
        <w:instrText xml:space="preserve"> PAGEREF _Toc426976583 \h </w:instrText>
      </w:r>
      <w:r>
        <w:fldChar w:fldCharType="separate"/>
      </w:r>
      <w:r>
        <w:t>4</w:t>
      </w:r>
      <w:r>
        <w:fldChar w:fldCharType="end"/>
      </w:r>
    </w:p>
    <w:p>
      <w:pPr>
        <w:pStyle w:val="TOC8"/>
        <w:rPr>
          <w:rFonts w:asciiTheme="minorHAnsi" w:eastAsiaTheme="minorEastAsia" w:hAnsiTheme="minorHAnsi" w:cstheme="minorBidi"/>
          <w:szCs w:val="22"/>
        </w:rPr>
      </w:pPr>
      <w:r>
        <w:t>12.</w:t>
      </w:r>
      <w:r>
        <w:tab/>
        <w:t>Amendment of particulars</w:t>
      </w:r>
      <w:r>
        <w:tab/>
      </w:r>
      <w:r>
        <w:fldChar w:fldCharType="begin"/>
      </w:r>
      <w:r>
        <w:instrText xml:space="preserve"> PAGEREF _Toc426976584 \h </w:instrText>
      </w:r>
      <w:r>
        <w:fldChar w:fldCharType="separate"/>
      </w:r>
      <w:r>
        <w:t>4</w:t>
      </w:r>
      <w:r>
        <w:fldChar w:fldCharType="end"/>
      </w:r>
    </w:p>
    <w:p>
      <w:pPr>
        <w:pStyle w:val="TOC8"/>
        <w:rPr>
          <w:rFonts w:asciiTheme="minorHAnsi" w:eastAsiaTheme="minorEastAsia" w:hAnsiTheme="minorHAnsi" w:cstheme="minorBidi"/>
          <w:szCs w:val="22"/>
        </w:rPr>
      </w:pPr>
      <w:r>
        <w:t>13.</w:t>
      </w:r>
      <w:r>
        <w:tab/>
        <w:t>Change of name</w:t>
      </w:r>
      <w:r>
        <w:tab/>
      </w:r>
      <w:r>
        <w:fldChar w:fldCharType="begin"/>
      </w:r>
      <w:r>
        <w:instrText xml:space="preserve"> PAGEREF _Toc426976585 \h </w:instrText>
      </w:r>
      <w:r>
        <w:fldChar w:fldCharType="separate"/>
      </w:r>
      <w:r>
        <w:t>4</w:t>
      </w:r>
      <w:r>
        <w:fldChar w:fldCharType="end"/>
      </w:r>
    </w:p>
    <w:p>
      <w:pPr>
        <w:pStyle w:val="TOC8"/>
        <w:rPr>
          <w:rFonts w:asciiTheme="minorHAnsi" w:eastAsiaTheme="minorEastAsia" w:hAnsiTheme="minorHAnsi" w:cstheme="minorBidi"/>
          <w:szCs w:val="22"/>
        </w:rPr>
      </w:pPr>
      <w:r>
        <w:t>14.</w:t>
      </w:r>
      <w:r>
        <w:tab/>
        <w:t>Complaints to the complaints assessment committee</w:t>
      </w:r>
      <w:r>
        <w:tab/>
      </w:r>
      <w:r>
        <w:fldChar w:fldCharType="begin"/>
      </w:r>
      <w:r>
        <w:instrText xml:space="preserve"> PAGEREF _Toc426976586 \h </w:instrText>
      </w:r>
      <w:r>
        <w:fldChar w:fldCharType="separate"/>
      </w:r>
      <w:r>
        <w:t>5</w:t>
      </w:r>
      <w:r>
        <w:fldChar w:fldCharType="end"/>
      </w:r>
    </w:p>
    <w:p>
      <w:pPr>
        <w:pStyle w:val="TOC8"/>
        <w:rPr>
          <w:rFonts w:asciiTheme="minorHAnsi" w:eastAsiaTheme="minorEastAsia" w:hAnsiTheme="minorHAnsi" w:cstheme="minorBidi"/>
          <w:szCs w:val="22"/>
        </w:rPr>
      </w:pPr>
      <w:r>
        <w:t>15.</w:t>
      </w:r>
      <w:r>
        <w:tab/>
        <w:t>Appointment of a conciliator</w:t>
      </w:r>
      <w:r>
        <w:tab/>
      </w:r>
      <w:r>
        <w:fldChar w:fldCharType="begin"/>
      </w:r>
      <w:r>
        <w:instrText xml:space="preserve"> PAGEREF _Toc426976587 \h </w:instrText>
      </w:r>
      <w:r>
        <w:fldChar w:fldCharType="separate"/>
      </w:r>
      <w:r>
        <w:t>5</w:t>
      </w:r>
      <w:r>
        <w:fldChar w:fldCharType="end"/>
      </w:r>
    </w:p>
    <w:p>
      <w:pPr>
        <w:pStyle w:val="TOC8"/>
        <w:rPr>
          <w:rFonts w:asciiTheme="minorHAnsi" w:eastAsiaTheme="minorEastAsia" w:hAnsiTheme="minorHAnsi" w:cstheme="minorBidi"/>
          <w:szCs w:val="22"/>
        </w:rPr>
      </w:pPr>
      <w:r>
        <w:t>16.</w:t>
      </w:r>
      <w:r>
        <w:tab/>
        <w:t>Advertising</w:t>
      </w:r>
      <w:r>
        <w:tab/>
      </w:r>
      <w:r>
        <w:fldChar w:fldCharType="begin"/>
      </w:r>
      <w:r>
        <w:instrText xml:space="preserve"> PAGEREF _Toc426976588 \h </w:instrText>
      </w:r>
      <w:r>
        <w:fldChar w:fldCharType="separate"/>
      </w:r>
      <w:r>
        <w:t>5</w:t>
      </w:r>
      <w:r>
        <w:fldChar w:fldCharType="end"/>
      </w:r>
    </w:p>
    <w:p>
      <w:pPr>
        <w:pStyle w:val="TOC8"/>
        <w:rPr>
          <w:rFonts w:asciiTheme="minorHAnsi" w:eastAsiaTheme="minorEastAsia" w:hAnsiTheme="minorHAnsi" w:cstheme="minorBidi"/>
          <w:szCs w:val="22"/>
        </w:rPr>
      </w:pPr>
      <w:r>
        <w:t>17.</w:t>
      </w:r>
      <w:r>
        <w:tab/>
        <w:t>Fees</w:t>
      </w:r>
      <w:r>
        <w:tab/>
      </w:r>
      <w:r>
        <w:fldChar w:fldCharType="begin"/>
      </w:r>
      <w:r>
        <w:instrText xml:space="preserve"> PAGEREF _Toc426976589 \h </w:instrText>
      </w:r>
      <w:r>
        <w:fldChar w:fldCharType="separate"/>
      </w:r>
      <w:r>
        <w:t>6</w:t>
      </w:r>
      <w:r>
        <w:fldChar w:fldCharType="end"/>
      </w:r>
    </w:p>
    <w:p>
      <w:pPr>
        <w:pStyle w:val="TOC8"/>
        <w:rPr>
          <w:rFonts w:asciiTheme="minorHAnsi" w:eastAsiaTheme="minorEastAsia" w:hAnsiTheme="minorHAnsi" w:cstheme="minorBidi"/>
          <w:szCs w:val="22"/>
        </w:rPr>
      </w:pPr>
      <w:r>
        <w:t>18.</w:t>
      </w:r>
      <w:r>
        <w:tab/>
        <w:t xml:space="preserve">Fees for registration under </w:t>
      </w:r>
      <w:r>
        <w:rPr>
          <w:i/>
          <w:iCs/>
        </w:rPr>
        <w:t xml:space="preserve">Mutual Recognition (Western Australia) Act 2001 </w:t>
      </w:r>
      <w:r>
        <w:t xml:space="preserve">or </w:t>
      </w:r>
      <w:r>
        <w:rPr>
          <w:i/>
          <w:iCs/>
        </w:rPr>
        <w:t>Trans</w:t>
      </w:r>
      <w:r>
        <w:rPr>
          <w:i/>
          <w:iCs/>
        </w:rPr>
        <w:noBreakHyphen/>
        <w:t>Tasman Mutual Recognition (Western Australia) Act 2007</w:t>
      </w:r>
      <w:r>
        <w:tab/>
      </w:r>
      <w:r>
        <w:fldChar w:fldCharType="begin"/>
      </w:r>
      <w:r>
        <w:instrText xml:space="preserve"> PAGEREF _Toc426976590 \h </w:instrText>
      </w:r>
      <w:r>
        <w:fldChar w:fldCharType="separate"/>
      </w:r>
      <w:r>
        <w:t>6</w:t>
      </w:r>
      <w:r>
        <w:fldChar w:fldCharType="end"/>
      </w:r>
    </w:p>
    <w:p>
      <w:pPr>
        <w:pStyle w:val="TOC8"/>
        <w:rPr>
          <w:rFonts w:asciiTheme="minorHAnsi" w:eastAsiaTheme="minorEastAsia" w:hAnsiTheme="minorHAnsi" w:cstheme="minorBidi"/>
          <w:szCs w:val="22"/>
        </w:rPr>
      </w:pPr>
      <w:r>
        <w:t>19.</w:t>
      </w:r>
      <w:r>
        <w:tab/>
        <w:t>Reduction, waiver or refund of fees</w:t>
      </w:r>
      <w:r>
        <w:tab/>
      </w:r>
      <w:r>
        <w:fldChar w:fldCharType="begin"/>
      </w:r>
      <w:r>
        <w:instrText xml:space="preserve"> PAGEREF _Toc426976591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 xml:space="preserve">Schedule 2 — Fees for registration under </w:t>
      </w:r>
      <w:r>
        <w:rPr>
          <w:i/>
          <w:iCs/>
        </w:rPr>
        <w:t xml:space="preserve">Mutual Recognition </w:t>
      </w:r>
      <w:r>
        <w:rPr>
          <w:i/>
          <w:iCs/>
        </w:rPr>
        <w:lastRenderedPageBreak/>
        <w:t>(Western Australia) Act 2001</w:t>
      </w:r>
      <w:r>
        <w:t xml:space="preserve"> or </w:t>
      </w:r>
      <w:r>
        <w:rPr>
          <w:i/>
          <w:iCs/>
        </w:rPr>
        <w:t>Trans</w:t>
      </w:r>
      <w:r>
        <w:rPr>
          <w:i/>
          <w:iCs/>
        </w:rPr>
        <w:noBreakHyphen/>
        <w:t>Tasman Mutual Recognition (Western Australia) Act 2007</w:t>
      </w:r>
    </w:p>
    <w:p>
      <w:pPr>
        <w:pStyle w:val="TOC2"/>
        <w:tabs>
          <w:tab w:val="right" w:leader="dot" w:pos="7077"/>
        </w:tabs>
        <w:rPr>
          <w:rFonts w:asciiTheme="minorHAnsi" w:eastAsiaTheme="minorEastAsia" w:hAnsiTheme="minorHAnsi" w:cstheme="minorBidi"/>
          <w:b w:val="0"/>
          <w:sz w:val="22"/>
          <w:szCs w:val="22"/>
        </w:rPr>
      </w:pPr>
      <w:r>
        <w:t>Schedule 3 — Fee for examination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_Toc426976596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Podiatrists Act 2005</w:t>
      </w:r>
    </w:p>
    <w:p>
      <w:pPr>
        <w:pStyle w:val="NameofActReg"/>
      </w:pPr>
      <w:r>
        <w:t>Podiatrists Regulations 2006</w:t>
      </w:r>
    </w:p>
    <w:p>
      <w:pPr>
        <w:pStyle w:val="Heading5"/>
      </w:pPr>
      <w:bookmarkStart w:id="3" w:name="_Toc378254978"/>
      <w:bookmarkStart w:id="4" w:name="_Toc426976573"/>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Podiatrists Regulations 2006</w:t>
      </w:r>
      <w:r>
        <w:rPr>
          <w:iCs/>
          <w:vertAlign w:val="superscript"/>
        </w:rPr>
        <w:t> 1</w:t>
      </w:r>
      <w:r>
        <w:t>.</w:t>
      </w:r>
    </w:p>
    <w:p>
      <w:pPr>
        <w:pStyle w:val="Heading5"/>
        <w:rPr>
          <w:spacing w:val="-2"/>
        </w:rPr>
      </w:pPr>
      <w:bookmarkStart w:id="6" w:name="_Toc378254979"/>
      <w:bookmarkStart w:id="7" w:name="_Toc426976574"/>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regulations come into operation on the day on which the </w:t>
      </w:r>
      <w:r>
        <w:rPr>
          <w:i/>
          <w:spacing w:val="-2"/>
        </w:rPr>
        <w:t>Podiatrists Act 2005</w:t>
      </w:r>
      <w:r>
        <w:rPr>
          <w:spacing w:val="-2"/>
        </w:rPr>
        <w:t xml:space="preserve"> comes into operation</w:t>
      </w:r>
      <w:r>
        <w:t>.</w:t>
      </w:r>
    </w:p>
    <w:p>
      <w:pPr>
        <w:pStyle w:val="Heading5"/>
      </w:pPr>
      <w:bookmarkStart w:id="8" w:name="_Toc378254980"/>
      <w:bookmarkStart w:id="9" w:name="_Toc426976575"/>
      <w:r>
        <w:rPr>
          <w:rStyle w:val="CharSectno"/>
        </w:rPr>
        <w:t>3</w:t>
      </w:r>
      <w:r>
        <w:t>.</w:t>
      </w:r>
      <w:r>
        <w:tab/>
        <w:t>Criminal record screening</w:t>
      </w:r>
      <w:bookmarkEnd w:id="8"/>
      <w:bookmarkEnd w:id="9"/>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10" w:name="_Toc378254981"/>
      <w:bookmarkStart w:id="11" w:name="_Toc426976576"/>
      <w:r>
        <w:rPr>
          <w:rStyle w:val="CharSectno"/>
        </w:rPr>
        <w:t>4</w:t>
      </w:r>
      <w:r>
        <w:t>.</w:t>
      </w:r>
      <w:r>
        <w:tab/>
        <w:t>Prescribed qualifications under section 27(2)(f) for registration</w:t>
      </w:r>
      <w:bookmarkEnd w:id="10"/>
      <w:bookmarkEnd w:id="11"/>
    </w:p>
    <w:p>
      <w:pPr>
        <w:pStyle w:val="Subsection"/>
      </w:pPr>
      <w:r>
        <w:tab/>
        <w:t>(1)</w:t>
      </w:r>
      <w:r>
        <w:tab/>
        <w:t>For the purposes of the Act section 27(2)(f), the qualification prescribed as a qualification for registration as a podiatrist is a Certificate of Podiatry issued by the Board.</w:t>
      </w:r>
    </w:p>
    <w:p>
      <w:pPr>
        <w:pStyle w:val="Subsection"/>
      </w:pPr>
      <w:r>
        <w:tab/>
        <w:t>(2)</w:t>
      </w:r>
      <w:r>
        <w:tab/>
        <w:t>For the purposes of the Act section 27(2)(f), the degrees specified in column 1 of the Table to this subregulation opposite the university specified in column 2 of that Table are prescribed as a qualification for registration as a podiatrist.</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Degree</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Institution</w:t>
            </w:r>
          </w:p>
        </w:tc>
      </w:tr>
      <w:tr>
        <w:tc>
          <w:tcPr>
            <w:tcW w:w="2693" w:type="dxa"/>
          </w:tcPr>
          <w:p>
            <w:pPr>
              <w:pStyle w:val="Table"/>
            </w:pPr>
            <w:r>
              <w:t>Bachelor of Science (Podiatry)</w:t>
            </w:r>
          </w:p>
        </w:tc>
        <w:tc>
          <w:tcPr>
            <w:tcW w:w="3402" w:type="dxa"/>
          </w:tcPr>
          <w:p>
            <w:pPr>
              <w:pStyle w:val="Table"/>
            </w:pPr>
            <w:r>
              <w:t>Curtin University of Technology</w:t>
            </w:r>
          </w:p>
        </w:tc>
      </w:tr>
      <w:tr>
        <w:tc>
          <w:tcPr>
            <w:tcW w:w="2693" w:type="dxa"/>
            <w:tcBorders>
              <w:bottom w:val="single" w:sz="4" w:space="0" w:color="auto"/>
            </w:tcBorders>
          </w:tcPr>
          <w:p>
            <w:pPr>
              <w:pStyle w:val="Table"/>
            </w:pPr>
            <w:r>
              <w:t>Bachelor of Podiatric Medicine</w:t>
            </w:r>
          </w:p>
        </w:tc>
        <w:tc>
          <w:tcPr>
            <w:tcW w:w="3402" w:type="dxa"/>
            <w:tcBorders>
              <w:bottom w:val="single" w:sz="4" w:space="0" w:color="auto"/>
            </w:tcBorders>
          </w:tcPr>
          <w:p>
            <w:pPr>
              <w:pStyle w:val="Table"/>
            </w:pPr>
            <w:r>
              <w:t>The University of Western Australia</w:t>
            </w:r>
          </w:p>
        </w:tc>
      </w:tr>
    </w:tbl>
    <w:p>
      <w:pPr>
        <w:pStyle w:val="Heading5"/>
      </w:pPr>
      <w:bookmarkStart w:id="12" w:name="_Toc378254982"/>
      <w:bookmarkStart w:id="13" w:name="_Toc426976577"/>
      <w:r>
        <w:rPr>
          <w:rStyle w:val="CharSectno"/>
        </w:rPr>
        <w:t>5</w:t>
      </w:r>
      <w:r>
        <w:t>.</w:t>
      </w:r>
      <w:r>
        <w:tab/>
        <w:t>Examinations</w:t>
      </w:r>
      <w:bookmarkEnd w:id="12"/>
      <w:bookmarkEnd w:id="13"/>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Podiatry.</w:t>
      </w:r>
    </w:p>
    <w:p>
      <w:pPr>
        <w:pStyle w:val="Subsection"/>
      </w:pPr>
      <w:r>
        <w:tab/>
        <w:t>(2)</w:t>
      </w:r>
      <w:r>
        <w:tab/>
        <w:t>The examination referred to in subregulation (1) may be written or oral, or both.</w:t>
      </w:r>
    </w:p>
    <w:p>
      <w:pPr>
        <w:pStyle w:val="Subsection"/>
      </w:pPr>
      <w:r>
        <w:tab/>
        <w:t>(3)</w:t>
      </w:r>
      <w:r>
        <w:tab/>
        <w:t>The fees in Schedule 3 are prescribed as the fees payable by a person to sit an examination conducted under this regulation.</w:t>
      </w:r>
    </w:p>
    <w:p>
      <w:pPr>
        <w:pStyle w:val="Subsection"/>
      </w:pPr>
      <w:r>
        <w:tab/>
        <w:t>(4)</w:t>
      </w:r>
      <w:r>
        <w:tab/>
        <w:t>The Board is to give a person who passes the examination a Certificate of Podiatry in a form approved by the Board.</w:t>
      </w:r>
    </w:p>
    <w:p>
      <w:pPr>
        <w:pStyle w:val="Heading5"/>
      </w:pPr>
      <w:bookmarkStart w:id="14" w:name="_Toc378254983"/>
      <w:bookmarkStart w:id="15" w:name="_Toc426976578"/>
      <w:r>
        <w:rPr>
          <w:rStyle w:val="CharSectno"/>
        </w:rPr>
        <w:t>6</w:t>
      </w:r>
      <w:r>
        <w:t>.</w:t>
      </w:r>
      <w:r>
        <w:tab/>
        <w:t>Specialties prescribed</w:t>
      </w:r>
      <w:bookmarkEnd w:id="14"/>
      <w:bookmarkEnd w:id="15"/>
    </w:p>
    <w:p>
      <w:pPr>
        <w:pStyle w:val="Subsection"/>
      </w:pPr>
      <w:r>
        <w:tab/>
      </w:r>
      <w:r>
        <w:tab/>
        <w:t xml:space="preserve">For the purposes of the Act section 30(1), the following branches of podiatry are prescribed as a specialty — </w:t>
      </w:r>
    </w:p>
    <w:p>
      <w:pPr>
        <w:pStyle w:val="Indenta"/>
      </w:pPr>
      <w:r>
        <w:tab/>
        <w:t>(a)</w:t>
      </w:r>
      <w:r>
        <w:tab/>
        <w:t>podiatric surgeon;</w:t>
      </w:r>
    </w:p>
    <w:p>
      <w:pPr>
        <w:pStyle w:val="Indenta"/>
      </w:pPr>
      <w:r>
        <w:tab/>
        <w:t>(b)</w:t>
      </w:r>
      <w:r>
        <w:tab/>
        <w:t>podiatric physician.</w:t>
      </w:r>
    </w:p>
    <w:p>
      <w:pPr>
        <w:pStyle w:val="Heading5"/>
      </w:pPr>
      <w:bookmarkStart w:id="16" w:name="_Toc378254984"/>
      <w:bookmarkStart w:id="17" w:name="_Toc426976579"/>
      <w:r>
        <w:rPr>
          <w:rStyle w:val="CharSectno"/>
        </w:rPr>
        <w:t>7</w:t>
      </w:r>
      <w:r>
        <w:t>.</w:t>
      </w:r>
      <w:r>
        <w:tab/>
        <w:t>Qualifications for specialty</w:t>
      </w:r>
      <w:bookmarkEnd w:id="16"/>
      <w:bookmarkEnd w:id="17"/>
    </w:p>
    <w:p>
      <w:pPr>
        <w:pStyle w:val="Subsection"/>
      </w:pPr>
      <w:r>
        <w:tab/>
        <w:t>(1)</w:t>
      </w:r>
      <w:r>
        <w:tab/>
        <w:t xml:space="preserve">For the purposes of the Act section 30(2)(b), the following qualifications are prescribed qualifications for the specialty of podiatric surgeon — </w:t>
      </w:r>
    </w:p>
    <w:p>
      <w:pPr>
        <w:pStyle w:val="Indenta"/>
      </w:pPr>
      <w:r>
        <w:tab/>
        <w:t>(a)</w:t>
      </w:r>
      <w:r>
        <w:tab/>
        <w:t>Master of Science (Podiatry) from Curtin University of Technology and member of, or eligible for membership of, the Australasian College of Podiatric Surgeons;</w:t>
      </w:r>
    </w:p>
    <w:p>
      <w:pPr>
        <w:pStyle w:val="Indenta"/>
      </w:pPr>
      <w:r>
        <w:tab/>
        <w:t>(b)</w:t>
      </w:r>
      <w:r>
        <w:tab/>
        <w:t>Master of Podiatry from Curtin University of Technology and member of, or eligible for membership of, the Australasian College of Podiatric Surgeons;</w:t>
      </w:r>
    </w:p>
    <w:p>
      <w:pPr>
        <w:pStyle w:val="Indenta"/>
      </w:pPr>
      <w:r>
        <w:tab/>
        <w:t>(c)</w:t>
      </w:r>
      <w:r>
        <w:tab/>
        <w:t>Doctor of Clinical Podiatry from the University of Western Australia.</w:t>
      </w:r>
    </w:p>
    <w:p>
      <w:pPr>
        <w:pStyle w:val="Subsection"/>
      </w:pPr>
      <w:r>
        <w:tab/>
        <w:t>(2)</w:t>
      </w:r>
      <w:r>
        <w:tab/>
        <w:t xml:space="preserve">For the purposes of the Act section 30(2)(b), the following qualifications are prescribed qualifications for the speciality of podiatric physician — </w:t>
      </w:r>
    </w:p>
    <w:p>
      <w:pPr>
        <w:pStyle w:val="Indenta"/>
      </w:pPr>
      <w:r>
        <w:tab/>
        <w:t>(a)</w:t>
      </w:r>
      <w:r>
        <w:tab/>
        <w:t>Master of Podiatric Medicine from the University of Western Australia;</w:t>
      </w:r>
    </w:p>
    <w:p>
      <w:pPr>
        <w:pStyle w:val="Indenta"/>
      </w:pPr>
      <w:r>
        <w:tab/>
        <w:t>(b)</w:t>
      </w:r>
      <w:r>
        <w:tab/>
        <w:t>Doctor of Clinical Podiatry from the University of Western Australia;</w:t>
      </w:r>
    </w:p>
    <w:p>
      <w:pPr>
        <w:pStyle w:val="Indenta"/>
      </w:pPr>
      <w:r>
        <w:tab/>
        <w:t>(c)</w:t>
      </w:r>
      <w:r>
        <w:tab/>
        <w:t>Doctor of Podiatric Medicine from the University of Western Australia.</w:t>
      </w:r>
    </w:p>
    <w:p>
      <w:pPr>
        <w:pStyle w:val="Footnotesection"/>
      </w:pPr>
      <w:r>
        <w:tab/>
        <w:t>[Regulation 7 amended in Gazette 1 May 2009 p. 1436.]</w:t>
      </w:r>
    </w:p>
    <w:p>
      <w:pPr>
        <w:pStyle w:val="Heading5"/>
      </w:pPr>
      <w:bookmarkStart w:id="18" w:name="_Toc378254985"/>
      <w:bookmarkStart w:id="19" w:name="_Toc426976580"/>
      <w:r>
        <w:rPr>
          <w:rStyle w:val="CharSectno"/>
        </w:rPr>
        <w:t>8</w:t>
      </w:r>
      <w:r>
        <w:t>.</w:t>
      </w:r>
      <w:r>
        <w:tab/>
        <w:t>Titles under which a specialty may be practised</w:t>
      </w:r>
      <w:bookmarkEnd w:id="18"/>
      <w:bookmarkEnd w:id="19"/>
    </w:p>
    <w:p>
      <w:pPr>
        <w:pStyle w:val="Subsection"/>
      </w:pPr>
      <w:r>
        <w:tab/>
      </w:r>
      <w:r>
        <w:tab/>
        <w:t>For the purposes of the Act section 30(6), the title specified in the Table column 2 to this regulation opposite the specialty specified in that Table column 1 is prescribed as the title under which that specialty may be practised.</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Specialty</w:t>
            </w:r>
          </w:p>
        </w:tc>
        <w:tc>
          <w:tcPr>
            <w:tcW w:w="2835"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Title</w:t>
            </w:r>
          </w:p>
        </w:tc>
      </w:tr>
      <w:tr>
        <w:tc>
          <w:tcPr>
            <w:tcW w:w="2693" w:type="dxa"/>
          </w:tcPr>
          <w:p>
            <w:pPr>
              <w:pStyle w:val="Table"/>
            </w:pPr>
            <w:r>
              <w:t>podiatric surgeon</w:t>
            </w:r>
          </w:p>
        </w:tc>
        <w:tc>
          <w:tcPr>
            <w:tcW w:w="2835" w:type="dxa"/>
          </w:tcPr>
          <w:p>
            <w:pPr>
              <w:pStyle w:val="Table"/>
            </w:pPr>
            <w:r>
              <w:t>podiatric surgeon</w:t>
            </w:r>
          </w:p>
        </w:tc>
      </w:tr>
      <w:tr>
        <w:tc>
          <w:tcPr>
            <w:tcW w:w="2693" w:type="dxa"/>
            <w:tcBorders>
              <w:bottom w:val="single" w:sz="4" w:space="0" w:color="auto"/>
            </w:tcBorders>
          </w:tcPr>
          <w:p>
            <w:pPr>
              <w:pStyle w:val="Table"/>
            </w:pPr>
            <w:r>
              <w:t>podiatric physician</w:t>
            </w:r>
          </w:p>
        </w:tc>
        <w:tc>
          <w:tcPr>
            <w:tcW w:w="2835" w:type="dxa"/>
            <w:tcBorders>
              <w:bottom w:val="single" w:sz="4" w:space="0" w:color="auto"/>
            </w:tcBorders>
          </w:tcPr>
          <w:p>
            <w:pPr>
              <w:pStyle w:val="Table"/>
            </w:pPr>
            <w:r>
              <w:t>podiatric physician</w:t>
            </w:r>
          </w:p>
        </w:tc>
      </w:tr>
    </w:tbl>
    <w:p>
      <w:pPr>
        <w:pStyle w:val="Heading5"/>
      </w:pPr>
      <w:bookmarkStart w:id="20" w:name="_Toc378254986"/>
      <w:bookmarkStart w:id="21" w:name="_Toc426976581"/>
      <w:r>
        <w:rPr>
          <w:rStyle w:val="CharSectno"/>
        </w:rPr>
        <w:t>9</w:t>
      </w:r>
      <w:r>
        <w:t>.</w:t>
      </w:r>
      <w:r>
        <w:tab/>
        <w:t>Prescribed period for registration and renewal of registration under section 34</w:t>
      </w:r>
      <w:bookmarkEnd w:id="20"/>
      <w:bookmarkEnd w:id="21"/>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31 December.</w:t>
      </w:r>
    </w:p>
    <w:p>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31 December.</w:t>
      </w:r>
    </w:p>
    <w:p>
      <w:pPr>
        <w:pStyle w:val="Heading5"/>
      </w:pPr>
      <w:bookmarkStart w:id="22" w:name="_Toc378254987"/>
      <w:bookmarkStart w:id="23" w:name="_Toc426976582"/>
      <w:r>
        <w:rPr>
          <w:rStyle w:val="CharSectno"/>
        </w:rPr>
        <w:t>10</w:t>
      </w:r>
      <w:r>
        <w:t>.</w:t>
      </w:r>
      <w:r>
        <w:tab/>
        <w:t>Day on which fee falls due under section 35(1)</w:t>
      </w:r>
      <w:bookmarkEnd w:id="22"/>
      <w:bookmarkEnd w:id="23"/>
    </w:p>
    <w:p>
      <w:pPr>
        <w:pStyle w:val="Subsection"/>
      </w:pPr>
      <w:r>
        <w:tab/>
      </w:r>
      <w:r>
        <w:tab/>
        <w:t>For the purposes of the Act section 35(1), the day in each year on which the prescribed fee for the renewal of registration falls due is 31 December.</w:t>
      </w:r>
    </w:p>
    <w:p>
      <w:pPr>
        <w:pStyle w:val="Heading5"/>
      </w:pPr>
      <w:bookmarkStart w:id="24" w:name="_Toc378254988"/>
      <w:bookmarkStart w:id="25" w:name="_Toc426976583"/>
      <w:r>
        <w:rPr>
          <w:rStyle w:val="CharSectno"/>
        </w:rPr>
        <w:t>11</w:t>
      </w:r>
      <w:r>
        <w:t>.</w:t>
      </w:r>
      <w:r>
        <w:tab/>
        <w:t>Prescribed information under section 37(g)</w:t>
      </w:r>
      <w:bookmarkEnd w:id="24"/>
      <w:bookmarkEnd w:id="25"/>
    </w:p>
    <w:p>
      <w:pPr>
        <w:pStyle w:val="Subsection"/>
      </w:pPr>
      <w:r>
        <w:tab/>
      </w:r>
      <w:r>
        <w:tab/>
        <w:t xml:space="preserve">For the purposes of the Act section 37(g), the following information is prescribed — </w:t>
      </w:r>
    </w:p>
    <w:p>
      <w:pPr>
        <w:pStyle w:val="Indenta"/>
      </w:pPr>
      <w:r>
        <w:tab/>
        <w:t>(a)</w:t>
      </w:r>
      <w:r>
        <w:tab/>
        <w:t>any offence under the Act for which the podiatrist has been convicted;</w:t>
      </w:r>
    </w:p>
    <w:p>
      <w:pPr>
        <w:pStyle w:val="Indenta"/>
      </w:pPr>
      <w:r>
        <w:tab/>
        <w:t>(b)</w:t>
      </w:r>
      <w:r>
        <w:tab/>
        <w:t>the date on which the podiatrist was first registered as a podiatrist.</w:t>
      </w:r>
    </w:p>
    <w:p>
      <w:pPr>
        <w:pStyle w:val="Heading5"/>
      </w:pPr>
      <w:bookmarkStart w:id="26" w:name="_Toc378254989"/>
      <w:bookmarkStart w:id="27" w:name="_Toc426976584"/>
      <w:r>
        <w:rPr>
          <w:rStyle w:val="CharSectno"/>
        </w:rPr>
        <w:t>12</w:t>
      </w:r>
      <w:r>
        <w:t>.</w:t>
      </w:r>
      <w:r>
        <w:tab/>
        <w:t>Amendment of particulars</w:t>
      </w:r>
      <w:bookmarkEnd w:id="26"/>
      <w:bookmarkEnd w:id="27"/>
    </w:p>
    <w:p>
      <w:pPr>
        <w:pStyle w:val="Subsection"/>
      </w:pPr>
      <w:r>
        <w:tab/>
      </w:r>
      <w:r>
        <w:tab/>
        <w:t>A podiatrist may at any time apply to the Board for the amendment of the particulars recorded in the register relating to that podiatrist, and if the Board is satisfied that the amendment may properly be made, the Board, on payment of the prescribed fee, is to cause those particulars to be amended.</w:t>
      </w:r>
    </w:p>
    <w:p>
      <w:pPr>
        <w:pStyle w:val="Heading5"/>
      </w:pPr>
      <w:bookmarkStart w:id="28" w:name="_Toc378254990"/>
      <w:bookmarkStart w:id="29" w:name="_Toc426976585"/>
      <w:r>
        <w:rPr>
          <w:rStyle w:val="CharSectno"/>
        </w:rPr>
        <w:t>13</w:t>
      </w:r>
      <w:r>
        <w:t>.</w:t>
      </w:r>
      <w:r>
        <w:tab/>
        <w:t>Change of name</w:t>
      </w:r>
      <w:bookmarkEnd w:id="28"/>
      <w:bookmarkEnd w:id="29"/>
    </w:p>
    <w:p>
      <w:pPr>
        <w:pStyle w:val="Subsection"/>
      </w:pPr>
      <w:r>
        <w:tab/>
        <w:t>(1)</w:t>
      </w:r>
      <w:r>
        <w:tab/>
        <w:t>A podiatrist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30" w:name="_Toc378254991"/>
      <w:bookmarkStart w:id="31" w:name="_Toc426976586"/>
      <w:r>
        <w:rPr>
          <w:rStyle w:val="CharSectno"/>
        </w:rPr>
        <w:t>14</w:t>
      </w:r>
      <w:r>
        <w:t>.</w:t>
      </w:r>
      <w:r>
        <w:tab/>
        <w:t>Complaints to the complaints assessment committee</w:t>
      </w:r>
      <w:bookmarkEnd w:id="30"/>
      <w:bookmarkEnd w:id="31"/>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32" w:name="_Toc378254992"/>
      <w:bookmarkStart w:id="33" w:name="_Toc426976587"/>
      <w:r>
        <w:rPr>
          <w:rStyle w:val="CharSectno"/>
        </w:rPr>
        <w:t>15</w:t>
      </w:r>
      <w:r>
        <w:t>.</w:t>
      </w:r>
      <w:r>
        <w:tab/>
        <w:t>Appointment of a conciliator</w:t>
      </w:r>
      <w:bookmarkEnd w:id="32"/>
      <w:bookmarkEnd w:id="33"/>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34" w:name="_Toc378254993"/>
      <w:bookmarkStart w:id="35" w:name="_Toc426976588"/>
      <w:r>
        <w:rPr>
          <w:rStyle w:val="CharSectno"/>
        </w:rPr>
        <w:t>16</w:t>
      </w:r>
      <w:r>
        <w:t>.</w:t>
      </w:r>
      <w:r>
        <w:tab/>
        <w:t>Advertising</w:t>
      </w:r>
      <w:bookmarkEnd w:id="34"/>
      <w:bookmarkEnd w:id="35"/>
    </w:p>
    <w:p>
      <w:pPr>
        <w:pStyle w:val="Subsection"/>
      </w:pPr>
      <w:r>
        <w:tab/>
      </w:r>
      <w:r>
        <w:tab/>
        <w:t xml:space="preserve">A podiatrist who advertises, or causes to be advertised, any material relating to the podiatrist’s practice of podiatry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podiatrist’s services,</w:t>
      </w:r>
    </w:p>
    <w:p>
      <w:pPr>
        <w:pStyle w:val="Subsection"/>
      </w:pPr>
      <w:r>
        <w:tab/>
      </w:r>
      <w:r>
        <w:tab/>
        <w:t>commits an offence.</w:t>
      </w:r>
    </w:p>
    <w:p>
      <w:pPr>
        <w:pStyle w:val="Penstart"/>
      </w:pPr>
      <w:r>
        <w:tab/>
        <w:t>Penalty: a fine of $1 000.</w:t>
      </w:r>
    </w:p>
    <w:p>
      <w:pPr>
        <w:pStyle w:val="Heading5"/>
      </w:pPr>
      <w:bookmarkStart w:id="36" w:name="_Toc378254994"/>
      <w:bookmarkStart w:id="37" w:name="_Toc426976589"/>
      <w:r>
        <w:rPr>
          <w:rStyle w:val="CharSectno"/>
        </w:rPr>
        <w:t>17</w:t>
      </w:r>
      <w:r>
        <w:t>.</w:t>
      </w:r>
      <w:r>
        <w:tab/>
        <w:t>Fees</w:t>
      </w:r>
      <w:bookmarkEnd w:id="36"/>
      <w:bookmarkEnd w:id="37"/>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38" w:name="_Toc378254995"/>
      <w:bookmarkStart w:id="39" w:name="_Toc426976590"/>
      <w:r>
        <w:rPr>
          <w:rStyle w:val="CharSectno"/>
        </w:rPr>
        <w:t>18</w:t>
      </w:r>
      <w:r>
        <w:t>.</w:t>
      </w:r>
      <w:r>
        <w:tab/>
        <w:t xml:space="preserve">Fees for registration under </w:t>
      </w:r>
      <w:r>
        <w:rPr>
          <w:i/>
          <w:iCs/>
        </w:rPr>
        <w:t xml:space="preserve">Mutual Recognition (Western Australia) Act 2001 </w:t>
      </w:r>
      <w:r>
        <w:t xml:space="preserve">or </w:t>
      </w:r>
      <w:r>
        <w:rPr>
          <w:i/>
          <w:iCs/>
        </w:rPr>
        <w:t>Trans</w:t>
      </w:r>
      <w:r>
        <w:rPr>
          <w:i/>
          <w:iCs/>
        </w:rPr>
        <w:noBreakHyphen/>
        <w:t>Tasman Mutual Recognition (Western Australia) Act 2007</w:t>
      </w:r>
      <w:bookmarkEnd w:id="38"/>
      <w:bookmarkEnd w:id="39"/>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iCs/>
        </w:rPr>
        <w:t xml:space="preserve">Mutual Recognition Act 1992 </w:t>
      </w:r>
      <w:r>
        <w:t xml:space="preserve">(Commonwealth), as adopted by the </w:t>
      </w:r>
      <w:r>
        <w:rPr>
          <w:i/>
        </w:rPr>
        <w:t>Mutual Recognition (Western Australia) Act 2001</w:t>
      </w:r>
      <w:r>
        <w:t>; or</w:t>
      </w:r>
    </w:p>
    <w:p>
      <w:pPr>
        <w:pStyle w:val="Indenta"/>
      </w:pPr>
      <w:r>
        <w:tab/>
        <w:t>(b)</w:t>
      </w:r>
      <w:r>
        <w:tab/>
        <w:t xml:space="preserve">the </w:t>
      </w:r>
      <w:r>
        <w:rPr>
          <w:i/>
          <w:iCs/>
        </w:rPr>
        <w:t>Trans</w:t>
      </w:r>
      <w:r>
        <w:rPr>
          <w:i/>
          <w:iCs/>
        </w:rPr>
        <w:noBreakHyphen/>
        <w:t>Tasman Mutual Recognition Act 1997</w:t>
      </w:r>
      <w:r>
        <w:t xml:space="preserve"> (Commonwealth), as adopted by the </w:t>
      </w:r>
      <w:r>
        <w:rPr>
          <w:i/>
          <w:iCs/>
        </w:rPr>
        <w:t>Trans</w:t>
      </w:r>
      <w:r>
        <w:rPr>
          <w:i/>
          <w:iCs/>
        </w:rPr>
        <w:noBreakHyphen/>
        <w:t>Tasman Mutual Recognition (Western Australia) Act 2007</w:t>
      </w:r>
      <w:r>
        <w:t xml:space="preserve">, </w:t>
      </w:r>
    </w:p>
    <w:p>
      <w:pPr>
        <w:pStyle w:val="Subsection"/>
      </w:pPr>
      <w:r>
        <w:tab/>
      </w:r>
      <w:r>
        <w:tab/>
        <w:t>to be registered in this State as a podiatrist.</w:t>
      </w:r>
    </w:p>
    <w:p>
      <w:pPr>
        <w:pStyle w:val="Footnotesection"/>
      </w:pPr>
      <w:r>
        <w:tab/>
        <w:t>[Regulation 18 inserted in Gazette 22 Dec 2009 p. 5267.]</w:t>
      </w:r>
    </w:p>
    <w:p>
      <w:pPr>
        <w:pStyle w:val="Heading5"/>
      </w:pPr>
      <w:bookmarkStart w:id="40" w:name="_Toc378254996"/>
      <w:bookmarkStart w:id="41" w:name="_Toc426976591"/>
      <w:r>
        <w:rPr>
          <w:rStyle w:val="CharSectno"/>
        </w:rPr>
        <w:t>19</w:t>
      </w:r>
      <w:r>
        <w:t>.</w:t>
      </w:r>
      <w:r>
        <w:tab/>
        <w:t>Reduction, waiver or refund of fees</w:t>
      </w:r>
      <w:bookmarkEnd w:id="40"/>
      <w:bookmarkEnd w:id="41"/>
    </w:p>
    <w:p>
      <w:pPr>
        <w:pStyle w:val="Subsection"/>
      </w:pPr>
      <w:r>
        <w:tab/>
      </w:r>
      <w:r>
        <w:tab/>
        <w:t>The Board may authorise the reduction, waiver or refund of any fee provided for in these regulations if the Board considers it appropriate to do so.</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2" w:name="_Toc378254997"/>
      <w:bookmarkStart w:id="43" w:name="_Toc426976568"/>
      <w:bookmarkStart w:id="44" w:name="_Toc426976592"/>
      <w:bookmarkStart w:id="45" w:name="_Toc378255000"/>
      <w:bookmarkStart w:id="46" w:name="_Toc426976571"/>
      <w:bookmarkStart w:id="47" w:name="_Toc426976595"/>
      <w:r>
        <w:rPr>
          <w:rStyle w:val="CharSchNo"/>
        </w:rPr>
        <w:t>Schedule 1</w:t>
      </w:r>
      <w:r>
        <w:rPr>
          <w:rStyle w:val="CharSDivNo"/>
        </w:rPr>
        <w:t> </w:t>
      </w:r>
      <w:r>
        <w:t>—</w:t>
      </w:r>
      <w:r>
        <w:rPr>
          <w:rStyle w:val="CharSDivText"/>
        </w:rPr>
        <w:t> </w:t>
      </w:r>
      <w:r>
        <w:rPr>
          <w:rStyle w:val="CharSchText"/>
        </w:rPr>
        <w:t>Fees</w:t>
      </w:r>
      <w:bookmarkEnd w:id="42"/>
      <w:bookmarkEnd w:id="43"/>
      <w:bookmarkEnd w:id="44"/>
    </w:p>
    <w:p>
      <w:pPr>
        <w:pStyle w:val="yShoulderClause"/>
        <w:spacing w:after="60"/>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112.50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225</w:t>
            </w:r>
          </w:p>
        </w:tc>
      </w:tr>
      <w:tr>
        <w:trPr>
          <w:cantSplit/>
        </w:trPr>
        <w:tc>
          <w:tcPr>
            <w:tcW w:w="567" w:type="dxa"/>
          </w:tcPr>
          <w:p>
            <w:pPr>
              <w:pStyle w:val="yTable"/>
            </w:pPr>
            <w:r>
              <w:t>4.</w:t>
            </w:r>
          </w:p>
        </w:tc>
        <w:tc>
          <w:tcPr>
            <w:tcW w:w="3119"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225</w:t>
            </w:r>
          </w:p>
        </w:tc>
      </w:tr>
      <w:tr>
        <w:trPr>
          <w:cantSplit/>
        </w:trPr>
        <w:tc>
          <w:tcPr>
            <w:tcW w:w="567" w:type="dxa"/>
          </w:tcPr>
          <w:p>
            <w:pPr>
              <w:pStyle w:val="yTable"/>
            </w:pPr>
            <w:r>
              <w:t>5.</w:t>
            </w:r>
          </w:p>
        </w:tc>
        <w:tc>
          <w:tcPr>
            <w:tcW w:w="3119" w:type="dxa"/>
          </w:tcPr>
          <w:p>
            <w:pPr>
              <w:pStyle w:val="yTable"/>
            </w:pPr>
            <w:r>
              <w:t>Registration fee payable by a person for conditional registration.</w:t>
            </w:r>
          </w:p>
        </w:tc>
        <w:tc>
          <w:tcPr>
            <w:tcW w:w="1559" w:type="dxa"/>
          </w:tcPr>
          <w:p>
            <w:pPr>
              <w:pStyle w:val="yTable"/>
              <w:jc w:val="center"/>
            </w:pPr>
            <w:r>
              <w:br/>
            </w:r>
            <w:r>
              <w:br/>
              <w:t>s. 29(1)(c)</w:t>
            </w:r>
          </w:p>
        </w:tc>
        <w:tc>
          <w:tcPr>
            <w:tcW w:w="1276" w:type="dxa"/>
          </w:tcPr>
          <w:p>
            <w:pPr>
              <w:pStyle w:val="yTable"/>
              <w:jc w:val="center"/>
            </w:pPr>
            <w:r>
              <w:br/>
            </w:r>
            <w:r>
              <w:br/>
              <w:t>225</w:t>
            </w:r>
          </w:p>
        </w:tc>
      </w:tr>
      <w:tr>
        <w:trPr>
          <w:cantSplit/>
        </w:trPr>
        <w:tc>
          <w:tcPr>
            <w:tcW w:w="567" w:type="dxa"/>
          </w:tcPr>
          <w:p>
            <w:pPr>
              <w:pStyle w:val="yTable"/>
            </w:pPr>
            <w:r>
              <w:t>6.</w:t>
            </w:r>
          </w:p>
        </w:tc>
        <w:tc>
          <w:tcPr>
            <w:tcW w:w="3119" w:type="dxa"/>
          </w:tcPr>
          <w:p>
            <w:pPr>
              <w:pStyle w:val="yTable"/>
            </w:pPr>
            <w:r>
              <w:t>Registration fee payable by a person for registration as a specialist.</w:t>
            </w:r>
          </w:p>
        </w:tc>
        <w:tc>
          <w:tcPr>
            <w:tcW w:w="1559" w:type="dxa"/>
          </w:tcPr>
          <w:p>
            <w:pPr>
              <w:pStyle w:val="yTable"/>
              <w:jc w:val="center"/>
            </w:pPr>
            <w:r>
              <w:br/>
            </w:r>
            <w:r>
              <w:br/>
              <w:t>s. 30(1)(b)</w:t>
            </w:r>
          </w:p>
        </w:tc>
        <w:tc>
          <w:tcPr>
            <w:tcW w:w="1276" w:type="dxa"/>
          </w:tcPr>
          <w:p>
            <w:pPr>
              <w:pStyle w:val="yTable"/>
              <w:jc w:val="center"/>
            </w:pPr>
            <w:r>
              <w:br/>
            </w:r>
            <w:r>
              <w:br/>
              <w:t>112.50</w:t>
            </w:r>
          </w:p>
        </w:tc>
      </w:tr>
      <w:tr>
        <w:trPr>
          <w:cantSplit/>
        </w:trPr>
        <w:tc>
          <w:tcPr>
            <w:tcW w:w="567" w:type="dxa"/>
          </w:tcPr>
          <w:p>
            <w:pPr>
              <w:pStyle w:val="yTable"/>
            </w:pPr>
            <w:r>
              <w:t>7.</w:t>
            </w:r>
          </w:p>
        </w:tc>
        <w:tc>
          <w:tcPr>
            <w:tcW w:w="3119" w:type="dxa"/>
          </w:tcPr>
          <w:p>
            <w:pPr>
              <w:pStyle w:val="yTable"/>
            </w:pPr>
            <w:r>
              <w:t>Subject to item 8, 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50</w:t>
            </w:r>
          </w:p>
        </w:tc>
      </w:tr>
      <w:tr>
        <w:trPr>
          <w:cantSplit/>
        </w:trPr>
        <w:tc>
          <w:tcPr>
            <w:tcW w:w="567" w:type="dxa"/>
          </w:tcPr>
          <w:p>
            <w:pPr>
              <w:pStyle w:val="yTable"/>
            </w:pPr>
            <w:r>
              <w:t>8.</w:t>
            </w:r>
          </w:p>
        </w:tc>
        <w:tc>
          <w:tcPr>
            <w:tcW w:w="3119" w:type="dxa"/>
          </w:tcPr>
          <w:p>
            <w:pPr>
              <w:pStyle w:val="yTable"/>
            </w:pPr>
            <w:r>
              <w:t>Fee payable by the applicant to accompany an application for registration if the applicant’s qualification is not one prescribed in regulation 4.</w:t>
            </w:r>
          </w:p>
        </w:tc>
        <w:tc>
          <w:tcPr>
            <w:tcW w:w="1559" w:type="dxa"/>
          </w:tcPr>
          <w:p>
            <w:pPr>
              <w:pStyle w:val="yTable"/>
              <w:jc w:val="center"/>
            </w:pPr>
            <w:r>
              <w:br/>
            </w:r>
            <w:r>
              <w:br/>
            </w:r>
            <w:r>
              <w:br/>
            </w:r>
            <w:r>
              <w:br/>
              <w:t>s. 32(1)(c)</w:t>
            </w:r>
          </w:p>
        </w:tc>
        <w:tc>
          <w:tcPr>
            <w:tcW w:w="1276" w:type="dxa"/>
          </w:tcPr>
          <w:p>
            <w:pPr>
              <w:pStyle w:val="yTable"/>
              <w:jc w:val="center"/>
            </w:pPr>
            <w:r>
              <w:br/>
            </w:r>
            <w:r>
              <w:br/>
            </w:r>
            <w:r>
              <w:br/>
            </w:r>
            <w:r>
              <w:br/>
              <w:t>250</w:t>
            </w:r>
          </w:p>
        </w:tc>
      </w:tr>
      <w:tr>
        <w:trPr>
          <w:cantSplit/>
        </w:trPr>
        <w:tc>
          <w:tcPr>
            <w:tcW w:w="567" w:type="dxa"/>
          </w:tcPr>
          <w:p>
            <w:pPr>
              <w:pStyle w:val="yTable"/>
            </w:pPr>
            <w:r>
              <w:t>9.</w:t>
            </w:r>
          </w:p>
        </w:tc>
        <w:tc>
          <w:tcPr>
            <w:tcW w:w="3119" w:type="dxa"/>
          </w:tcPr>
          <w:p>
            <w:pPr>
              <w:pStyle w:val="yTable"/>
            </w:pPr>
            <w:r>
              <w:t>Fee payable by a podiatrist for renewal of registration of the podiatrist.</w:t>
            </w:r>
          </w:p>
        </w:tc>
        <w:tc>
          <w:tcPr>
            <w:tcW w:w="1559" w:type="dxa"/>
          </w:tcPr>
          <w:p>
            <w:pPr>
              <w:pStyle w:val="yTable"/>
              <w:jc w:val="center"/>
            </w:pPr>
            <w:r>
              <w:br/>
            </w:r>
            <w:r>
              <w:br/>
              <w:t>s. 35(1)</w:t>
            </w:r>
          </w:p>
        </w:tc>
        <w:tc>
          <w:tcPr>
            <w:tcW w:w="1276" w:type="dxa"/>
          </w:tcPr>
          <w:p>
            <w:pPr>
              <w:pStyle w:val="yTable"/>
              <w:jc w:val="center"/>
            </w:pPr>
            <w:r>
              <w:br/>
            </w:r>
            <w:r>
              <w:br/>
              <w:t>225</w:t>
            </w:r>
          </w:p>
        </w:tc>
      </w:tr>
      <w:tr>
        <w:trPr>
          <w:cantSplit/>
        </w:trPr>
        <w:tc>
          <w:tcPr>
            <w:tcW w:w="567" w:type="dxa"/>
          </w:tcPr>
          <w:p>
            <w:pPr>
              <w:pStyle w:val="yTable"/>
            </w:pPr>
            <w:r>
              <w:t>10.</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35(2)</w:t>
            </w:r>
          </w:p>
        </w:tc>
        <w:tc>
          <w:tcPr>
            <w:tcW w:w="1276" w:type="dxa"/>
          </w:tcPr>
          <w:p>
            <w:pPr>
              <w:pStyle w:val="yTable"/>
              <w:jc w:val="center"/>
            </w:pPr>
            <w:r>
              <w:br/>
            </w:r>
            <w:r>
              <w:br/>
            </w:r>
            <w:r>
              <w:br/>
              <w:t>50</w:t>
            </w:r>
          </w:p>
        </w:tc>
      </w:tr>
      <w:tr>
        <w:trPr>
          <w:cantSplit/>
        </w:trPr>
        <w:tc>
          <w:tcPr>
            <w:tcW w:w="567" w:type="dxa"/>
          </w:tcPr>
          <w:p>
            <w:pPr>
              <w:pStyle w:val="yTable"/>
            </w:pPr>
            <w:r>
              <w:t>11.</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20</w:t>
            </w:r>
          </w:p>
        </w:tc>
      </w:tr>
    </w:tbl>
    <w:p>
      <w:pPr>
        <w:pStyle w:val="yFootnotesection"/>
      </w:pPr>
      <w:r>
        <w:tab/>
        <w:t>[Schedule 1 amended in Gazette 1 Feb 2008 p. 263</w:t>
      </w:r>
      <w:r>
        <w:noBreakHyphen/>
        <w:t>4.]</w:t>
      </w:r>
    </w:p>
    <w:p>
      <w:pPr>
        <w:pStyle w:val="yScheduleHeading"/>
      </w:pPr>
      <w:bookmarkStart w:id="48" w:name="_Toc378254998"/>
      <w:bookmarkStart w:id="49" w:name="_Toc426976569"/>
      <w:bookmarkStart w:id="50" w:name="_Toc426976593"/>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48"/>
      <w:bookmarkEnd w:id="49"/>
      <w:bookmarkEnd w:id="50"/>
    </w:p>
    <w:p>
      <w:pPr>
        <w:pStyle w:val="yShoulderClause"/>
      </w:pPr>
      <w:r>
        <w:t>[r. 18]</w:t>
      </w:r>
    </w:p>
    <w:p>
      <w:pPr>
        <w:pStyle w:val="yFootnoteheading"/>
        <w:spacing w:after="120"/>
      </w:pPr>
      <w:r>
        <w:tab/>
        <w:t>[Heading inserted in Gazette 22 Dec 2009 p. 5268.]</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trPr>
          <w:tblHeader/>
        </w:trPr>
        <w:tc>
          <w:tcPr>
            <w:tcW w:w="851" w:type="dxa"/>
            <w:tcBorders>
              <w:top w:val="single" w:sz="4" w:space="0" w:color="auto"/>
              <w:bottom w:val="single" w:sz="4" w:space="0" w:color="auto"/>
            </w:tcBorders>
          </w:tcPr>
          <w:p>
            <w:pPr>
              <w:pStyle w:val="yTableNAm"/>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098" w:type="dxa"/>
            <w:tcBorders>
              <w:top w:val="single" w:sz="4" w:space="0" w:color="auto"/>
              <w:bottom w:val="single" w:sz="4" w:space="0" w:color="auto"/>
            </w:tcBorders>
          </w:tcPr>
          <w:p>
            <w:pPr>
              <w:pStyle w:val="yTableNAm"/>
              <w:jc w:val="center"/>
              <w:rPr>
                <w:b/>
                <w:bCs/>
              </w:rPr>
            </w:pPr>
            <w:r>
              <w:rPr>
                <w:b/>
                <w:bCs/>
              </w:rPr>
              <w:t>Fee</w:t>
            </w:r>
          </w:p>
          <w:p>
            <w:pPr>
              <w:pStyle w:val="yTableNAm"/>
              <w:jc w:val="center"/>
            </w:pPr>
            <w:r>
              <w:rPr>
                <w:b/>
                <w:bCs/>
              </w:rPr>
              <w:t>$</w:t>
            </w:r>
          </w:p>
        </w:tc>
      </w:tr>
      <w:tr>
        <w:tc>
          <w:tcPr>
            <w:tcW w:w="851" w:type="dxa"/>
            <w:tcBorders>
              <w:top w:val="single" w:sz="4" w:space="0" w:color="auto"/>
            </w:tcBorders>
          </w:tcPr>
          <w:p>
            <w:pPr>
              <w:pStyle w:val="yTableNAm"/>
            </w:pPr>
            <w:r>
              <w:t>1.</w:t>
            </w:r>
          </w:p>
        </w:tc>
        <w:tc>
          <w:tcPr>
            <w:tcW w:w="4536" w:type="dxa"/>
            <w:tcBorders>
              <w:top w:val="single" w:sz="4" w:space="0" w:color="auto"/>
            </w:tcBorders>
          </w:tcPr>
          <w:p>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pPr>
              <w:pStyle w:val="yTableNAm"/>
              <w:jc w:val="center"/>
            </w:pPr>
            <w:r>
              <w:br/>
            </w:r>
            <w:r>
              <w:br/>
            </w:r>
            <w:r>
              <w:br/>
              <w:t>50</w:t>
            </w:r>
          </w:p>
        </w:tc>
      </w:tr>
      <w:tr>
        <w:tc>
          <w:tcPr>
            <w:tcW w:w="851" w:type="dxa"/>
          </w:tcPr>
          <w:p>
            <w:pPr>
              <w:pStyle w:val="yTableNAm"/>
            </w:pPr>
            <w:r>
              <w:t>2.</w:t>
            </w:r>
          </w:p>
        </w:tc>
        <w:tc>
          <w:tcPr>
            <w:tcW w:w="4536"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pPr>
              <w:pStyle w:val="yTableNAm"/>
              <w:jc w:val="center"/>
            </w:pPr>
            <w:r>
              <w:br/>
            </w:r>
            <w:r>
              <w:br/>
            </w:r>
            <w:r>
              <w:br/>
            </w:r>
            <w:r>
              <w:br/>
              <w:t>225</w:t>
            </w:r>
          </w:p>
        </w:tc>
      </w:tr>
      <w:tr>
        <w:tc>
          <w:tcPr>
            <w:tcW w:w="851" w:type="dxa"/>
          </w:tcPr>
          <w:p>
            <w:pPr>
              <w:pStyle w:val="yTableNAm"/>
            </w:pPr>
            <w:r>
              <w:t>3.</w:t>
            </w:r>
          </w:p>
        </w:tc>
        <w:tc>
          <w:tcPr>
            <w:tcW w:w="4536" w:type="dxa"/>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pPr>
              <w:pStyle w:val="yTableNAm"/>
              <w:jc w:val="center"/>
            </w:pPr>
            <w:r>
              <w:br/>
            </w:r>
            <w:r>
              <w:br/>
            </w:r>
            <w:r>
              <w:br/>
            </w:r>
            <w:r>
              <w:br/>
              <w:t>112.50</w:t>
            </w:r>
          </w:p>
        </w:tc>
      </w:tr>
    </w:tbl>
    <w:p>
      <w:pPr>
        <w:pStyle w:val="yFootnotesection"/>
      </w:pPr>
      <w:r>
        <w:tab/>
        <w:t>[Schedule 2 inserted in Gazette 22 Dec 2009 p. 5268.]</w:t>
      </w:r>
    </w:p>
    <w:p>
      <w:pPr>
        <w:pStyle w:val="yScheduleHeading"/>
      </w:pPr>
      <w:bookmarkStart w:id="51" w:name="_Toc378254999"/>
      <w:bookmarkStart w:id="52" w:name="_Toc426976570"/>
      <w:bookmarkStart w:id="53" w:name="_Toc426976594"/>
      <w:r>
        <w:rPr>
          <w:rStyle w:val="CharSchNo"/>
        </w:rPr>
        <w:t>Schedule 3</w:t>
      </w:r>
      <w:r>
        <w:rPr>
          <w:rStyle w:val="CharSDivNo"/>
        </w:rPr>
        <w:t> </w:t>
      </w:r>
      <w:r>
        <w:t>—</w:t>
      </w:r>
      <w:r>
        <w:rPr>
          <w:rStyle w:val="CharSDivText"/>
        </w:rPr>
        <w:t> </w:t>
      </w:r>
      <w:r>
        <w:rPr>
          <w:rStyle w:val="CharSchText"/>
        </w:rPr>
        <w:t>Fee for examination</w:t>
      </w:r>
      <w:bookmarkEnd w:id="51"/>
      <w:bookmarkEnd w:id="52"/>
      <w:bookmarkEnd w:id="53"/>
    </w:p>
    <w:p>
      <w:pPr>
        <w:pStyle w:val="yShoulderClause"/>
      </w:pPr>
      <w:r>
        <w:t>[r. 5(3)]</w:t>
      </w:r>
    </w:p>
    <w:p>
      <w:pPr>
        <w:pStyle w:val="ySubsection"/>
        <w:ind w:left="0" w:firstLine="0"/>
      </w:pPr>
      <w:r>
        <w:t>The fee to sit a written examination is $250.</w:t>
      </w:r>
    </w:p>
    <w:p>
      <w:pPr>
        <w:pStyle w:val="ySubsection"/>
        <w:ind w:left="0" w:firstLine="0"/>
      </w:pPr>
      <w:r>
        <w:t>The fee to sit an oral examination is $250.</w:t>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r>
        <w:t>Notes</w:t>
      </w:r>
      <w:bookmarkEnd w:id="45"/>
      <w:bookmarkEnd w:id="46"/>
      <w:bookmarkEnd w:id="47"/>
    </w:p>
    <w:p>
      <w:pPr>
        <w:pStyle w:val="nSubsection"/>
        <w:rPr>
          <w:snapToGrid w:val="0"/>
        </w:rPr>
      </w:pPr>
      <w:r>
        <w:rPr>
          <w:snapToGrid w:val="0"/>
          <w:vertAlign w:val="superscript"/>
        </w:rPr>
        <w:t>1</w:t>
      </w:r>
      <w:r>
        <w:rPr>
          <w:snapToGrid w:val="0"/>
        </w:rPr>
        <w:tab/>
        <w:t xml:space="preserve">This is a compilation of the </w:t>
      </w:r>
      <w:r>
        <w:rPr>
          <w:i/>
        </w:rPr>
        <w:t>Podiatrists Regulations 2006</w:t>
      </w:r>
      <w:r>
        <w:rPr>
          <w:snapToGrid w:val="0"/>
        </w:rPr>
        <w:t xml:space="preserve"> and includes the amendments made by the other written laws referred to in the following table.</w:t>
      </w:r>
    </w:p>
    <w:p>
      <w:pPr>
        <w:pStyle w:val="nHeading3"/>
      </w:pPr>
      <w:bookmarkStart w:id="55" w:name="_Toc378255001"/>
      <w:bookmarkStart w:id="56" w:name="_Toc426976596"/>
      <w:r>
        <w:t>Compilation table</w:t>
      </w:r>
      <w:bookmarkEnd w:id="55"/>
      <w:bookmarkEnd w:id="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30"/>
        <w:gridCol w:w="1246"/>
        <w:gridCol w:w="2694"/>
      </w:tblGrid>
      <w:tr>
        <w:trPr>
          <w:tblHeader/>
        </w:trPr>
        <w:tc>
          <w:tcPr>
            <w:tcW w:w="3148" w:type="dxa"/>
            <w:gridSpan w:val="2"/>
          </w:tcPr>
          <w:p>
            <w:pPr>
              <w:pStyle w:val="nTable"/>
              <w:spacing w:after="40"/>
              <w:rPr>
                <w:b/>
              </w:rPr>
            </w:pPr>
            <w:r>
              <w:rPr>
                <w:b/>
              </w:rPr>
              <w:t>Citation</w:t>
            </w:r>
          </w:p>
        </w:tc>
        <w:tc>
          <w:tcPr>
            <w:tcW w:w="1246" w:type="dxa"/>
          </w:tcPr>
          <w:p>
            <w:pPr>
              <w:pStyle w:val="nTable"/>
              <w:spacing w:after="40"/>
              <w:rPr>
                <w:b/>
              </w:rPr>
            </w:pPr>
            <w:r>
              <w:rPr>
                <w:b/>
              </w:rPr>
              <w:t>Gazettal</w:t>
            </w:r>
          </w:p>
        </w:tc>
        <w:tc>
          <w:tcPr>
            <w:tcW w:w="2694" w:type="dxa"/>
          </w:tcPr>
          <w:p>
            <w:pPr>
              <w:pStyle w:val="nTable"/>
              <w:spacing w:after="40"/>
              <w:rPr>
                <w:b/>
              </w:rPr>
            </w:pPr>
            <w:r>
              <w:rPr>
                <w:b/>
              </w:rPr>
              <w:t>Commencement</w:t>
            </w:r>
          </w:p>
        </w:tc>
      </w:tr>
      <w:tr>
        <w:tc>
          <w:tcPr>
            <w:tcW w:w="3148" w:type="dxa"/>
            <w:gridSpan w:val="2"/>
            <w:tcBorders>
              <w:bottom w:val="nil"/>
            </w:tcBorders>
          </w:tcPr>
          <w:p>
            <w:pPr>
              <w:pStyle w:val="nTable"/>
              <w:spacing w:after="40"/>
              <w:rPr>
                <w:iCs/>
              </w:rPr>
            </w:pPr>
            <w:r>
              <w:rPr>
                <w:i/>
              </w:rPr>
              <w:t>Podiatrists Regulations 2006</w:t>
            </w:r>
            <w:r>
              <w:rPr>
                <w:iCs/>
              </w:rPr>
              <w:t xml:space="preserve"> </w:t>
            </w:r>
          </w:p>
        </w:tc>
        <w:tc>
          <w:tcPr>
            <w:tcW w:w="1246" w:type="dxa"/>
            <w:tcBorders>
              <w:bottom w:val="nil"/>
            </w:tcBorders>
          </w:tcPr>
          <w:p>
            <w:pPr>
              <w:pStyle w:val="nTable"/>
              <w:spacing w:after="40"/>
            </w:pPr>
            <w:r>
              <w:t>13 Dec 2006 p. 5585-98</w:t>
            </w:r>
          </w:p>
        </w:tc>
        <w:tc>
          <w:tcPr>
            <w:tcW w:w="2694" w:type="dxa"/>
            <w:tcBorders>
              <w:bottom w:val="nil"/>
            </w:tcBorders>
          </w:tcPr>
          <w:p>
            <w:pPr>
              <w:pStyle w:val="nTable"/>
              <w:spacing w:after="40"/>
            </w:pPr>
            <w:r>
              <w:rPr>
                <w:iCs/>
              </w:rPr>
              <w:t xml:space="preserve">r. 1-2: </w:t>
            </w:r>
            <w:r>
              <w:t>13 Dec 2006;</w:t>
            </w:r>
            <w:r>
              <w:br/>
              <w:t xml:space="preserve">Regulations other than r. 1 and 2: 30 May 2007 (see r. 2 and </w:t>
            </w:r>
            <w:r>
              <w:rPr>
                <w:i/>
                <w:iCs/>
              </w:rPr>
              <w:t>Gazette</w:t>
            </w:r>
            <w:r>
              <w:t xml:space="preserve"> 29 May 2007 p. 2486)</w:t>
            </w:r>
          </w:p>
        </w:tc>
      </w:tr>
      <w:tr>
        <w:tc>
          <w:tcPr>
            <w:tcW w:w="3148" w:type="dxa"/>
            <w:gridSpan w:val="2"/>
            <w:tcBorders>
              <w:top w:val="nil"/>
              <w:bottom w:val="nil"/>
            </w:tcBorders>
          </w:tcPr>
          <w:p>
            <w:pPr>
              <w:pStyle w:val="nTable"/>
              <w:spacing w:after="40"/>
              <w:rPr>
                <w:i/>
              </w:rPr>
            </w:pPr>
            <w:r>
              <w:rPr>
                <w:i/>
              </w:rPr>
              <w:t>Podiatrists Amendment Regulations 2008</w:t>
            </w:r>
          </w:p>
        </w:tc>
        <w:tc>
          <w:tcPr>
            <w:tcW w:w="1246" w:type="dxa"/>
            <w:tcBorders>
              <w:top w:val="nil"/>
              <w:bottom w:val="nil"/>
            </w:tcBorders>
          </w:tcPr>
          <w:p>
            <w:pPr>
              <w:pStyle w:val="nTable"/>
              <w:spacing w:after="40"/>
            </w:pPr>
            <w:r>
              <w:t>1 Feb 2008 p. 263</w:t>
            </w:r>
            <w:r>
              <w:noBreakHyphen/>
              <w:t>4</w:t>
            </w:r>
          </w:p>
        </w:tc>
        <w:tc>
          <w:tcPr>
            <w:tcW w:w="2694" w:type="dxa"/>
            <w:tcBorders>
              <w:top w:val="nil"/>
              <w:bottom w:val="nil"/>
            </w:tcBorders>
          </w:tcPr>
          <w:p>
            <w:pPr>
              <w:pStyle w:val="nTable"/>
              <w:spacing w:after="40"/>
              <w:rPr>
                <w:iCs/>
              </w:rPr>
            </w:pPr>
            <w:r>
              <w:rPr>
                <w:iCs/>
                <w:snapToGrid w:val="0"/>
              </w:rPr>
              <w:t>r. 1 and 2: 1 Feb 2008 (see r. 2(a));</w:t>
            </w:r>
            <w:r>
              <w:rPr>
                <w:iCs/>
                <w:snapToGrid w:val="0"/>
              </w:rPr>
              <w:br/>
              <w:t>Regulations other than r. 1 and 2: 2 Feb 2008 (see r. 2(b))</w:t>
            </w:r>
          </w:p>
        </w:tc>
      </w:tr>
      <w:tr>
        <w:tc>
          <w:tcPr>
            <w:tcW w:w="3148" w:type="dxa"/>
            <w:gridSpan w:val="2"/>
            <w:tcBorders>
              <w:top w:val="nil"/>
              <w:bottom w:val="nil"/>
            </w:tcBorders>
          </w:tcPr>
          <w:p>
            <w:pPr>
              <w:pStyle w:val="nTable"/>
              <w:spacing w:after="40"/>
              <w:rPr>
                <w:i/>
              </w:rPr>
            </w:pPr>
            <w:r>
              <w:rPr>
                <w:i/>
              </w:rPr>
              <w:t>Podiatrists Amendment Regulations 2009</w:t>
            </w:r>
          </w:p>
        </w:tc>
        <w:tc>
          <w:tcPr>
            <w:tcW w:w="1246" w:type="dxa"/>
            <w:tcBorders>
              <w:top w:val="nil"/>
              <w:bottom w:val="nil"/>
            </w:tcBorders>
          </w:tcPr>
          <w:p>
            <w:pPr>
              <w:pStyle w:val="nTable"/>
              <w:spacing w:after="40"/>
            </w:pPr>
            <w:r>
              <w:t>1 May 2009 p. 1435-6</w:t>
            </w:r>
          </w:p>
        </w:tc>
        <w:tc>
          <w:tcPr>
            <w:tcW w:w="2694" w:type="dxa"/>
            <w:tcBorders>
              <w:top w:val="nil"/>
              <w:bottom w:val="nil"/>
            </w:tcBorders>
          </w:tcPr>
          <w:p>
            <w:pPr>
              <w:pStyle w:val="nTable"/>
              <w:spacing w:after="40"/>
              <w:rPr>
                <w:iCs/>
                <w:snapToGrid w:val="0"/>
              </w:rPr>
            </w:pPr>
            <w:r>
              <w:rPr>
                <w:iCs/>
                <w:snapToGrid w:val="0"/>
                <w:spacing w:val="-2"/>
              </w:rPr>
              <w:t>r. 1 and 2: 1 May 2009 (see r. 2(a));</w:t>
            </w:r>
            <w:r>
              <w:rPr>
                <w:iCs/>
                <w:snapToGrid w:val="0"/>
                <w:spacing w:val="-2"/>
              </w:rPr>
              <w:br/>
              <w:t>Regulations other than r. 1 and 2: 2 May 2009 (see r. 2(b))</w:t>
            </w:r>
          </w:p>
        </w:tc>
      </w:tr>
      <w:tr>
        <w:tc>
          <w:tcPr>
            <w:tcW w:w="3118" w:type="dxa"/>
            <w:tcBorders>
              <w:top w:val="nil"/>
              <w:bottom w:val="nil"/>
            </w:tcBorders>
          </w:tcPr>
          <w:p>
            <w:pPr>
              <w:pStyle w:val="nTable"/>
              <w:spacing w:after="40"/>
              <w:rPr>
                <w:i/>
                <w:noProof/>
                <w:snapToGrid w:val="0"/>
              </w:rPr>
            </w:pPr>
            <w:r>
              <w:rPr>
                <w:i/>
              </w:rPr>
              <w:t>Podiatrists Amendment Regulations (No. 2) 2009</w:t>
            </w:r>
          </w:p>
        </w:tc>
        <w:tc>
          <w:tcPr>
            <w:tcW w:w="1276" w:type="dxa"/>
            <w:gridSpan w:val="2"/>
            <w:tcBorders>
              <w:top w:val="nil"/>
              <w:bottom w:val="nil"/>
            </w:tcBorders>
          </w:tcPr>
          <w:p>
            <w:pPr>
              <w:pStyle w:val="nTable"/>
              <w:spacing w:after="40"/>
            </w:pPr>
            <w:r>
              <w:t>22 Dec 2009 p. 5267-8</w:t>
            </w:r>
          </w:p>
        </w:tc>
        <w:tc>
          <w:tcPr>
            <w:tcW w:w="2694" w:type="dxa"/>
            <w:tcBorders>
              <w:top w:val="nil"/>
              <w:bottom w:val="nil"/>
            </w:tcBorders>
          </w:tcPr>
          <w:p>
            <w:pPr>
              <w:pStyle w:val="nTable"/>
              <w:spacing w:after="40"/>
            </w:pPr>
            <w:r>
              <w:rPr>
                <w:snapToGrid w:val="0"/>
                <w:spacing w:val="-2"/>
              </w:rPr>
              <w:t>r. 1 and 2: 22 Dec 2009 (see r. 2(a));</w:t>
            </w:r>
            <w:r>
              <w:rPr>
                <w:snapToGrid w:val="0"/>
                <w:spacing w:val="-2"/>
              </w:rPr>
              <w:br/>
              <w:t>Regulations other than r. 1 and 2: 23 Dec 2009 (see r. 2(b))</w:t>
            </w:r>
          </w:p>
        </w:tc>
      </w:tr>
      <w:tr>
        <w:tblPrEx>
          <w:tblBorders>
            <w:bottom w:val="single" w:sz="8" w:space="0" w:color="auto"/>
          </w:tblBorders>
          <w:tblCellMar>
            <w:left w:w="57" w:type="dxa"/>
            <w:right w:w="57" w:type="dxa"/>
          </w:tblCellMar>
        </w:tblPrEx>
        <w:trPr>
          <w:cantSplit/>
        </w:trPr>
        <w:tc>
          <w:tcPr>
            <w:tcW w:w="7088" w:type="dxa"/>
            <w:gridSpan w:val="4"/>
            <w:tcBorders>
              <w:top w:val="nil"/>
              <w:bottom w:val="single" w:sz="4" w:space="0" w:color="auto"/>
            </w:tcBorders>
          </w:tcPr>
          <w:p>
            <w:pPr>
              <w:pStyle w:val="nTable"/>
              <w:spacing w:after="40"/>
              <w:rPr>
                <w:b/>
                <w:bCs/>
                <w:snapToGrid w:val="0"/>
                <w:color w:val="FF0000"/>
              </w:rPr>
            </w:pPr>
            <w:r>
              <w:rPr>
                <w:b/>
                <w:bCs/>
                <w:snapToGrid w:val="0"/>
                <w:color w:val="FF0000"/>
              </w:rPr>
              <w:t xml:space="preserve">These regulations were repealed by the </w:t>
            </w:r>
            <w:r>
              <w:rPr>
                <w:b/>
                <w:bCs/>
                <w:i/>
                <w:iCs/>
                <w:snapToGrid w:val="0"/>
                <w:color w:val="FF0000"/>
              </w:rPr>
              <w:t>Health Practitioner Regulation National Law (WA) Act 2010</w:t>
            </w:r>
            <w:r>
              <w:rPr>
                <w:b/>
                <w:bCs/>
                <w:snapToGrid w:val="0"/>
                <w:color w:val="FF0000"/>
              </w:rPr>
              <w:t xml:space="preserve"> s. 15(2)(m) (No. 35 of 2010) as at 18 Oct 2010 (see s. 2(b) and </w:t>
            </w:r>
            <w:r>
              <w:rPr>
                <w:b/>
                <w:bCs/>
                <w:i/>
                <w:iCs/>
                <w:snapToGrid w:val="0"/>
                <w:color w:val="FF0000"/>
              </w:rPr>
              <w:t>Gazette</w:t>
            </w:r>
            <w:r>
              <w:rPr>
                <w:b/>
                <w:bCs/>
                <w:snapToGrid w:val="0"/>
                <w:color w:val="FF0000"/>
              </w:rPr>
              <w:t xml:space="preserve"> 1 Oct 2010 p. 5075-6)</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Podiatrists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Podiatrists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Podiatrists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Podiatrists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Podiatrists Regulations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Podiatrists Regulations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bl>
  <w:p>
    <w:pPr>
      <w:pStyle w:val="Header"/>
      <w:pBdr>
        <w:top w:val="single" w:sz="4" w:space="1" w:color="auto"/>
      </w:pBdr>
    </w:pPr>
    <w:bookmarkStart w:id="54" w:name="Schedule"/>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Podiatrists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Podiatrists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AE2F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8C34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9E52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E8CCABC"/>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2C43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B42D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DEEAD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D8A38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F84AC9A"/>
    <w:lvl w:ilvl="0">
      <w:start w:val="1"/>
      <w:numFmt w:val="decimal"/>
      <w:pStyle w:val="ListNumber"/>
      <w:lvlText w:val="%1."/>
      <w:lvlJc w:val="left"/>
      <w:pPr>
        <w:tabs>
          <w:tab w:val="num" w:pos="360"/>
        </w:tabs>
        <w:ind w:left="360" w:hanging="360"/>
      </w:pPr>
    </w:lvl>
  </w:abstractNum>
  <w:abstractNum w:abstractNumId="9">
    <w:nsid w:val="FFFFFF89"/>
    <w:multiLevelType w:val="singleLevel"/>
    <w:tmpl w:val="70E8D1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A482E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700"/>
    <w:docVar w:name="WAFER_20140123145227" w:val="RemoveTocBookmarks,RemoveUnusedBookmarks,RemoveLanguageTags,UsedStyles,ResetPageSize,UpdateArrangement"/>
    <w:docVar w:name="WAFER_20140123145227_GUID" w:val="7444f823-fcbf-4b5b-b89d-c18473af798c"/>
    <w:docVar w:name="WAFER_20140123152753" w:val="RemoveTocBookmarks,RunningHeaders"/>
    <w:docVar w:name="WAFER_20140123152753_GUID" w:val="68af2e6f-4a9c-4770-af31-311c4a00986a"/>
    <w:docVar w:name="WAFER_20150810110842" w:val="ResetPageSize,UpdateArrangement,UpdateNTable"/>
    <w:docVar w:name="WAFER_20150810110842_GUID" w:val="6868d72d-638d-4942-9952-56f66b64cc37"/>
    <w:docVar w:name="WAFER_20151117132700" w:val="UpdateStyles,UsedStyles"/>
    <w:docVar w:name="WAFER_20151117132700_GUID" w:val="1ed364c0-bb99-4071-baa2-84e422a0b8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2203</Words>
  <Characters>11197</Characters>
  <Application>Microsoft Office Word</Application>
  <DocSecurity>0</DocSecurity>
  <Lines>508</Lines>
  <Paragraphs>273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for registration under Mutual Recognition (Western Australia) </vt:lpstr>
      <vt:lpstr>    Schedule 3 — Fee for examination</vt:lpstr>
      <vt:lpstr>    Notes</vt:lpstr>
    </vt:vector>
  </TitlesOfParts>
  <Manager/>
  <Company/>
  <LinksUpToDate>false</LinksUpToDate>
  <CharactersWithSpaces>13127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Regulations 2006 - 00-h0-05</dc:title>
  <dc:subject/>
  <dc:creator/>
  <cp:keywords/>
  <dc:description/>
  <cp:lastModifiedBy>svcMRProcess</cp:lastModifiedBy>
  <cp:revision>4</cp:revision>
  <cp:lastPrinted>2006-11-09T00:16:00Z</cp:lastPrinted>
  <dcterms:created xsi:type="dcterms:W3CDTF">2017-02-17T05:53:00Z</dcterms:created>
  <dcterms:modified xsi:type="dcterms:W3CDTF">2017-02-17T05:53:00Z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5585-98</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39148</vt:i4>
  </property>
  <property fmtid="{D5CDD505-2E9C-101B-9397-08002B2CF9AE}" pid="6" name="AsAtDate">
    <vt:lpwstr>18 Oct 2010</vt:lpwstr>
  </property>
  <property fmtid="{D5CDD505-2E9C-101B-9397-08002B2CF9AE}" pid="7" name="Suffix">
    <vt:lpwstr>00-h0-05</vt:lpwstr>
  </property>
  <property fmtid="{D5CDD505-2E9C-101B-9397-08002B2CF9AE}" pid="8" name="Status">
    <vt:lpwstr>NIF</vt:lpwstr>
  </property>
</Properties>
</file>