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Psychologists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Psychologists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15(2)(n)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Psychologists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_Toc426978890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_Toc426978891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_Toc426978892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requirement under section 26(2)(e) for registration</w:t>
      </w:r>
      <w:r>
        <w:tab/>
      </w:r>
      <w:r>
        <w:fldChar w:fldCharType="begin"/>
      </w:r>
      <w:r>
        <w:instrText xml:space="preserve"> PAGEREF _Toc426978893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qualifications under section 26(2)(f) for registration</w:t>
      </w:r>
      <w:r>
        <w:tab/>
      </w:r>
      <w:r>
        <w:fldChar w:fldCharType="begin"/>
      </w:r>
      <w:r>
        <w:instrText xml:space="preserve"> PAGEREF _Toc426978894 \h </w:instrText>
      </w:r>
      <w:r>
        <w:fldChar w:fldCharType="separate"/>
      </w:r>
      <w:r>
        <w:t>2</w:t>
      </w:r>
      <w:r>
        <w:fldChar w:fldCharType="end"/>
      </w:r>
    </w:p>
    <w:p>
      <w:pPr>
        <w:pStyle w:val="TOC8"/>
        <w:rPr>
          <w:rFonts w:asciiTheme="minorHAnsi" w:eastAsiaTheme="minorEastAsia" w:hAnsiTheme="minorHAnsi" w:cstheme="minorBidi"/>
          <w:szCs w:val="22"/>
        </w:rPr>
      </w:pPr>
      <w:r>
        <w:t>6.</w:t>
      </w:r>
      <w:r>
        <w:tab/>
        <w:t>Examinations</w:t>
      </w:r>
      <w:r>
        <w:tab/>
      </w:r>
      <w:r>
        <w:fldChar w:fldCharType="begin"/>
      </w:r>
      <w:r>
        <w:instrText xml:space="preserve"> PAGEREF _Toc426978895 \h </w:instrText>
      </w:r>
      <w:r>
        <w:fldChar w:fldCharType="separate"/>
      </w:r>
      <w:r>
        <w:t>2</w:t>
      </w:r>
      <w:r>
        <w:fldChar w:fldCharType="end"/>
      </w:r>
    </w:p>
    <w:p>
      <w:pPr>
        <w:pStyle w:val="TOC8"/>
        <w:rPr>
          <w:rFonts w:asciiTheme="minorHAnsi" w:eastAsiaTheme="minorEastAsia" w:hAnsiTheme="minorHAnsi" w:cstheme="minorBidi"/>
          <w:szCs w:val="22"/>
        </w:rPr>
      </w:pPr>
      <w:r>
        <w:t>7.</w:t>
      </w:r>
      <w:r>
        <w:tab/>
        <w:t>Specialties prescribed</w:t>
      </w:r>
      <w:r>
        <w:tab/>
      </w:r>
      <w:r>
        <w:fldChar w:fldCharType="begin"/>
      </w:r>
      <w:r>
        <w:instrText xml:space="preserve"> PAGEREF _Toc426978896 \h </w:instrText>
      </w:r>
      <w:r>
        <w:fldChar w:fldCharType="separate"/>
      </w:r>
      <w:r>
        <w:t>3</w:t>
      </w:r>
      <w:r>
        <w:fldChar w:fldCharType="end"/>
      </w:r>
    </w:p>
    <w:p>
      <w:pPr>
        <w:pStyle w:val="TOC8"/>
        <w:rPr>
          <w:rFonts w:asciiTheme="minorHAnsi" w:eastAsiaTheme="minorEastAsia" w:hAnsiTheme="minorHAnsi" w:cstheme="minorBidi"/>
          <w:szCs w:val="22"/>
        </w:rPr>
      </w:pPr>
      <w:r>
        <w:t>8.</w:t>
      </w:r>
      <w:r>
        <w:tab/>
        <w:t>Requirements for specialty</w:t>
      </w:r>
      <w:r>
        <w:tab/>
      </w:r>
      <w:r>
        <w:fldChar w:fldCharType="begin"/>
      </w:r>
      <w:r>
        <w:instrText xml:space="preserve"> PAGEREF _Toc426978897 \h </w:instrText>
      </w:r>
      <w:r>
        <w:fldChar w:fldCharType="separate"/>
      </w:r>
      <w:r>
        <w:t>3</w:t>
      </w:r>
      <w:r>
        <w:fldChar w:fldCharType="end"/>
      </w:r>
    </w:p>
    <w:p>
      <w:pPr>
        <w:pStyle w:val="TOC8"/>
        <w:rPr>
          <w:rFonts w:asciiTheme="minorHAnsi" w:eastAsiaTheme="minorEastAsia" w:hAnsiTheme="minorHAnsi" w:cstheme="minorBidi"/>
          <w:szCs w:val="22"/>
        </w:rPr>
      </w:pPr>
      <w:r>
        <w:t>9.</w:t>
      </w:r>
      <w:r>
        <w:tab/>
        <w:t>Titles under which a specialty may be practised</w:t>
      </w:r>
      <w:r>
        <w:tab/>
      </w:r>
      <w:r>
        <w:fldChar w:fldCharType="begin"/>
      </w:r>
      <w:r>
        <w:instrText xml:space="preserve"> PAGEREF _Toc426978898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period for registration and renewal of registration under section 33</w:t>
      </w:r>
      <w:r>
        <w:tab/>
      </w:r>
      <w:r>
        <w:fldChar w:fldCharType="begin"/>
      </w:r>
      <w:r>
        <w:instrText xml:space="preserve"> PAGEREF _Toc426978899 \h </w:instrText>
      </w:r>
      <w:r>
        <w:fldChar w:fldCharType="separate"/>
      </w:r>
      <w:r>
        <w:t>4</w:t>
      </w:r>
      <w:r>
        <w:fldChar w:fldCharType="end"/>
      </w:r>
    </w:p>
    <w:p>
      <w:pPr>
        <w:pStyle w:val="TOC8"/>
        <w:rPr>
          <w:rFonts w:asciiTheme="minorHAnsi" w:eastAsiaTheme="minorEastAsia" w:hAnsiTheme="minorHAnsi" w:cstheme="minorBidi"/>
          <w:szCs w:val="22"/>
        </w:rPr>
      </w:pPr>
      <w:r>
        <w:t>11.</w:t>
      </w:r>
      <w:r>
        <w:tab/>
        <w:t>Day on which fee falls due under section 34(1)</w:t>
      </w:r>
      <w:r>
        <w:tab/>
      </w:r>
      <w:r>
        <w:fldChar w:fldCharType="begin"/>
      </w:r>
      <w:r>
        <w:instrText xml:space="preserve"> PAGEREF _Toc426978900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information under section 36(g)</w:t>
      </w:r>
      <w:r>
        <w:tab/>
      </w:r>
      <w:r>
        <w:fldChar w:fldCharType="begin"/>
      </w:r>
      <w:r>
        <w:instrText xml:space="preserve"> PAGEREF _Toc426978901 \h </w:instrText>
      </w:r>
      <w:r>
        <w:fldChar w:fldCharType="separate"/>
      </w:r>
      <w:r>
        <w:t>5</w:t>
      </w:r>
      <w:r>
        <w:fldChar w:fldCharType="end"/>
      </w:r>
    </w:p>
    <w:p>
      <w:pPr>
        <w:pStyle w:val="TOC8"/>
        <w:rPr>
          <w:rFonts w:asciiTheme="minorHAnsi" w:eastAsiaTheme="minorEastAsia" w:hAnsiTheme="minorHAnsi" w:cstheme="minorBidi"/>
          <w:szCs w:val="22"/>
        </w:rPr>
      </w:pPr>
      <w:r>
        <w:t>13.</w:t>
      </w:r>
      <w:r>
        <w:tab/>
        <w:t>Amendment of particulars</w:t>
      </w:r>
      <w:r>
        <w:tab/>
      </w:r>
      <w:r>
        <w:fldChar w:fldCharType="begin"/>
      </w:r>
      <w:r>
        <w:instrText xml:space="preserve"> PAGEREF _Toc426978902 \h </w:instrText>
      </w:r>
      <w:r>
        <w:fldChar w:fldCharType="separate"/>
      </w:r>
      <w:r>
        <w:t>5</w:t>
      </w:r>
      <w:r>
        <w:fldChar w:fldCharType="end"/>
      </w:r>
    </w:p>
    <w:p>
      <w:pPr>
        <w:pStyle w:val="TOC8"/>
        <w:rPr>
          <w:rFonts w:asciiTheme="minorHAnsi" w:eastAsiaTheme="minorEastAsia" w:hAnsiTheme="minorHAnsi" w:cstheme="minorBidi"/>
          <w:szCs w:val="22"/>
        </w:rPr>
      </w:pPr>
      <w:r>
        <w:t>14.</w:t>
      </w:r>
      <w:r>
        <w:tab/>
        <w:t>Change of name</w:t>
      </w:r>
      <w:r>
        <w:tab/>
      </w:r>
      <w:r>
        <w:fldChar w:fldCharType="begin"/>
      </w:r>
      <w:r>
        <w:instrText xml:space="preserve"> PAGEREF _Toc426978903 \h </w:instrText>
      </w:r>
      <w:r>
        <w:fldChar w:fldCharType="separate"/>
      </w:r>
      <w:r>
        <w:t>5</w:t>
      </w:r>
      <w:r>
        <w:fldChar w:fldCharType="end"/>
      </w:r>
    </w:p>
    <w:p>
      <w:pPr>
        <w:pStyle w:val="TOC8"/>
        <w:rPr>
          <w:rFonts w:asciiTheme="minorHAnsi" w:eastAsiaTheme="minorEastAsia" w:hAnsiTheme="minorHAnsi" w:cstheme="minorBidi"/>
          <w:szCs w:val="22"/>
        </w:rPr>
      </w:pPr>
      <w:r>
        <w:t>15.</w:t>
      </w:r>
      <w:r>
        <w:tab/>
        <w:t>Complaints to the complaints assessment committee</w:t>
      </w:r>
      <w:r>
        <w:tab/>
      </w:r>
      <w:r>
        <w:fldChar w:fldCharType="begin"/>
      </w:r>
      <w:r>
        <w:instrText xml:space="preserve"> PAGEREF _Toc426978904 \h </w:instrText>
      </w:r>
      <w:r>
        <w:fldChar w:fldCharType="separate"/>
      </w:r>
      <w:r>
        <w:t>6</w:t>
      </w:r>
      <w:r>
        <w:fldChar w:fldCharType="end"/>
      </w:r>
    </w:p>
    <w:p>
      <w:pPr>
        <w:pStyle w:val="TOC8"/>
        <w:rPr>
          <w:rFonts w:asciiTheme="minorHAnsi" w:eastAsiaTheme="minorEastAsia" w:hAnsiTheme="minorHAnsi" w:cstheme="minorBidi"/>
          <w:szCs w:val="22"/>
        </w:rPr>
      </w:pPr>
      <w:r>
        <w:t>16.</w:t>
      </w:r>
      <w:r>
        <w:tab/>
        <w:t>Appointment of a conciliator</w:t>
      </w:r>
      <w:r>
        <w:tab/>
      </w:r>
      <w:r>
        <w:fldChar w:fldCharType="begin"/>
      </w:r>
      <w:r>
        <w:instrText xml:space="preserve"> PAGEREF _Toc426978905 \h </w:instrText>
      </w:r>
      <w:r>
        <w:fldChar w:fldCharType="separate"/>
      </w:r>
      <w:r>
        <w:t>6</w:t>
      </w:r>
      <w:r>
        <w:fldChar w:fldCharType="end"/>
      </w:r>
    </w:p>
    <w:p>
      <w:pPr>
        <w:pStyle w:val="TOC8"/>
        <w:rPr>
          <w:rFonts w:asciiTheme="minorHAnsi" w:eastAsiaTheme="minorEastAsia" w:hAnsiTheme="minorHAnsi" w:cstheme="minorBidi"/>
          <w:szCs w:val="22"/>
        </w:rPr>
      </w:pPr>
      <w:r>
        <w:t>17.</w:t>
      </w:r>
      <w:r>
        <w:tab/>
        <w:t>Advertising</w:t>
      </w:r>
      <w:r>
        <w:tab/>
      </w:r>
      <w:r>
        <w:fldChar w:fldCharType="begin"/>
      </w:r>
      <w:r>
        <w:instrText xml:space="preserve"> PAGEREF _Toc426978906 \h </w:instrText>
      </w:r>
      <w:r>
        <w:fldChar w:fldCharType="separate"/>
      </w:r>
      <w:r>
        <w:t>6</w:t>
      </w:r>
      <w:r>
        <w:fldChar w:fldCharType="end"/>
      </w:r>
    </w:p>
    <w:p>
      <w:pPr>
        <w:pStyle w:val="TOC8"/>
        <w:rPr>
          <w:rFonts w:asciiTheme="minorHAnsi" w:eastAsiaTheme="minorEastAsia" w:hAnsiTheme="minorHAnsi" w:cstheme="minorBidi"/>
          <w:szCs w:val="22"/>
        </w:rPr>
      </w:pPr>
      <w:r>
        <w:t>18.</w:t>
      </w:r>
      <w:r>
        <w:tab/>
        <w:t>Fees</w:t>
      </w:r>
      <w:r>
        <w:tab/>
      </w:r>
      <w:r>
        <w:fldChar w:fldCharType="begin"/>
      </w:r>
      <w:r>
        <w:instrText xml:space="preserve"> PAGEREF _Toc426978907 \h </w:instrText>
      </w:r>
      <w:r>
        <w:fldChar w:fldCharType="separate"/>
      </w:r>
      <w:r>
        <w:t>7</w:t>
      </w:r>
      <w:r>
        <w:fldChar w:fldCharType="end"/>
      </w:r>
    </w:p>
    <w:p>
      <w:pPr>
        <w:pStyle w:val="TOC8"/>
        <w:rPr>
          <w:rFonts w:asciiTheme="minorHAnsi" w:eastAsiaTheme="minorEastAsia" w:hAnsiTheme="minorHAnsi" w:cstheme="minorBidi"/>
          <w:szCs w:val="22"/>
        </w:rPr>
      </w:pPr>
      <w:r>
        <w:t>19.</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r>
        <w:tab/>
      </w:r>
      <w:r>
        <w:fldChar w:fldCharType="begin"/>
      </w:r>
      <w:r>
        <w:instrText xml:space="preserve"> PAGEREF _Toc426978908 \h </w:instrText>
      </w:r>
      <w:r>
        <w:fldChar w:fldCharType="separate"/>
      </w:r>
      <w:r>
        <w:t>7</w:t>
      </w:r>
      <w:r>
        <w:fldChar w:fldCharType="end"/>
      </w:r>
    </w:p>
    <w:p>
      <w:pPr>
        <w:pStyle w:val="TOC8"/>
        <w:rPr>
          <w:rFonts w:asciiTheme="minorHAnsi" w:eastAsiaTheme="minorEastAsia" w:hAnsiTheme="minorHAnsi" w:cstheme="minorBidi"/>
          <w:szCs w:val="22"/>
        </w:rPr>
      </w:pPr>
      <w:r>
        <w:lastRenderedPageBreak/>
        <w:t>20.</w:t>
      </w:r>
      <w:r>
        <w:tab/>
        <w:t>Reduction, waiver or refund of fees</w:t>
      </w:r>
      <w:r>
        <w:tab/>
      </w:r>
      <w:r>
        <w:fldChar w:fldCharType="begin"/>
      </w:r>
      <w:r>
        <w:instrText xml:space="preserve"> PAGEREF _Toc426978909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Mutual Recognition (Western Australia) Act 2001</w:t>
      </w:r>
      <w:r>
        <w:t xml:space="preserve"> 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Schedule 3 — Fee for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_Toc426978914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2010</w:t>
            </w:r>
          </w:p>
        </w:tc>
      </w:tr>
    </w:tbl>
    <w:p>
      <w:pPr>
        <w:pStyle w:val="WA"/>
        <w:spacing w:before="12"/>
      </w:pPr>
      <w:r>
        <w:t>Western Australia</w:t>
      </w:r>
    </w:p>
    <w:p>
      <w:pPr>
        <w:pStyle w:val="PrincipalActReg"/>
      </w:pPr>
      <w:r>
        <w:t>Psychologists Act 2005</w:t>
      </w:r>
    </w:p>
    <w:p>
      <w:pPr>
        <w:pStyle w:val="NameofActReg"/>
      </w:pPr>
      <w:r>
        <w:t>Psychologists Regulations 2007</w:t>
      </w:r>
    </w:p>
    <w:p>
      <w:pPr>
        <w:pStyle w:val="Heading5"/>
      </w:pPr>
      <w:bookmarkStart w:id="3" w:name="_Toc378331423"/>
      <w:bookmarkStart w:id="4" w:name="_Toc42697889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6" w:name="_Toc378331424"/>
      <w:bookmarkStart w:id="7" w:name="_Toc426978891"/>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8" w:name="_Toc378331425"/>
      <w:bookmarkStart w:id="9" w:name="_Toc426978892"/>
      <w:r>
        <w:rPr>
          <w:rStyle w:val="CharSectno"/>
        </w:rPr>
        <w:t>3</w:t>
      </w:r>
      <w:r>
        <w:t>.</w:t>
      </w:r>
      <w:r>
        <w:tab/>
        <w:t>Criminal record screening</w:t>
      </w:r>
      <w:bookmarkEnd w:id="8"/>
      <w:bookmarkEnd w:id="9"/>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10" w:name="_Toc378331426"/>
      <w:bookmarkStart w:id="11" w:name="_Toc426978893"/>
      <w:r>
        <w:rPr>
          <w:rStyle w:val="CharSectno"/>
        </w:rPr>
        <w:t>4</w:t>
      </w:r>
      <w:r>
        <w:t>.</w:t>
      </w:r>
      <w:r>
        <w:tab/>
        <w:t>Prescribed requirement under section 26(2)(e) for registration</w:t>
      </w:r>
      <w:bookmarkEnd w:id="10"/>
      <w:bookmarkEnd w:id="11"/>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12" w:name="_Toc378331427"/>
      <w:bookmarkStart w:id="13" w:name="_Toc426978894"/>
      <w:r>
        <w:rPr>
          <w:rStyle w:val="CharSectno"/>
        </w:rPr>
        <w:t>5</w:t>
      </w:r>
      <w:r>
        <w:t>.</w:t>
      </w:r>
      <w:r>
        <w:tab/>
        <w:t>Prescribed qualifications under section 26(2)(f) for registration</w:t>
      </w:r>
      <w:bookmarkEnd w:id="12"/>
      <w:bookmarkEnd w:id="13"/>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14" w:name="_Toc378331428"/>
      <w:bookmarkStart w:id="15" w:name="_Toc426978895"/>
      <w:r>
        <w:rPr>
          <w:rStyle w:val="CharSectno"/>
        </w:rPr>
        <w:t>6</w:t>
      </w:r>
      <w:r>
        <w:t>.</w:t>
      </w:r>
      <w:r>
        <w:tab/>
        <w:t>Examinations</w:t>
      </w:r>
      <w:bookmarkEnd w:id="14"/>
      <w:bookmarkEnd w:id="15"/>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16" w:name="_Toc378331429"/>
      <w:bookmarkStart w:id="17" w:name="_Toc426978896"/>
      <w:r>
        <w:rPr>
          <w:rStyle w:val="CharSectno"/>
        </w:rPr>
        <w:t>7</w:t>
      </w:r>
      <w:r>
        <w:t>.</w:t>
      </w:r>
      <w:r>
        <w:tab/>
        <w:t>Specialties prescribed</w:t>
      </w:r>
      <w:bookmarkEnd w:id="16"/>
      <w:bookmarkEnd w:id="17"/>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18" w:name="_Toc378331430"/>
      <w:bookmarkStart w:id="19" w:name="_Toc426978897"/>
      <w:r>
        <w:rPr>
          <w:rStyle w:val="CharSectno"/>
        </w:rPr>
        <w:t>8</w:t>
      </w:r>
      <w:r>
        <w:t>.</w:t>
      </w:r>
      <w:r>
        <w:tab/>
        <w:t>Requirements for specialty</w:t>
      </w:r>
      <w:bookmarkEnd w:id="18"/>
      <w:bookmarkEnd w:id="1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20" w:name="_Toc378331431"/>
      <w:bookmarkStart w:id="21" w:name="_Toc426978898"/>
      <w:r>
        <w:rPr>
          <w:rStyle w:val="CharSectno"/>
        </w:rPr>
        <w:t>9</w:t>
      </w:r>
      <w:r>
        <w:t>.</w:t>
      </w:r>
      <w:r>
        <w:tab/>
        <w:t>Titles under which a specialty may be practised</w:t>
      </w:r>
      <w:bookmarkEnd w:id="20"/>
      <w:bookmarkEnd w:id="21"/>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22" w:name="_Toc378331432"/>
      <w:bookmarkStart w:id="23" w:name="_Toc426978899"/>
      <w:r>
        <w:rPr>
          <w:rStyle w:val="CharSectno"/>
        </w:rPr>
        <w:t>10</w:t>
      </w:r>
      <w:r>
        <w:t>.</w:t>
      </w:r>
      <w:r>
        <w:tab/>
        <w:t>Prescribed period for registration and renewal of registration under section 33</w:t>
      </w:r>
      <w:bookmarkEnd w:id="22"/>
      <w:bookmarkEnd w:id="23"/>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24" w:name="_Toc378331433"/>
      <w:bookmarkStart w:id="25" w:name="_Toc426978900"/>
      <w:r>
        <w:rPr>
          <w:rStyle w:val="CharSectno"/>
        </w:rPr>
        <w:t>11</w:t>
      </w:r>
      <w:r>
        <w:t>.</w:t>
      </w:r>
      <w:r>
        <w:tab/>
        <w:t>Day on which fee falls due under section 34(1)</w:t>
      </w:r>
      <w:bookmarkEnd w:id="24"/>
      <w:bookmarkEnd w:id="25"/>
    </w:p>
    <w:p>
      <w:pPr>
        <w:pStyle w:val="Subsection"/>
      </w:pPr>
      <w:r>
        <w:tab/>
      </w:r>
      <w:r>
        <w:tab/>
        <w:t>For the purposes of the Act section 34(1), the day in each year on which the prescribed fee for the renewal of registration falls due is 30 June.</w:t>
      </w:r>
    </w:p>
    <w:p>
      <w:pPr>
        <w:pStyle w:val="Heading5"/>
      </w:pPr>
      <w:bookmarkStart w:id="26" w:name="_Toc378331434"/>
      <w:bookmarkStart w:id="27" w:name="_Toc426978901"/>
      <w:r>
        <w:rPr>
          <w:rStyle w:val="CharSectno"/>
        </w:rPr>
        <w:t>12</w:t>
      </w:r>
      <w:r>
        <w:t>.</w:t>
      </w:r>
      <w:r>
        <w:tab/>
        <w:t>Prescribed information under section 36(g)</w:t>
      </w:r>
      <w:bookmarkEnd w:id="26"/>
      <w:bookmarkEnd w:id="27"/>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28" w:name="_Toc378331435"/>
      <w:bookmarkStart w:id="29" w:name="_Toc426978902"/>
      <w:r>
        <w:rPr>
          <w:rStyle w:val="CharSectno"/>
        </w:rPr>
        <w:t>13</w:t>
      </w:r>
      <w:r>
        <w:t>.</w:t>
      </w:r>
      <w:r>
        <w:tab/>
        <w:t>Amendment of particulars</w:t>
      </w:r>
      <w:bookmarkEnd w:id="28"/>
      <w:bookmarkEnd w:id="29"/>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30" w:name="_Toc378331436"/>
      <w:bookmarkStart w:id="31" w:name="_Toc426978903"/>
      <w:r>
        <w:rPr>
          <w:rStyle w:val="CharSectno"/>
        </w:rPr>
        <w:t>14</w:t>
      </w:r>
      <w:r>
        <w:t>.</w:t>
      </w:r>
      <w:r>
        <w:tab/>
        <w:t>Change of name</w:t>
      </w:r>
      <w:bookmarkEnd w:id="30"/>
      <w:bookmarkEnd w:id="31"/>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32" w:name="_Toc378331437"/>
      <w:bookmarkStart w:id="33" w:name="_Toc426978904"/>
      <w:r>
        <w:rPr>
          <w:rStyle w:val="CharSectno"/>
        </w:rPr>
        <w:t>15</w:t>
      </w:r>
      <w:r>
        <w:t>.</w:t>
      </w:r>
      <w:r>
        <w:tab/>
        <w:t>Complaints to the complaints assessment committee</w:t>
      </w:r>
      <w:bookmarkEnd w:id="32"/>
      <w:bookmarkEnd w:id="33"/>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4" w:name="_Toc378331438"/>
      <w:bookmarkStart w:id="35" w:name="_Toc426978905"/>
      <w:r>
        <w:rPr>
          <w:rStyle w:val="CharSectno"/>
        </w:rPr>
        <w:t>16</w:t>
      </w:r>
      <w:r>
        <w:t>.</w:t>
      </w:r>
      <w:r>
        <w:tab/>
        <w:t>Appointment of a conciliator</w:t>
      </w:r>
      <w:bookmarkEnd w:id="34"/>
      <w:bookmarkEnd w:id="35"/>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36" w:name="_Toc378331439"/>
      <w:bookmarkStart w:id="37" w:name="_Toc426978906"/>
      <w:r>
        <w:rPr>
          <w:rStyle w:val="CharSectno"/>
        </w:rPr>
        <w:t>17</w:t>
      </w:r>
      <w:r>
        <w:t>.</w:t>
      </w:r>
      <w:r>
        <w:tab/>
        <w:t>Advertising</w:t>
      </w:r>
      <w:bookmarkEnd w:id="36"/>
      <w:bookmarkEnd w:id="37"/>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38" w:name="_Toc378331440"/>
      <w:bookmarkStart w:id="39" w:name="_Toc426978907"/>
      <w:r>
        <w:rPr>
          <w:rStyle w:val="CharSectno"/>
        </w:rPr>
        <w:t>18</w:t>
      </w:r>
      <w:r>
        <w:t>.</w:t>
      </w:r>
      <w:r>
        <w:tab/>
        <w:t>Fees</w:t>
      </w:r>
      <w:bookmarkEnd w:id="38"/>
      <w:bookmarkEnd w:id="3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40" w:name="_Toc378331441"/>
      <w:bookmarkStart w:id="41" w:name="_Toc426978908"/>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40"/>
      <w:bookmarkEnd w:id="41"/>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psychologist.</w:t>
      </w:r>
    </w:p>
    <w:p>
      <w:pPr>
        <w:pStyle w:val="Footnotesection"/>
      </w:pPr>
      <w:r>
        <w:tab/>
        <w:t>[Regulation 19 inserted in Gazette 22 Dec 2009 p. 5269.]</w:t>
      </w:r>
    </w:p>
    <w:p>
      <w:pPr>
        <w:pStyle w:val="Heading5"/>
      </w:pPr>
      <w:bookmarkStart w:id="42" w:name="_Toc378331442"/>
      <w:bookmarkStart w:id="43" w:name="_Toc426978909"/>
      <w:r>
        <w:rPr>
          <w:rStyle w:val="CharSectno"/>
        </w:rPr>
        <w:t>20</w:t>
      </w:r>
      <w:r>
        <w:t>.</w:t>
      </w:r>
      <w:r>
        <w:tab/>
        <w:t>Reduction, waiver or refund of fees</w:t>
      </w:r>
      <w:bookmarkEnd w:id="42"/>
      <w:bookmarkEnd w:id="43"/>
    </w:p>
    <w:p>
      <w:pPr>
        <w:pStyle w:val="Subsection"/>
      </w:pPr>
      <w:r>
        <w:tab/>
      </w:r>
      <w:r>
        <w:tab/>
        <w:t>The Board may authorise the reduction, waiver or refund of any fee provided for in these regulations if the Board considers it appropriate to do so.</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 w:name="_Toc378331443"/>
      <w:bookmarkStart w:id="45" w:name="_Toc426978853"/>
      <w:bookmarkStart w:id="46" w:name="_Toc426978910"/>
      <w:r>
        <w:rPr>
          <w:rStyle w:val="CharSchNo"/>
        </w:rPr>
        <w:t>Schedule 1</w:t>
      </w:r>
      <w:r>
        <w:rPr>
          <w:rStyle w:val="CharSDivNo"/>
        </w:rPr>
        <w:t> </w:t>
      </w:r>
      <w:r>
        <w:t>—</w:t>
      </w:r>
      <w:r>
        <w:rPr>
          <w:rStyle w:val="CharSDivText"/>
        </w:rPr>
        <w:t> </w:t>
      </w:r>
      <w:r>
        <w:rPr>
          <w:rStyle w:val="CharSchText"/>
        </w:rPr>
        <w:t>Fees</w:t>
      </w:r>
      <w:bookmarkEnd w:id="44"/>
      <w:bookmarkEnd w:id="45"/>
      <w:bookmarkEnd w:id="46"/>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300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300</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300</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150</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300</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150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pPr>
      <w:r>
        <w:tab/>
        <w:t>[Schedule 1 amended in Gazette 6 Mar 2009 p. 685.]</w:t>
      </w:r>
    </w:p>
    <w:p>
      <w:pPr>
        <w:pStyle w:val="yScheduleHeading"/>
      </w:pPr>
      <w:bookmarkStart w:id="47" w:name="_Toc378331444"/>
      <w:bookmarkStart w:id="48" w:name="_Toc426978854"/>
      <w:bookmarkStart w:id="49" w:name="_Toc42697891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47"/>
      <w:bookmarkEnd w:id="48"/>
      <w:bookmarkEnd w:id="49"/>
    </w:p>
    <w:p>
      <w:pPr>
        <w:pStyle w:val="yShoulderClause"/>
      </w:pPr>
      <w:r>
        <w:t>[r. 19]</w:t>
      </w:r>
    </w:p>
    <w:p>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150</w:t>
            </w:r>
          </w:p>
        </w:tc>
      </w:tr>
      <w:tr>
        <w:trPr>
          <w:cantSplit/>
        </w:trPr>
        <w:tc>
          <w:tcPr>
            <w:tcW w:w="567"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r>
            <w:r>
              <w:br/>
              <w:t>150</w:t>
            </w:r>
          </w:p>
        </w:tc>
      </w:tr>
      <w:tr>
        <w:trPr>
          <w:cantSplit/>
        </w:trP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300</w:t>
            </w:r>
          </w:p>
        </w:tc>
      </w:tr>
    </w:tbl>
    <w:p>
      <w:pPr>
        <w:pStyle w:val="yFootnotesection"/>
      </w:pPr>
      <w:r>
        <w:tab/>
        <w:t>[Schedule 2 inserted in Gazette 22 Dec 2009 p. 5269-70.]</w:t>
      </w:r>
    </w:p>
    <w:p>
      <w:pPr>
        <w:pStyle w:val="yScheduleHeading"/>
      </w:pPr>
      <w:bookmarkStart w:id="50" w:name="_Toc378331445"/>
      <w:bookmarkStart w:id="51" w:name="_Toc426978855"/>
      <w:bookmarkStart w:id="52" w:name="_Toc426978912"/>
      <w:r>
        <w:rPr>
          <w:rStyle w:val="CharSchNo"/>
        </w:rPr>
        <w:t>Schedule 3</w:t>
      </w:r>
      <w:r>
        <w:rPr>
          <w:rStyle w:val="CharSDivNo"/>
        </w:rPr>
        <w:t> </w:t>
      </w:r>
      <w:r>
        <w:t>—</w:t>
      </w:r>
      <w:r>
        <w:rPr>
          <w:rStyle w:val="CharSDivText"/>
        </w:rPr>
        <w:t> </w:t>
      </w:r>
      <w:r>
        <w:rPr>
          <w:rStyle w:val="CharSchText"/>
        </w:rPr>
        <w:t>Fee for examination</w:t>
      </w:r>
      <w:bookmarkEnd w:id="50"/>
      <w:bookmarkEnd w:id="51"/>
      <w:bookmarkEnd w:id="52"/>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378331446"/>
      <w:bookmarkStart w:id="55" w:name="_Toc426978856"/>
      <w:bookmarkStart w:id="56" w:name="_Toc426978913"/>
      <w:r>
        <w:t>Notes</w:t>
      </w:r>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p>
    <w:p>
      <w:pPr>
        <w:pStyle w:val="nHeading3"/>
      </w:pPr>
      <w:bookmarkStart w:id="57" w:name="_Toc378331447"/>
      <w:bookmarkStart w:id="58" w:name="_Toc426978914"/>
      <w:r>
        <w:t>Compilation table</w:t>
      </w:r>
      <w:bookmarkEnd w:id="57"/>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Psychologists Regulations 2007</w:t>
            </w:r>
          </w:p>
        </w:tc>
        <w:tc>
          <w:tcPr>
            <w:tcW w:w="1276" w:type="dxa"/>
            <w:tcBorders>
              <w:top w:val="single" w:sz="8" w:space="0" w:color="auto"/>
              <w:bottom w:val="nil"/>
            </w:tcBorders>
          </w:tcPr>
          <w:p>
            <w:pPr>
              <w:pStyle w:val="nTable"/>
              <w:spacing w:after="40"/>
            </w:pPr>
            <w:r>
              <w:t>20 Feb 2007 p. 515</w:t>
            </w:r>
            <w:r>
              <w:noBreakHyphen/>
              <w:t>30</w:t>
            </w:r>
          </w:p>
        </w:tc>
        <w:tc>
          <w:tcPr>
            <w:tcW w:w="2694" w:type="dxa"/>
            <w:tcBorders>
              <w:top w:val="single" w:sz="8" w:space="0" w:color="auto"/>
              <w:bottom w:val="nil"/>
            </w:tcBorders>
          </w:tcPr>
          <w:p>
            <w:pPr>
              <w:pStyle w:val="nTable"/>
              <w:spacing w:after="40"/>
            </w:pPr>
            <w:r>
              <w:t xml:space="preserve">4 May 2007 (see r. 2 and </w:t>
            </w:r>
            <w:r>
              <w:rPr>
                <w:i/>
                <w:iCs/>
              </w:rPr>
              <w:t>Gazette</w:t>
            </w:r>
            <w:r>
              <w:t xml:space="preserve"> 4 May 2007 p. 1963)</w:t>
            </w:r>
          </w:p>
        </w:tc>
      </w:tr>
      <w:tr>
        <w:tc>
          <w:tcPr>
            <w:tcW w:w="3118" w:type="dxa"/>
            <w:tcBorders>
              <w:top w:val="nil"/>
              <w:bottom w:val="nil"/>
            </w:tcBorders>
          </w:tcPr>
          <w:p>
            <w:pPr>
              <w:pStyle w:val="nTable"/>
              <w:spacing w:after="40"/>
              <w:rPr>
                <w:i/>
              </w:rPr>
            </w:pPr>
            <w:r>
              <w:rPr>
                <w:i/>
              </w:rPr>
              <w:t>Psychologists Amendment Regulations 2009</w:t>
            </w:r>
          </w:p>
        </w:tc>
        <w:tc>
          <w:tcPr>
            <w:tcW w:w="1276" w:type="dxa"/>
            <w:tcBorders>
              <w:top w:val="nil"/>
              <w:bottom w:val="nil"/>
            </w:tcBorders>
          </w:tcPr>
          <w:p>
            <w:pPr>
              <w:pStyle w:val="nTable"/>
              <w:spacing w:after="40"/>
            </w:pPr>
            <w:r>
              <w:t>6 Mar 2009 p. 684-6</w:t>
            </w:r>
          </w:p>
        </w:tc>
        <w:tc>
          <w:tcPr>
            <w:tcW w:w="2694" w:type="dxa"/>
            <w:tcBorders>
              <w:top w:val="nil"/>
              <w:bottom w:val="nil"/>
            </w:tcBorders>
          </w:tcPr>
          <w:p>
            <w:pPr>
              <w:pStyle w:val="nTable"/>
              <w:spacing w:after="40"/>
            </w:pPr>
            <w:r>
              <w:t>r. 1 and 2: 6 Mar 2009 (see r. 2(a));</w:t>
            </w:r>
            <w:r>
              <w:br/>
              <w:t>Regulations other than r. 1 and 2: 7 Mar 2009 (see r. 2(b))</w:t>
            </w:r>
          </w:p>
        </w:tc>
      </w:tr>
      <w:tr>
        <w:tc>
          <w:tcPr>
            <w:tcW w:w="3118" w:type="dxa"/>
            <w:tcBorders>
              <w:top w:val="nil"/>
              <w:bottom w:val="nil"/>
            </w:tcBorders>
          </w:tcPr>
          <w:p>
            <w:pPr>
              <w:pStyle w:val="nTable"/>
              <w:spacing w:after="40"/>
              <w:rPr>
                <w:i/>
                <w:noProof/>
                <w:snapToGrid w:val="0"/>
              </w:rPr>
            </w:pPr>
            <w:r>
              <w:rPr>
                <w:i/>
              </w:rPr>
              <w:t xml:space="preserve">Psychologists </w:t>
            </w:r>
            <w:r>
              <w:rPr>
                <w:i/>
                <w:noProof/>
                <w:snapToGrid w:val="0"/>
              </w:rPr>
              <w:t>Amendment Regulations (No. 2) 2009</w:t>
            </w:r>
          </w:p>
        </w:tc>
        <w:tc>
          <w:tcPr>
            <w:tcW w:w="1276" w:type="dxa"/>
            <w:tcBorders>
              <w:top w:val="nil"/>
              <w:bottom w:val="nil"/>
            </w:tcBorders>
          </w:tcPr>
          <w:p>
            <w:pPr>
              <w:pStyle w:val="nTable"/>
              <w:spacing w:after="40"/>
            </w:pPr>
            <w:r>
              <w:t>22 Dec 2009 p. 5268-70</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15(2)(n)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Psychologists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2E9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926"/>
    <w:docVar w:name="WAFER_20140124121122" w:val="RemoveTocBookmarks,RemoveUnusedBookmarks,RemoveLanguageTags,UsedStyles,ResetPageSize,UpdateArrangement"/>
    <w:docVar w:name="WAFER_20140124121122_GUID" w:val="0b0b2e38-bd3f-47d2-912f-936668387c69"/>
    <w:docVar w:name="WAFER_20140124124607" w:val="RemoveTocBookmarks,RunningHeaders"/>
    <w:docVar w:name="WAFER_20140124124607_GUID" w:val="a4af5ee0-e60c-447f-aef8-477ca235db45"/>
    <w:docVar w:name="WAFER_20150810112122" w:val="ResetPageSize,UpdateArrangement,UpdateNTable"/>
    <w:docVar w:name="WAFER_20150810112122_GUID" w:val="9e305dcd-e51f-457f-b9a9-15978511cf0d"/>
    <w:docVar w:name="WAFER_20151117132926" w:val="UpdateStyles,UsedStyles"/>
    <w:docVar w:name="WAFER_20151117132926_GUID" w:val="0519e4b7-98c5-42f5-8533-8a9c30e7f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2562</Words>
  <Characters>13249</Characters>
  <Application>Microsoft Office Word</Application>
  <DocSecurity>0</DocSecurity>
  <Lines>662</Lines>
  <Paragraphs>329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15482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2007 - 00-g0-04</dc:title>
  <dc:subject/>
  <dc:creator/>
  <cp:keywords/>
  <dc:description/>
  <cp:lastModifiedBy>svcMRProcess</cp:lastModifiedBy>
  <cp:revision>4</cp:revision>
  <cp:lastPrinted>2007-01-08T00:35:00Z</cp:lastPrinted>
  <dcterms:created xsi:type="dcterms:W3CDTF">2015-11-17T06:44:00Z</dcterms:created>
  <dcterms:modified xsi:type="dcterms:W3CDTF">2015-11-17T06:44:00Z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38969</vt:i4>
  </property>
  <property fmtid="{D5CDD505-2E9C-101B-9397-08002B2CF9AE}" pid="6" name="ReprintedAsAt">
    <vt:filetime>2010-10-17T16:00:00Z</vt:filetime>
  </property>
  <property fmtid="{D5CDD505-2E9C-101B-9397-08002B2CF9AE}" pid="7" name="ReprintNo">
    <vt:lpwstr/>
  </property>
  <property fmtid="{D5CDD505-2E9C-101B-9397-08002B2CF9AE}" pid="8" name="AsAtDate">
    <vt:lpwstr>18 Oct 2010</vt:lpwstr>
  </property>
  <property fmtid="{D5CDD505-2E9C-101B-9397-08002B2CF9AE}" pid="9" name="Suffix">
    <vt:lpwstr>00-g0-04</vt:lpwstr>
  </property>
  <property fmtid="{D5CDD505-2E9C-101B-9397-08002B2CF9AE}" pid="10" name="Status">
    <vt:lpwstr>NIF</vt:lpwstr>
  </property>
</Properties>
</file>