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Public Sector Manage</w:t>
      </w:r>
      <w:bookmarkStart w:id="1" w:name="UpToHere"/>
      <w:bookmarkEnd w:id="1"/>
      <w:r>
        <w:t>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_Toc150921447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_Toc150921448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_Toc150921449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Application</w:t>
      </w:r>
      <w:r>
        <w:tab/>
      </w:r>
      <w:r>
        <w:fldChar w:fldCharType="begin"/>
      </w:r>
      <w:r>
        <w:instrText xml:space="preserve"> PAGEREF _Toc150921450 \h </w:instrText>
      </w:r>
      <w:r>
        <w:fldChar w:fldCharType="separate"/>
      </w:r>
      <w:r>
        <w:t>5</w:t>
      </w:r>
      <w:r>
        <w:fldChar w:fldCharType="end"/>
      </w:r>
    </w:p>
    <w:p>
      <w:pPr>
        <w:pStyle w:val="TOC2"/>
        <w:tabs>
          <w:tab w:val="right" w:leader="dot" w:pos="7078"/>
        </w:tabs>
        <w:rPr>
          <w:b w:val="0"/>
          <w:sz w:val="24"/>
          <w:szCs w:val="24"/>
        </w:rPr>
      </w:pPr>
      <w:r>
        <w:rPr>
          <w:szCs w:val="30"/>
        </w:rPr>
        <w:t>Part 1A — Notice of redundancy</w:t>
      </w:r>
    </w:p>
    <w:p>
      <w:pPr>
        <w:pStyle w:val="TOC8"/>
        <w:rPr>
          <w:sz w:val="24"/>
          <w:szCs w:val="24"/>
        </w:rPr>
      </w:pPr>
      <w:r>
        <w:rPr>
          <w:szCs w:val="24"/>
        </w:rPr>
        <w:t>4AA.</w:t>
      </w:r>
      <w:r>
        <w:rPr>
          <w:szCs w:val="24"/>
        </w:rPr>
        <w:tab/>
        <w:t>Entitlement to be consulted regarding redundancy</w:t>
      </w:r>
      <w:r>
        <w:tab/>
      </w:r>
      <w:r>
        <w:fldChar w:fldCharType="begin"/>
      </w:r>
      <w:r>
        <w:instrText xml:space="preserve"> PAGEREF _Toc150921452 \h </w:instrText>
      </w:r>
      <w:r>
        <w:fldChar w:fldCharType="separate"/>
      </w:r>
      <w:r>
        <w:t>7</w:t>
      </w:r>
      <w:r>
        <w:fldChar w:fldCharType="end"/>
      </w:r>
    </w:p>
    <w:p>
      <w:pPr>
        <w:pStyle w:val="TOC8"/>
        <w:rPr>
          <w:sz w:val="24"/>
          <w:szCs w:val="24"/>
        </w:rPr>
      </w:pPr>
      <w:r>
        <w:rPr>
          <w:szCs w:val="24"/>
        </w:rPr>
        <w:t>4A.</w:t>
      </w:r>
      <w:r>
        <w:rPr>
          <w:szCs w:val="24"/>
        </w:rPr>
        <w:tab/>
        <w:t>Entitlement to notice of redundancy and pay in lieu</w:t>
      </w:r>
      <w:r>
        <w:tab/>
      </w:r>
      <w:r>
        <w:fldChar w:fldCharType="begin"/>
      </w:r>
      <w:r>
        <w:instrText xml:space="preserve"> PAGEREF _Toc150921453 \h </w:instrText>
      </w:r>
      <w:r>
        <w:fldChar w:fldCharType="separate"/>
      </w:r>
      <w:r>
        <w:t>8</w:t>
      </w:r>
      <w:r>
        <w:fldChar w:fldCharType="end"/>
      </w:r>
    </w:p>
    <w:p>
      <w:pPr>
        <w:pStyle w:val="TOC2"/>
        <w:tabs>
          <w:tab w:val="right" w:leader="dot" w:pos="7078"/>
        </w:tabs>
        <w:rPr>
          <w:b w:val="0"/>
          <w:sz w:val="24"/>
          <w:szCs w:val="24"/>
        </w:rPr>
      </w:pPr>
      <w:r>
        <w:rPr>
          <w:szCs w:val="30"/>
        </w:rPr>
        <w:t>Part 2 — Transfer and voluntary severance</w:t>
      </w:r>
    </w:p>
    <w:p>
      <w:pPr>
        <w:pStyle w:val="TOC8"/>
        <w:rPr>
          <w:sz w:val="24"/>
          <w:szCs w:val="24"/>
        </w:rPr>
      </w:pPr>
      <w:r>
        <w:rPr>
          <w:szCs w:val="24"/>
        </w:rPr>
        <w:t>5</w:t>
      </w:r>
      <w:r>
        <w:rPr>
          <w:snapToGrid w:val="0"/>
          <w:szCs w:val="24"/>
        </w:rPr>
        <w:t>.</w:t>
      </w:r>
      <w:r>
        <w:rPr>
          <w:snapToGrid w:val="0"/>
          <w:szCs w:val="24"/>
        </w:rPr>
        <w:tab/>
        <w:t>Certain employees may be transferred</w:t>
      </w:r>
      <w:r>
        <w:tab/>
      </w:r>
      <w:r>
        <w:fldChar w:fldCharType="begin"/>
      </w:r>
      <w:r>
        <w:instrText xml:space="preserve"> PAGEREF _Toc150921455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Voluntary severance for certain employees</w:t>
      </w:r>
      <w:r>
        <w:tab/>
      </w:r>
      <w:r>
        <w:fldChar w:fldCharType="begin"/>
      </w:r>
      <w:r>
        <w:instrText xml:space="preserve"> PAGEREF _Toc150921456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Substituted voluntary severance for surplus employees</w:t>
      </w:r>
      <w:r>
        <w:tab/>
      </w:r>
      <w:r>
        <w:fldChar w:fldCharType="begin"/>
      </w:r>
      <w:r>
        <w:instrText xml:space="preserve"> PAGEREF _Toc150921457 \h </w:instrText>
      </w:r>
      <w:r>
        <w:fldChar w:fldCharType="separate"/>
      </w:r>
      <w:r>
        <w:t>10</w:t>
      </w:r>
      <w:r>
        <w:fldChar w:fldCharType="end"/>
      </w:r>
    </w:p>
    <w:p>
      <w:pPr>
        <w:pStyle w:val="TOC2"/>
        <w:tabs>
          <w:tab w:val="right" w:leader="dot" w:pos="7078"/>
        </w:tabs>
        <w:rPr>
          <w:b w:val="0"/>
          <w:sz w:val="24"/>
          <w:szCs w:val="24"/>
        </w:rPr>
      </w:pPr>
      <w:r>
        <w:rPr>
          <w:szCs w:val="30"/>
        </w:rPr>
        <w:t>Part 3 — Privatization and contracting out</w:t>
      </w:r>
    </w:p>
    <w:p>
      <w:pPr>
        <w:pStyle w:val="TOC8"/>
        <w:rPr>
          <w:sz w:val="24"/>
          <w:szCs w:val="24"/>
        </w:rPr>
      </w:pPr>
      <w:r>
        <w:rPr>
          <w:szCs w:val="24"/>
        </w:rPr>
        <w:t>8</w:t>
      </w:r>
      <w:r>
        <w:rPr>
          <w:snapToGrid w:val="0"/>
          <w:szCs w:val="24"/>
        </w:rPr>
        <w:t>.</w:t>
      </w:r>
      <w:r>
        <w:rPr>
          <w:snapToGrid w:val="0"/>
          <w:szCs w:val="24"/>
        </w:rPr>
        <w:tab/>
        <w:t>Private sector offers of offices, posts or positions on privatization or contracting out</w:t>
      </w:r>
      <w:r>
        <w:tab/>
      </w:r>
      <w:r>
        <w:fldChar w:fldCharType="begin"/>
      </w:r>
      <w:r>
        <w:instrText xml:space="preserve"> PAGEREF _Toc150921459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Benefits to which employees accepting offers of employment are entitled</w:t>
      </w:r>
      <w:r>
        <w:tab/>
      </w:r>
      <w:r>
        <w:fldChar w:fldCharType="begin"/>
      </w:r>
      <w:r>
        <w:instrText xml:space="preserve"> PAGEREF _Toc150921460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Employees dismissed under certain sections of Act not entitled to certain payments</w:t>
      </w:r>
      <w:r>
        <w:tab/>
      </w:r>
      <w:r>
        <w:fldChar w:fldCharType="begin"/>
      </w:r>
      <w:r>
        <w:instrText xml:space="preserve"> PAGEREF _Toc150921461 \h </w:instrText>
      </w:r>
      <w:r>
        <w:fldChar w:fldCharType="separate"/>
      </w:r>
      <w:r>
        <w:t>14</w:t>
      </w:r>
      <w:r>
        <w:fldChar w:fldCharType="end"/>
      </w:r>
    </w:p>
    <w:p>
      <w:pPr>
        <w:pStyle w:val="TOC2"/>
        <w:tabs>
          <w:tab w:val="right" w:leader="dot" w:pos="7078"/>
        </w:tabs>
        <w:rPr>
          <w:b w:val="0"/>
          <w:sz w:val="24"/>
          <w:szCs w:val="24"/>
        </w:rPr>
      </w:pPr>
      <w:r>
        <w:rPr>
          <w:szCs w:val="30"/>
        </w:rPr>
        <w:t>Part 4 — Registered employees</w:t>
      </w:r>
    </w:p>
    <w:p>
      <w:pPr>
        <w:pStyle w:val="TOC8"/>
        <w:rPr>
          <w:sz w:val="24"/>
          <w:szCs w:val="24"/>
        </w:rPr>
      </w:pPr>
      <w:r>
        <w:rPr>
          <w:szCs w:val="24"/>
        </w:rPr>
        <w:t>11</w:t>
      </w:r>
      <w:r>
        <w:rPr>
          <w:snapToGrid w:val="0"/>
          <w:szCs w:val="24"/>
        </w:rPr>
        <w:t>.</w:t>
      </w:r>
      <w:r>
        <w:rPr>
          <w:snapToGrid w:val="0"/>
          <w:szCs w:val="24"/>
        </w:rPr>
        <w:tab/>
        <w:t>Registration of employees</w:t>
      </w:r>
      <w:r>
        <w:tab/>
      </w:r>
      <w:r>
        <w:fldChar w:fldCharType="begin"/>
      </w:r>
      <w:r>
        <w:instrText xml:space="preserve"> PAGEREF _Toc150921463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Special leave for registered employees</w:t>
      </w:r>
      <w:r>
        <w:tab/>
      </w:r>
      <w:r>
        <w:fldChar w:fldCharType="begin"/>
      </w:r>
      <w:r>
        <w:instrText xml:space="preserve"> PAGEREF _Toc150921464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Redeployment of registered employees</w:t>
      </w:r>
      <w:r>
        <w:tab/>
      </w:r>
      <w:r>
        <w:fldChar w:fldCharType="begin"/>
      </w:r>
      <w:r>
        <w:instrText xml:space="preserve"> PAGEREF _Toc150921465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Retraining of registered employees</w:t>
      </w:r>
      <w:r>
        <w:tab/>
      </w:r>
      <w:r>
        <w:fldChar w:fldCharType="begin"/>
      </w:r>
      <w:r>
        <w:instrText xml:space="preserve"> PAGEREF _Toc150921466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Voluntary severance for certain registered employees</w:t>
      </w:r>
      <w:r>
        <w:tab/>
      </w:r>
      <w:r>
        <w:fldChar w:fldCharType="begin"/>
      </w:r>
      <w:r>
        <w:instrText xml:space="preserve"> PAGEREF _Toc150921467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Voluntary severance initiated by registered employees</w:t>
      </w:r>
      <w:r>
        <w:tab/>
      </w:r>
      <w:r>
        <w:fldChar w:fldCharType="begin"/>
      </w:r>
      <w:r>
        <w:instrText xml:space="preserve"> PAGEREF _Toc150921468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Substituted voluntary severance for surplus registered employees</w:t>
      </w:r>
      <w:r>
        <w:tab/>
      </w:r>
      <w:r>
        <w:fldChar w:fldCharType="begin"/>
      </w:r>
      <w:r>
        <w:instrText xml:space="preserve"> PAGEREF _Toc150921469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Benefits to which registered employees accepting offers of offices, posts or positions are entitled</w:t>
      </w:r>
      <w:r>
        <w:tab/>
      </w:r>
      <w:r>
        <w:fldChar w:fldCharType="begin"/>
      </w:r>
      <w:r>
        <w:instrText xml:space="preserve"> PAGEREF _Toc150921470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Benefits to which registered employees accepting private sector employment are entitled</w:t>
      </w:r>
      <w:r>
        <w:tab/>
      </w:r>
      <w:r>
        <w:fldChar w:fldCharType="begin"/>
      </w:r>
      <w:r>
        <w:instrText xml:space="preserve"> PAGEREF _Toc150921471 \h </w:instrText>
      </w:r>
      <w:r>
        <w:fldChar w:fldCharType="separate"/>
      </w:r>
      <w:r>
        <w:t>21</w:t>
      </w:r>
      <w:r>
        <w:fldChar w:fldCharType="end"/>
      </w:r>
    </w:p>
    <w:p>
      <w:pPr>
        <w:pStyle w:val="TOC2"/>
        <w:tabs>
          <w:tab w:val="right" w:leader="dot" w:pos="7078"/>
        </w:tabs>
        <w:rPr>
          <w:b w:val="0"/>
          <w:sz w:val="24"/>
          <w:szCs w:val="24"/>
        </w:rPr>
      </w:pPr>
      <w:r>
        <w:rPr>
          <w:szCs w:val="30"/>
        </w:rPr>
        <w:t>Part 5 — Voluntary severance payments and other benefits</w:t>
      </w:r>
    </w:p>
    <w:p>
      <w:pPr>
        <w:pStyle w:val="TOC8"/>
        <w:rPr>
          <w:sz w:val="24"/>
          <w:szCs w:val="24"/>
        </w:rPr>
      </w:pPr>
      <w:r>
        <w:rPr>
          <w:szCs w:val="24"/>
        </w:rPr>
        <w:t>20</w:t>
      </w:r>
      <w:r>
        <w:rPr>
          <w:snapToGrid w:val="0"/>
          <w:szCs w:val="24"/>
        </w:rPr>
        <w:t>.</w:t>
      </w:r>
      <w:r>
        <w:rPr>
          <w:snapToGrid w:val="0"/>
          <w:szCs w:val="24"/>
        </w:rPr>
        <w:tab/>
        <w:t>Severance payments</w:t>
      </w:r>
      <w:r>
        <w:tab/>
      </w:r>
      <w:r>
        <w:fldChar w:fldCharType="begin"/>
      </w:r>
      <w:r>
        <w:instrText xml:space="preserve"> PAGEREF _Toc150921473 \h </w:instrText>
      </w:r>
      <w:r>
        <w:fldChar w:fldCharType="separate"/>
      </w:r>
      <w:r>
        <w:t>24</w:t>
      </w:r>
      <w:r>
        <w:fldChar w:fldCharType="end"/>
      </w:r>
    </w:p>
    <w:p>
      <w:pPr>
        <w:pStyle w:val="TOC8"/>
        <w:rPr>
          <w:sz w:val="24"/>
          <w:szCs w:val="24"/>
        </w:rPr>
      </w:pPr>
      <w:r>
        <w:rPr>
          <w:szCs w:val="24"/>
        </w:rPr>
        <w:t>21</w:t>
      </w:r>
      <w:r>
        <w:rPr>
          <w:snapToGrid w:val="0"/>
          <w:szCs w:val="24"/>
        </w:rPr>
        <w:t>.</w:t>
      </w:r>
      <w:r>
        <w:rPr>
          <w:snapToGrid w:val="0"/>
          <w:szCs w:val="24"/>
        </w:rPr>
        <w:tab/>
        <w:t>Other benefits payable on voluntary severance</w:t>
      </w:r>
      <w:r>
        <w:tab/>
      </w:r>
      <w:r>
        <w:fldChar w:fldCharType="begin"/>
      </w:r>
      <w:r>
        <w:instrText xml:space="preserve"> PAGEREF _Toc150921474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Restriction on employment in Public Sector</w:t>
      </w:r>
      <w:r>
        <w:tab/>
      </w:r>
      <w:r>
        <w:fldChar w:fldCharType="begin"/>
      </w:r>
      <w:r>
        <w:instrText xml:space="preserve"> PAGEREF _Toc150921475 \h </w:instrText>
      </w:r>
      <w:r>
        <w:fldChar w:fldCharType="separate"/>
      </w:r>
      <w:r>
        <w:t>26</w:t>
      </w:r>
      <w:r>
        <w:fldChar w:fldCharType="end"/>
      </w:r>
    </w:p>
    <w:p>
      <w:pPr>
        <w:pStyle w:val="TOC2"/>
        <w:tabs>
          <w:tab w:val="right" w:leader="dot" w:pos="7078"/>
        </w:tabs>
        <w:rPr>
          <w:b w:val="0"/>
          <w:sz w:val="24"/>
          <w:szCs w:val="24"/>
        </w:rPr>
      </w:pPr>
      <w:r>
        <w:rPr>
          <w:szCs w:val="30"/>
        </w:rPr>
        <w:t>Part 6 — General</w:t>
      </w:r>
    </w:p>
    <w:p>
      <w:pPr>
        <w:pStyle w:val="TOC8"/>
        <w:rPr>
          <w:sz w:val="24"/>
          <w:szCs w:val="24"/>
        </w:rPr>
      </w:pPr>
      <w:r>
        <w:rPr>
          <w:szCs w:val="24"/>
        </w:rPr>
        <w:t>23</w:t>
      </w:r>
      <w:r>
        <w:rPr>
          <w:snapToGrid w:val="0"/>
          <w:szCs w:val="24"/>
        </w:rPr>
        <w:t>.</w:t>
      </w:r>
      <w:r>
        <w:rPr>
          <w:snapToGrid w:val="0"/>
          <w:szCs w:val="24"/>
        </w:rPr>
        <w:tab/>
        <w:t>Rate of pay of surplus employees</w:t>
      </w:r>
      <w:r>
        <w:tab/>
      </w:r>
      <w:r>
        <w:fldChar w:fldCharType="begin"/>
      </w:r>
      <w:r>
        <w:instrText xml:space="preserve"> PAGEREF _Toc150921477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Employing authorities to notify Minister of vacancies</w:t>
      </w:r>
      <w:r>
        <w:tab/>
      </w:r>
      <w:r>
        <w:fldChar w:fldCharType="begin"/>
      </w:r>
      <w:r>
        <w:instrText xml:space="preserve"> PAGEREF _Toc150921478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Prescribed period for certain references</w:t>
      </w:r>
      <w:r>
        <w:tab/>
      </w:r>
      <w:r>
        <w:fldChar w:fldCharType="begin"/>
      </w:r>
      <w:r>
        <w:instrText xml:space="preserve"> PAGEREF _Toc150921479 \h </w:instrText>
      </w:r>
      <w:r>
        <w:fldChar w:fldCharType="separate"/>
      </w:r>
      <w:r>
        <w:t>27</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_Toc150921481 \h </w:instrText>
      </w:r>
      <w:r>
        <w:fldChar w:fldCharType="separate"/>
      </w:r>
      <w:r>
        <w:t>28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2" w:name="_Toc142711689"/>
      <w:bookmarkStart w:id="3" w:name="_Toc142711865"/>
      <w:bookmarkStart w:id="4" w:name="_Toc142711901"/>
      <w:bookmarkStart w:id="5" w:name="_Toc142721491"/>
      <w:bookmarkStart w:id="6" w:name="_Toc148923482"/>
      <w:bookmarkStart w:id="7" w:name="_Toc148925006"/>
      <w:bookmarkStart w:id="8" w:name="_Toc149017028"/>
      <w:bookmarkStart w:id="9" w:name="_Toc15092144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438270020"/>
      <w:bookmarkStart w:id="11" w:name="_Toc492433117"/>
      <w:bookmarkStart w:id="12" w:name="_Toc316886"/>
      <w:bookmarkStart w:id="13" w:name="_Toc142711690"/>
      <w:bookmarkStart w:id="14" w:name="_Toc150921447"/>
      <w:r>
        <w:rPr>
          <w:rStyle w:val="CharSectno"/>
        </w:rPr>
        <w:t>1</w:t>
      </w:r>
      <w:r>
        <w:rPr>
          <w:snapToGrid w:val="0"/>
        </w:rPr>
        <w:t>.</w:t>
      </w:r>
      <w:r>
        <w:rPr>
          <w:snapToGrid w:val="0"/>
        </w:rPr>
        <w:tab/>
        <w:t>Citation</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5" w:name="_Toc438270021"/>
      <w:bookmarkStart w:id="16" w:name="_Toc492433118"/>
      <w:bookmarkStart w:id="17" w:name="_Toc316887"/>
      <w:bookmarkStart w:id="18" w:name="_Toc142711691"/>
      <w:bookmarkStart w:id="19" w:name="_Toc150921448"/>
      <w:r>
        <w:rPr>
          <w:rStyle w:val="CharSectno"/>
        </w:rPr>
        <w:t>2</w:t>
      </w:r>
      <w:r>
        <w:rPr>
          <w:snapToGrid w:val="0"/>
        </w:rPr>
        <w:t>.</w:t>
      </w:r>
      <w:r>
        <w:rPr>
          <w:snapToGrid w:val="0"/>
        </w:rPr>
        <w:tab/>
        <w:t>Commencement</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0" w:name="_Toc438270022"/>
      <w:bookmarkStart w:id="21" w:name="_Toc492433119"/>
      <w:bookmarkStart w:id="22" w:name="_Toc316888"/>
      <w:bookmarkStart w:id="23" w:name="_Toc142711692"/>
      <w:bookmarkStart w:id="24" w:name="_Toc150921449"/>
      <w:r>
        <w:rPr>
          <w:rStyle w:val="CharSectno"/>
        </w:rPr>
        <w:t>3</w:t>
      </w:r>
      <w:r>
        <w:rPr>
          <w:snapToGrid w:val="0"/>
        </w:rPr>
        <w:t>.</w:t>
      </w:r>
      <w:r>
        <w:rPr>
          <w:snapToGrid w:val="0"/>
        </w:rPr>
        <w:tab/>
      </w:r>
      <w:bookmarkEnd w:id="20"/>
      <w:bookmarkEnd w:id="21"/>
      <w:bookmarkEnd w:id="22"/>
      <w:bookmarkEnd w:id="23"/>
      <w:r>
        <w:rPr>
          <w:snapToGrid w:val="0"/>
        </w:rPr>
        <w:t>Terms used in these regulations</w:t>
      </w:r>
      <w:bookmarkEnd w:id="24"/>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25" w:name="_Toc438270023"/>
      <w:bookmarkStart w:id="26" w:name="_Toc492433120"/>
      <w:bookmarkStart w:id="27" w:name="_Toc316889"/>
      <w:bookmarkStart w:id="28" w:name="_Toc142711693"/>
      <w:bookmarkStart w:id="29" w:name="_Toc150921450"/>
      <w:r>
        <w:rPr>
          <w:rStyle w:val="CharSectno"/>
        </w:rPr>
        <w:t>4</w:t>
      </w:r>
      <w:r>
        <w:rPr>
          <w:snapToGrid w:val="0"/>
        </w:rPr>
        <w:t>.</w:t>
      </w:r>
      <w:r>
        <w:rPr>
          <w:snapToGrid w:val="0"/>
        </w:rPr>
        <w:tab/>
        <w:t>Application</w:t>
      </w:r>
      <w:bookmarkEnd w:id="25"/>
      <w:bookmarkEnd w:id="26"/>
      <w:bookmarkEnd w:id="27"/>
      <w:bookmarkEnd w:id="28"/>
      <w:bookmarkEnd w:id="29"/>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0" w:name="_Toc142711694"/>
      <w:bookmarkStart w:id="31" w:name="_Toc142711870"/>
      <w:bookmarkStart w:id="32" w:name="_Toc142711906"/>
      <w:bookmarkStart w:id="33" w:name="_Toc142721496"/>
      <w:bookmarkStart w:id="34" w:name="_Toc148923487"/>
      <w:bookmarkStart w:id="35" w:name="_Toc148925011"/>
      <w:bookmarkStart w:id="36" w:name="_Toc149017033"/>
      <w:bookmarkStart w:id="37" w:name="_Toc150921451"/>
      <w:r>
        <w:rPr>
          <w:rStyle w:val="CharPartNo"/>
        </w:rPr>
        <w:t>Part 1A</w:t>
      </w:r>
      <w:r>
        <w:t> — </w:t>
      </w:r>
      <w:r>
        <w:rPr>
          <w:rStyle w:val="CharPartText"/>
        </w:rPr>
        <w:t>Notice of redundancy</w:t>
      </w:r>
      <w:bookmarkEnd w:id="30"/>
      <w:bookmarkEnd w:id="31"/>
      <w:bookmarkEnd w:id="32"/>
      <w:bookmarkEnd w:id="33"/>
      <w:bookmarkEnd w:id="34"/>
      <w:bookmarkEnd w:id="35"/>
      <w:bookmarkEnd w:id="36"/>
      <w:bookmarkEnd w:id="37"/>
    </w:p>
    <w:p>
      <w:pPr>
        <w:pStyle w:val="Footnoteheading"/>
      </w:pPr>
      <w:r>
        <w:tab/>
        <w:t>[Heading inserted in Gazette 1 Sep 2000 p. 5020.]</w:t>
      </w:r>
    </w:p>
    <w:p>
      <w:pPr>
        <w:pStyle w:val="Heading5"/>
      </w:pPr>
      <w:bookmarkStart w:id="38" w:name="_Toc142711695"/>
      <w:bookmarkStart w:id="39" w:name="_Toc150921452"/>
      <w:bookmarkStart w:id="40" w:name="_Toc492433121"/>
      <w:bookmarkStart w:id="41" w:name="_Toc316890"/>
      <w:r>
        <w:rPr>
          <w:rStyle w:val="CharSectno"/>
        </w:rPr>
        <w:t>4AA</w:t>
      </w:r>
      <w:r>
        <w:t>.</w:t>
      </w:r>
      <w:r>
        <w:tab/>
        <w:t>Entitlement to be consulted regarding redundancy</w:t>
      </w:r>
      <w:bookmarkEnd w:id="38"/>
      <w:bookmarkEnd w:id="39"/>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42" w:name="_Toc142711696"/>
      <w:bookmarkStart w:id="43" w:name="_Toc150921453"/>
      <w:r>
        <w:rPr>
          <w:rStyle w:val="CharSectno"/>
        </w:rPr>
        <w:t>4A</w:t>
      </w:r>
      <w:r>
        <w:t>.</w:t>
      </w:r>
      <w:r>
        <w:tab/>
        <w:t>Entitlement to notice of redundancy and pay in lieu</w:t>
      </w:r>
      <w:bookmarkEnd w:id="40"/>
      <w:bookmarkEnd w:id="41"/>
      <w:bookmarkEnd w:id="42"/>
      <w:bookmarkEnd w:id="43"/>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44" w:name="_Toc142711697"/>
      <w:bookmarkStart w:id="45" w:name="_Toc142711873"/>
      <w:bookmarkStart w:id="46" w:name="_Toc142711909"/>
      <w:bookmarkStart w:id="47" w:name="_Toc142721499"/>
      <w:bookmarkStart w:id="48" w:name="_Toc148923490"/>
      <w:bookmarkStart w:id="49" w:name="_Toc148925014"/>
      <w:bookmarkStart w:id="50" w:name="_Toc149017036"/>
      <w:bookmarkStart w:id="51" w:name="_Toc150921454"/>
      <w:r>
        <w:rPr>
          <w:rStyle w:val="CharPartNo"/>
        </w:rPr>
        <w:t>Part 2</w:t>
      </w:r>
      <w:r>
        <w:rPr>
          <w:rStyle w:val="CharDivNo"/>
        </w:rPr>
        <w:t> </w:t>
      </w:r>
      <w:r>
        <w:t>—</w:t>
      </w:r>
      <w:r>
        <w:rPr>
          <w:rStyle w:val="CharDivText"/>
        </w:rPr>
        <w:t> </w:t>
      </w:r>
      <w:r>
        <w:rPr>
          <w:rStyle w:val="CharPartText"/>
        </w:rPr>
        <w:t>Transfer and voluntary severance</w:t>
      </w:r>
      <w:bookmarkEnd w:id="44"/>
      <w:bookmarkEnd w:id="45"/>
      <w:bookmarkEnd w:id="46"/>
      <w:bookmarkEnd w:id="47"/>
      <w:bookmarkEnd w:id="48"/>
      <w:bookmarkEnd w:id="49"/>
      <w:bookmarkEnd w:id="50"/>
      <w:bookmarkEnd w:id="51"/>
      <w:r>
        <w:rPr>
          <w:rStyle w:val="CharPartText"/>
        </w:rPr>
        <w:t xml:space="preserve"> </w:t>
      </w:r>
    </w:p>
    <w:p>
      <w:pPr>
        <w:pStyle w:val="Heading5"/>
        <w:rPr>
          <w:snapToGrid w:val="0"/>
        </w:rPr>
      </w:pPr>
      <w:bookmarkStart w:id="52" w:name="_Toc438270024"/>
      <w:bookmarkStart w:id="53" w:name="_Toc492433122"/>
      <w:bookmarkStart w:id="54" w:name="_Toc316891"/>
      <w:bookmarkStart w:id="55" w:name="_Toc142711698"/>
      <w:bookmarkStart w:id="56" w:name="_Toc150921455"/>
      <w:r>
        <w:rPr>
          <w:rStyle w:val="CharSectno"/>
        </w:rPr>
        <w:t>5</w:t>
      </w:r>
      <w:r>
        <w:rPr>
          <w:snapToGrid w:val="0"/>
        </w:rPr>
        <w:t>.</w:t>
      </w:r>
      <w:r>
        <w:rPr>
          <w:snapToGrid w:val="0"/>
        </w:rPr>
        <w:tab/>
        <w:t>Certain employees may be transferred</w:t>
      </w:r>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57" w:name="_Toc438270025"/>
      <w:bookmarkStart w:id="58" w:name="_Toc492433123"/>
      <w:bookmarkStart w:id="59" w:name="_Toc316892"/>
      <w:bookmarkStart w:id="60" w:name="_Toc142711699"/>
      <w:bookmarkStart w:id="61" w:name="_Toc150921456"/>
      <w:r>
        <w:rPr>
          <w:rStyle w:val="CharSectno"/>
        </w:rPr>
        <w:t>6</w:t>
      </w:r>
      <w:r>
        <w:rPr>
          <w:snapToGrid w:val="0"/>
        </w:rPr>
        <w:t>.</w:t>
      </w:r>
      <w:r>
        <w:rPr>
          <w:snapToGrid w:val="0"/>
        </w:rPr>
        <w:tab/>
        <w:t>Voluntary severance for certain employees</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62" w:name="_Toc438270026"/>
      <w:bookmarkStart w:id="63" w:name="_Toc492433124"/>
      <w:bookmarkStart w:id="64" w:name="_Toc316893"/>
      <w:bookmarkStart w:id="65" w:name="_Toc142711700"/>
      <w:bookmarkStart w:id="66" w:name="_Toc150921457"/>
      <w:r>
        <w:rPr>
          <w:rStyle w:val="CharSectno"/>
        </w:rPr>
        <w:t>7</w:t>
      </w:r>
      <w:r>
        <w:rPr>
          <w:snapToGrid w:val="0"/>
        </w:rPr>
        <w:t>.</w:t>
      </w:r>
      <w:r>
        <w:rPr>
          <w:snapToGrid w:val="0"/>
        </w:rPr>
        <w:tab/>
        <w:t>Substituted voluntary severance for surplus employees</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67" w:name="_Toc142711701"/>
      <w:bookmarkStart w:id="68" w:name="_Toc142711877"/>
      <w:bookmarkStart w:id="69" w:name="_Toc142711913"/>
      <w:bookmarkStart w:id="70" w:name="_Toc142721503"/>
      <w:bookmarkStart w:id="71" w:name="_Toc148923494"/>
      <w:bookmarkStart w:id="72" w:name="_Toc148925018"/>
      <w:bookmarkStart w:id="73" w:name="_Toc149017040"/>
      <w:bookmarkStart w:id="74" w:name="_Toc150921458"/>
      <w:r>
        <w:rPr>
          <w:rStyle w:val="CharPartNo"/>
        </w:rPr>
        <w:t>Part 3</w:t>
      </w:r>
      <w:r>
        <w:rPr>
          <w:rStyle w:val="CharDivNo"/>
        </w:rPr>
        <w:t> </w:t>
      </w:r>
      <w:r>
        <w:t>—</w:t>
      </w:r>
      <w:r>
        <w:rPr>
          <w:rStyle w:val="CharDivText"/>
        </w:rPr>
        <w:t> </w:t>
      </w:r>
      <w:r>
        <w:rPr>
          <w:rStyle w:val="CharPartText"/>
        </w:rPr>
        <w:t>Privatization and contracting out</w:t>
      </w:r>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438270027"/>
      <w:bookmarkStart w:id="76" w:name="_Toc492433125"/>
      <w:bookmarkStart w:id="77" w:name="_Toc316894"/>
      <w:bookmarkStart w:id="78" w:name="_Toc142711702"/>
      <w:bookmarkStart w:id="79" w:name="_Toc150921459"/>
      <w:r>
        <w:rPr>
          <w:rStyle w:val="CharSectno"/>
        </w:rPr>
        <w:t>8</w:t>
      </w:r>
      <w:r>
        <w:rPr>
          <w:snapToGrid w:val="0"/>
        </w:rPr>
        <w:t>.</w:t>
      </w:r>
      <w:r>
        <w:rPr>
          <w:snapToGrid w:val="0"/>
        </w:rPr>
        <w:tab/>
        <w:t>Private sector offers of offices, posts or positions on privatization or contracting out</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80" w:name="_Toc438270028"/>
      <w:bookmarkStart w:id="81" w:name="_Toc492433126"/>
      <w:bookmarkStart w:id="82" w:name="_Toc316895"/>
      <w:bookmarkStart w:id="83" w:name="_Toc142711703"/>
      <w:bookmarkStart w:id="84" w:name="_Toc150921460"/>
      <w:r>
        <w:rPr>
          <w:rStyle w:val="CharSectno"/>
        </w:rPr>
        <w:t>9</w:t>
      </w:r>
      <w:r>
        <w:rPr>
          <w:snapToGrid w:val="0"/>
        </w:rPr>
        <w:t>.</w:t>
      </w:r>
      <w:r>
        <w:rPr>
          <w:snapToGrid w:val="0"/>
        </w:rPr>
        <w:tab/>
        <w:t>Benefits to which employees accepting offers of employment are entitled</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75pt" o:ole="">
            <v:imagedata r:id="rId21" o:title=""/>
          </v:shape>
          <o:OLEObject Type="Embed" ProgID="Equation.3" ShapeID="_x0000_i1025" DrawAspect="Content" ObjectID="_1644350881"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85" w:name="_Toc438270029"/>
      <w:bookmarkStart w:id="86" w:name="_Toc492433127"/>
      <w:bookmarkStart w:id="87" w:name="_Toc316896"/>
      <w:bookmarkStart w:id="88" w:name="_Toc142711704"/>
      <w:bookmarkStart w:id="89" w:name="_Toc150921461"/>
      <w:r>
        <w:rPr>
          <w:rStyle w:val="CharSectno"/>
        </w:rPr>
        <w:t>10</w:t>
      </w:r>
      <w:r>
        <w:rPr>
          <w:snapToGrid w:val="0"/>
        </w:rPr>
        <w:t>.</w:t>
      </w:r>
      <w:r>
        <w:rPr>
          <w:snapToGrid w:val="0"/>
        </w:rPr>
        <w:tab/>
        <w:t>Employees dismissed under certain sections of Act not entitled to certain payments</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90" w:name="_Toc142711705"/>
      <w:bookmarkStart w:id="91" w:name="_Toc142711881"/>
      <w:bookmarkStart w:id="92" w:name="_Toc142711917"/>
      <w:bookmarkStart w:id="93" w:name="_Toc142721507"/>
      <w:bookmarkStart w:id="94" w:name="_Toc148923498"/>
      <w:bookmarkStart w:id="95" w:name="_Toc148925022"/>
      <w:bookmarkStart w:id="96" w:name="_Toc149017044"/>
      <w:bookmarkStart w:id="97" w:name="_Toc150921462"/>
      <w:r>
        <w:rPr>
          <w:rStyle w:val="CharPartNo"/>
        </w:rPr>
        <w:t>Part 4</w:t>
      </w:r>
      <w:r>
        <w:rPr>
          <w:rStyle w:val="CharDivNo"/>
        </w:rPr>
        <w:t> </w:t>
      </w:r>
      <w:r>
        <w:t>—</w:t>
      </w:r>
      <w:r>
        <w:rPr>
          <w:rStyle w:val="CharDivText"/>
        </w:rPr>
        <w:t> </w:t>
      </w:r>
      <w:r>
        <w:rPr>
          <w:rStyle w:val="CharPartText"/>
        </w:rPr>
        <w:t>Registered employees</w:t>
      </w:r>
      <w:bookmarkEnd w:id="90"/>
      <w:bookmarkEnd w:id="91"/>
      <w:bookmarkEnd w:id="92"/>
      <w:bookmarkEnd w:id="93"/>
      <w:bookmarkEnd w:id="94"/>
      <w:bookmarkEnd w:id="95"/>
      <w:bookmarkEnd w:id="96"/>
      <w:bookmarkEnd w:id="97"/>
      <w:r>
        <w:rPr>
          <w:rStyle w:val="CharPartText"/>
        </w:rPr>
        <w:t xml:space="preserve"> </w:t>
      </w:r>
    </w:p>
    <w:p>
      <w:pPr>
        <w:pStyle w:val="Heading5"/>
        <w:rPr>
          <w:snapToGrid w:val="0"/>
        </w:rPr>
      </w:pPr>
      <w:bookmarkStart w:id="98" w:name="_Toc438270030"/>
      <w:bookmarkStart w:id="99" w:name="_Toc492433128"/>
      <w:bookmarkStart w:id="100" w:name="_Toc316897"/>
      <w:bookmarkStart w:id="101" w:name="_Toc142711706"/>
      <w:bookmarkStart w:id="102" w:name="_Toc150921463"/>
      <w:r>
        <w:rPr>
          <w:rStyle w:val="CharSectno"/>
        </w:rPr>
        <w:t>11</w:t>
      </w:r>
      <w:r>
        <w:rPr>
          <w:snapToGrid w:val="0"/>
        </w:rPr>
        <w:t>.</w:t>
      </w:r>
      <w:r>
        <w:rPr>
          <w:snapToGrid w:val="0"/>
        </w:rPr>
        <w:tab/>
        <w:t>Registration of employees</w:t>
      </w:r>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103" w:name="_Toc438270031"/>
      <w:bookmarkStart w:id="104" w:name="_Toc492433129"/>
      <w:bookmarkStart w:id="105" w:name="_Toc316898"/>
      <w:bookmarkStart w:id="106" w:name="_Toc142711707"/>
      <w:bookmarkStart w:id="107" w:name="_Toc150921464"/>
      <w:r>
        <w:rPr>
          <w:rStyle w:val="CharSectno"/>
        </w:rPr>
        <w:t>12</w:t>
      </w:r>
      <w:r>
        <w:rPr>
          <w:snapToGrid w:val="0"/>
        </w:rPr>
        <w:t>.</w:t>
      </w:r>
      <w:r>
        <w:rPr>
          <w:snapToGrid w:val="0"/>
        </w:rPr>
        <w:tab/>
        <w:t>Special leave for registered employees</w:t>
      </w:r>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08" w:name="_Toc438270032"/>
      <w:bookmarkStart w:id="109" w:name="_Toc492433130"/>
      <w:bookmarkStart w:id="110" w:name="_Toc316899"/>
      <w:bookmarkStart w:id="111" w:name="_Toc142711708"/>
      <w:bookmarkStart w:id="112" w:name="_Toc150921465"/>
      <w:r>
        <w:rPr>
          <w:rStyle w:val="CharSectno"/>
        </w:rPr>
        <w:t>13</w:t>
      </w:r>
      <w:r>
        <w:rPr>
          <w:snapToGrid w:val="0"/>
        </w:rPr>
        <w:t>.</w:t>
      </w:r>
      <w:r>
        <w:rPr>
          <w:snapToGrid w:val="0"/>
        </w:rPr>
        <w:tab/>
        <w:t>Redeployment of registered employees</w:t>
      </w:r>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113" w:name="_Toc438270033"/>
      <w:bookmarkStart w:id="114" w:name="_Toc492433131"/>
      <w:bookmarkStart w:id="115" w:name="_Toc316900"/>
      <w:bookmarkStart w:id="116" w:name="_Toc142711709"/>
      <w:bookmarkStart w:id="117" w:name="_Toc150921466"/>
      <w:r>
        <w:rPr>
          <w:rStyle w:val="CharSectno"/>
        </w:rPr>
        <w:t>14</w:t>
      </w:r>
      <w:r>
        <w:rPr>
          <w:snapToGrid w:val="0"/>
        </w:rPr>
        <w:t>.</w:t>
      </w:r>
      <w:r>
        <w:rPr>
          <w:snapToGrid w:val="0"/>
        </w:rPr>
        <w:tab/>
        <w:t>Retraining of registered employees</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118" w:name="_Toc438270034"/>
      <w:bookmarkStart w:id="119" w:name="_Toc492433132"/>
      <w:bookmarkStart w:id="120" w:name="_Toc316901"/>
      <w:bookmarkStart w:id="121" w:name="_Toc142711710"/>
      <w:bookmarkStart w:id="122" w:name="_Toc150921467"/>
      <w:r>
        <w:rPr>
          <w:rStyle w:val="CharSectno"/>
        </w:rPr>
        <w:t>15</w:t>
      </w:r>
      <w:r>
        <w:rPr>
          <w:snapToGrid w:val="0"/>
        </w:rPr>
        <w:t>.</w:t>
      </w:r>
      <w:r>
        <w:rPr>
          <w:snapToGrid w:val="0"/>
        </w:rPr>
        <w:tab/>
        <w:t>Voluntary severance for certain registered employees</w:t>
      </w:r>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123" w:name="_Toc438270035"/>
      <w:bookmarkStart w:id="124" w:name="_Toc492433133"/>
      <w:bookmarkStart w:id="125" w:name="_Toc316902"/>
      <w:bookmarkStart w:id="126" w:name="_Toc142711711"/>
      <w:bookmarkStart w:id="127" w:name="_Toc150921468"/>
      <w:r>
        <w:rPr>
          <w:rStyle w:val="CharSectno"/>
        </w:rPr>
        <w:t>16</w:t>
      </w:r>
      <w:r>
        <w:rPr>
          <w:snapToGrid w:val="0"/>
        </w:rPr>
        <w:t>.</w:t>
      </w:r>
      <w:r>
        <w:rPr>
          <w:snapToGrid w:val="0"/>
        </w:rPr>
        <w:tab/>
        <w:t>Voluntary severance initiated by registered employees</w:t>
      </w:r>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128" w:name="_Toc438270036"/>
      <w:bookmarkStart w:id="129" w:name="_Toc492433134"/>
      <w:bookmarkStart w:id="130" w:name="_Toc316903"/>
      <w:bookmarkStart w:id="131" w:name="_Toc142711712"/>
      <w:bookmarkStart w:id="132" w:name="_Toc150921469"/>
      <w:r>
        <w:rPr>
          <w:rStyle w:val="CharSectno"/>
        </w:rPr>
        <w:t>17</w:t>
      </w:r>
      <w:r>
        <w:rPr>
          <w:snapToGrid w:val="0"/>
        </w:rPr>
        <w:t>.</w:t>
      </w:r>
      <w:r>
        <w:rPr>
          <w:snapToGrid w:val="0"/>
        </w:rPr>
        <w:tab/>
        <w:t>Substituted voluntary severance for surplus registered employees</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133" w:name="_Toc438270037"/>
      <w:bookmarkStart w:id="134" w:name="_Toc492433135"/>
      <w:bookmarkStart w:id="135" w:name="_Toc316904"/>
      <w:bookmarkStart w:id="136" w:name="_Toc142711713"/>
      <w:bookmarkStart w:id="137" w:name="_Toc150921470"/>
      <w:r>
        <w:rPr>
          <w:rStyle w:val="CharSectno"/>
        </w:rPr>
        <w:t>18</w:t>
      </w:r>
      <w:r>
        <w:rPr>
          <w:snapToGrid w:val="0"/>
        </w:rPr>
        <w:t>.</w:t>
      </w:r>
      <w:r>
        <w:rPr>
          <w:snapToGrid w:val="0"/>
        </w:rPr>
        <w:tab/>
        <w:t>Benefits to which registered employees accepting offers of offices, posts or positions are entitled</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rPr>
          <w:snapToGrid w:val="0"/>
        </w:rPr>
      </w:pPr>
      <w:bookmarkStart w:id="138" w:name="_Toc438270038"/>
      <w:bookmarkStart w:id="139" w:name="_Toc492433136"/>
      <w:bookmarkStart w:id="140" w:name="_Toc316905"/>
      <w:bookmarkStart w:id="141" w:name="_Toc142711714"/>
      <w:bookmarkStart w:id="142" w:name="_Toc150921471"/>
      <w:r>
        <w:rPr>
          <w:rStyle w:val="CharSectno"/>
        </w:rPr>
        <w:t>19</w:t>
      </w:r>
      <w:r>
        <w:rPr>
          <w:snapToGrid w:val="0"/>
        </w:rPr>
        <w:t>.</w:t>
      </w:r>
      <w:r>
        <w:rPr>
          <w:snapToGrid w:val="0"/>
        </w:rPr>
        <w:tab/>
        <w:t>Benefits to which registered employees accepting private sector employment are entitled</w:t>
      </w:r>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2.5pt;height:15.75pt" o:ole="">
            <v:imagedata r:id="rId23" o:title=""/>
          </v:shape>
          <o:OLEObject Type="Embed" ProgID="Equation.3" ShapeID="_x0000_i1026" DrawAspect="Content" ObjectID="_1644350882"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143" w:name="_Toc142711715"/>
      <w:bookmarkStart w:id="144" w:name="_Toc142711891"/>
      <w:bookmarkStart w:id="145" w:name="_Toc142711927"/>
      <w:bookmarkStart w:id="146" w:name="_Toc142721517"/>
      <w:bookmarkStart w:id="147" w:name="_Toc148923508"/>
      <w:bookmarkStart w:id="148" w:name="_Toc148925032"/>
      <w:bookmarkStart w:id="149" w:name="_Toc149017054"/>
      <w:bookmarkStart w:id="150" w:name="_Toc150921472"/>
      <w:r>
        <w:rPr>
          <w:rStyle w:val="CharPartNo"/>
        </w:rPr>
        <w:t>Part 5</w:t>
      </w:r>
      <w:r>
        <w:rPr>
          <w:rStyle w:val="CharDivNo"/>
        </w:rPr>
        <w:t> </w:t>
      </w:r>
      <w:r>
        <w:t>—</w:t>
      </w:r>
      <w:r>
        <w:rPr>
          <w:rStyle w:val="CharDivText"/>
        </w:rPr>
        <w:t> </w:t>
      </w:r>
      <w:r>
        <w:rPr>
          <w:rStyle w:val="CharPartText"/>
        </w:rPr>
        <w:t>Voluntary severance payments and other benefits</w:t>
      </w:r>
      <w:bookmarkEnd w:id="143"/>
      <w:bookmarkEnd w:id="144"/>
      <w:bookmarkEnd w:id="145"/>
      <w:bookmarkEnd w:id="146"/>
      <w:bookmarkEnd w:id="147"/>
      <w:bookmarkEnd w:id="148"/>
      <w:bookmarkEnd w:id="149"/>
      <w:bookmarkEnd w:id="150"/>
      <w:r>
        <w:rPr>
          <w:rStyle w:val="CharPartText"/>
        </w:rPr>
        <w:t xml:space="preserve"> </w:t>
      </w:r>
    </w:p>
    <w:p>
      <w:pPr>
        <w:pStyle w:val="Heading5"/>
        <w:rPr>
          <w:snapToGrid w:val="0"/>
        </w:rPr>
      </w:pPr>
      <w:bookmarkStart w:id="151" w:name="_Toc438270039"/>
      <w:bookmarkStart w:id="152" w:name="_Toc492433137"/>
      <w:bookmarkStart w:id="153" w:name="_Toc316906"/>
      <w:bookmarkStart w:id="154" w:name="_Toc142711716"/>
      <w:bookmarkStart w:id="155" w:name="_Toc150921473"/>
      <w:r>
        <w:rPr>
          <w:rStyle w:val="CharSectno"/>
        </w:rPr>
        <w:t>20</w:t>
      </w:r>
      <w:r>
        <w:rPr>
          <w:snapToGrid w:val="0"/>
        </w:rPr>
        <w:t>.</w:t>
      </w:r>
      <w:r>
        <w:rPr>
          <w:snapToGrid w:val="0"/>
        </w:rPr>
        <w:tab/>
        <w:t>Severance payments</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2.5pt;height:15.75pt" o:ole="">
            <v:imagedata r:id="rId25" o:title=""/>
          </v:shape>
          <o:OLEObject Type="Embed" ProgID="Equation.3" ShapeID="_x0000_i1027" DrawAspect="Content" ObjectID="_1644350883"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w:t>
      </w:r>
    </w:p>
    <w:p>
      <w:pPr>
        <w:pStyle w:val="Heading5"/>
        <w:rPr>
          <w:snapToGrid w:val="0"/>
        </w:rPr>
      </w:pPr>
      <w:bookmarkStart w:id="156" w:name="_Toc438270040"/>
      <w:bookmarkStart w:id="157" w:name="_Toc492433138"/>
      <w:bookmarkStart w:id="158" w:name="_Toc316907"/>
      <w:bookmarkStart w:id="159" w:name="_Toc142711717"/>
      <w:bookmarkStart w:id="160" w:name="_Toc150921474"/>
      <w:r>
        <w:rPr>
          <w:rStyle w:val="CharSectno"/>
        </w:rPr>
        <w:t>21</w:t>
      </w:r>
      <w:r>
        <w:rPr>
          <w:snapToGrid w:val="0"/>
        </w:rPr>
        <w:t>.</w:t>
      </w:r>
      <w:r>
        <w:rPr>
          <w:snapToGrid w:val="0"/>
        </w:rPr>
        <w:tab/>
        <w:t>Other benefits payable on voluntary severance</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61" w:name="_Toc438270041"/>
      <w:bookmarkStart w:id="162" w:name="_Toc492433139"/>
      <w:bookmarkStart w:id="163" w:name="_Toc316908"/>
      <w:bookmarkStart w:id="164" w:name="_Toc142711718"/>
      <w:bookmarkStart w:id="165" w:name="_Toc150921475"/>
      <w:r>
        <w:rPr>
          <w:rStyle w:val="CharSectno"/>
        </w:rPr>
        <w:t>22</w:t>
      </w:r>
      <w:r>
        <w:rPr>
          <w:snapToGrid w:val="0"/>
        </w:rPr>
        <w:t>.</w:t>
      </w:r>
      <w:r>
        <w:rPr>
          <w:snapToGrid w:val="0"/>
        </w:rPr>
        <w:tab/>
        <w:t>Restriction on employment in Public Sector</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166" w:name="_Toc142711719"/>
      <w:bookmarkStart w:id="167" w:name="_Toc142711895"/>
      <w:bookmarkStart w:id="168" w:name="_Toc142711931"/>
      <w:bookmarkStart w:id="169" w:name="_Toc142721521"/>
      <w:bookmarkStart w:id="170" w:name="_Toc148923512"/>
      <w:bookmarkStart w:id="171" w:name="_Toc148925036"/>
      <w:bookmarkStart w:id="172" w:name="_Toc149017058"/>
      <w:bookmarkStart w:id="173" w:name="_Toc150921476"/>
      <w:r>
        <w:rPr>
          <w:rStyle w:val="CharPartNo"/>
        </w:rPr>
        <w:t>Part 6</w:t>
      </w:r>
      <w:r>
        <w:rPr>
          <w:rStyle w:val="CharDivNo"/>
        </w:rPr>
        <w:t> </w:t>
      </w:r>
      <w:r>
        <w:t>—</w:t>
      </w:r>
      <w:r>
        <w:rPr>
          <w:rStyle w:val="CharDivText"/>
        </w:rPr>
        <w:t> </w:t>
      </w:r>
      <w:r>
        <w:rPr>
          <w:rStyle w:val="CharPartText"/>
        </w:rPr>
        <w:t>General</w:t>
      </w:r>
      <w:bookmarkEnd w:id="166"/>
      <w:bookmarkEnd w:id="167"/>
      <w:bookmarkEnd w:id="168"/>
      <w:bookmarkEnd w:id="169"/>
      <w:bookmarkEnd w:id="170"/>
      <w:bookmarkEnd w:id="171"/>
      <w:bookmarkEnd w:id="172"/>
      <w:bookmarkEnd w:id="173"/>
      <w:r>
        <w:rPr>
          <w:rStyle w:val="CharPartText"/>
        </w:rPr>
        <w:t xml:space="preserve"> </w:t>
      </w:r>
    </w:p>
    <w:p>
      <w:pPr>
        <w:pStyle w:val="Heading5"/>
        <w:rPr>
          <w:snapToGrid w:val="0"/>
        </w:rPr>
      </w:pPr>
      <w:bookmarkStart w:id="174" w:name="_Toc438270042"/>
      <w:bookmarkStart w:id="175" w:name="_Toc492433140"/>
      <w:bookmarkStart w:id="176" w:name="_Toc316909"/>
      <w:bookmarkStart w:id="177" w:name="_Toc142711720"/>
      <w:bookmarkStart w:id="178" w:name="_Toc150921477"/>
      <w:r>
        <w:rPr>
          <w:rStyle w:val="CharSectno"/>
        </w:rPr>
        <w:t>23</w:t>
      </w:r>
      <w:r>
        <w:rPr>
          <w:snapToGrid w:val="0"/>
        </w:rPr>
        <w:t>.</w:t>
      </w:r>
      <w:r>
        <w:rPr>
          <w:snapToGrid w:val="0"/>
        </w:rPr>
        <w:tab/>
        <w:t>Rate of pay of surplus employees</w:t>
      </w:r>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79" w:name="_Toc438270043"/>
      <w:bookmarkStart w:id="180" w:name="_Toc492433141"/>
      <w:bookmarkStart w:id="181" w:name="_Toc316910"/>
      <w:bookmarkStart w:id="182" w:name="_Toc142711721"/>
      <w:bookmarkStart w:id="183" w:name="_Toc150921478"/>
      <w:r>
        <w:rPr>
          <w:rStyle w:val="CharSectno"/>
        </w:rPr>
        <w:t>24</w:t>
      </w:r>
      <w:r>
        <w:rPr>
          <w:snapToGrid w:val="0"/>
        </w:rPr>
        <w:t>.</w:t>
      </w:r>
      <w:r>
        <w:rPr>
          <w:snapToGrid w:val="0"/>
        </w:rPr>
        <w:tab/>
        <w:t>Employing authorities to notify Minister of vacancies</w:t>
      </w:r>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184" w:name="_Toc438270044"/>
      <w:bookmarkStart w:id="185" w:name="_Toc492433142"/>
      <w:bookmarkStart w:id="186" w:name="_Toc316911"/>
      <w:bookmarkStart w:id="187" w:name="_Toc142711722"/>
      <w:bookmarkStart w:id="188" w:name="_Toc150921479"/>
      <w:r>
        <w:rPr>
          <w:rStyle w:val="CharSectno"/>
        </w:rPr>
        <w:t>25</w:t>
      </w:r>
      <w:r>
        <w:rPr>
          <w:snapToGrid w:val="0"/>
        </w:rPr>
        <w:t>.</w:t>
      </w:r>
      <w:r>
        <w:rPr>
          <w:snapToGrid w:val="0"/>
        </w:rPr>
        <w:tab/>
        <w:t>Prescribed period for certain references</w:t>
      </w:r>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27"/>
          <w:headerReference w:type="default" r:id="rId28"/>
          <w:footerReference w:type="even" r:id="rId29"/>
          <w:footerReference w:type="default" r:id="rId30"/>
          <w:headerReference w:type="first" r:id="rId31"/>
          <w:footerReference w:type="first" r:id="rId32"/>
          <w:pgSz w:w="11906" w:h="16838" w:code="9"/>
          <w:pgMar w:top="2381" w:right="2409" w:bottom="3543" w:left="2409" w:header="720" w:footer="3380" w:gutter="0"/>
          <w:pgNumType w:start="1"/>
          <w:cols w:space="720"/>
          <w:noEndnote/>
          <w:titlePg/>
          <w:docGrid w:linePitch="326"/>
        </w:sectPr>
      </w:pPr>
    </w:p>
    <w:p>
      <w:pPr>
        <w:pStyle w:val="nHeading2"/>
      </w:pPr>
      <w:bookmarkStart w:id="189" w:name="_Toc142711723"/>
      <w:bookmarkStart w:id="190" w:name="_Toc142711899"/>
      <w:bookmarkStart w:id="191" w:name="_Toc142711935"/>
      <w:bookmarkStart w:id="192" w:name="_Toc142721525"/>
      <w:bookmarkStart w:id="193" w:name="_Toc148923516"/>
      <w:bookmarkStart w:id="194" w:name="_Toc148925040"/>
      <w:bookmarkStart w:id="195" w:name="_Toc149017062"/>
      <w:bookmarkStart w:id="196" w:name="_Toc150921480"/>
      <w:r>
        <w:t>Notes</w:t>
      </w:r>
      <w:bookmarkEnd w:id="189"/>
      <w:bookmarkEnd w:id="190"/>
      <w:bookmarkEnd w:id="191"/>
      <w:bookmarkEnd w:id="192"/>
      <w:bookmarkEnd w:id="193"/>
      <w:bookmarkEnd w:id="194"/>
      <w:bookmarkEnd w:id="195"/>
      <w:bookmarkEnd w:id="19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7" w:name="_Toc150921481"/>
      <w:r>
        <w:rPr>
          <w:snapToGrid w:val="0"/>
        </w:rPr>
        <w:t>Compilation table</w:t>
      </w:r>
      <w:bookmarkEnd w:id="197"/>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6" w:type="dxa"/>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6" w:type="dxa"/>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6" w:type="dxa"/>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6" w:type="dxa"/>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6" w:type="dxa"/>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cantSplit/>
        </w:trPr>
        <w:tc>
          <w:tcPr>
            <w:tcW w:w="7088" w:type="dxa"/>
            <w:gridSpan w:val="3"/>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6" w:type="dxa"/>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6" w:type="dxa"/>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6" w:type="dxa"/>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6" w:type="dxa"/>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cantSplit/>
        </w:trPr>
        <w:tc>
          <w:tcPr>
            <w:tcW w:w="7088" w:type="dxa"/>
            <w:gridSpan w:val="3"/>
            <w:tcBorders>
              <w:top w:val="nil"/>
              <w:bottom w:val="single" w:sz="4" w:space="0" w:color="auto"/>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8" w:name="_Toc7405065"/>
      <w:r>
        <w:t>Provisions that have not come into operation</w:t>
      </w:r>
      <w:bookmarkEnd w:id="19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z w:val="19"/>
              </w:rPr>
              <w:t>Public Sector Management (Redeployment and Redundancy) Amendment Regulations 2010</w:t>
            </w:r>
            <w:r>
              <w:rPr>
                <w:iCs/>
                <w:sz w:val="19"/>
              </w:rPr>
              <w:t xml:space="preserve"> Pt. 2 and 3 </w:t>
            </w:r>
            <w:r>
              <w:rPr>
                <w:iCs/>
                <w:sz w:val="19"/>
                <w:vertAlign w:val="superscript"/>
              </w:rPr>
              <w:t>2</w:t>
            </w:r>
          </w:p>
        </w:tc>
        <w:tc>
          <w:tcPr>
            <w:tcW w:w="1118" w:type="dxa"/>
          </w:tcPr>
          <w:p>
            <w:pPr>
              <w:pStyle w:val="nTable"/>
              <w:spacing w:after="40"/>
              <w:rPr>
                <w:snapToGrid w:val="0"/>
                <w:sz w:val="19"/>
                <w:lang w:val="en-US"/>
              </w:rPr>
            </w:pPr>
            <w:r>
              <w:rPr>
                <w:sz w:val="19"/>
              </w:rPr>
              <w:t>5 Nov 2010 p. 5568</w:t>
            </w:r>
            <w:r>
              <w:rPr>
                <w:sz w:val="19"/>
              </w:rPr>
              <w:noBreakHyphen/>
              <w:t>70</w:t>
            </w:r>
          </w:p>
        </w:tc>
        <w:tc>
          <w:tcPr>
            <w:tcW w:w="1134" w:type="dxa"/>
          </w:tcPr>
          <w:p>
            <w:pPr>
              <w:pStyle w:val="nTable"/>
              <w:spacing w:after="40"/>
              <w:rPr>
                <w:snapToGrid w:val="0"/>
                <w:sz w:val="19"/>
                <w:lang w:val="en-US"/>
              </w:rPr>
            </w:pPr>
            <w:r>
              <w:rPr>
                <w:sz w:val="19"/>
              </w:rPr>
              <w:t>1 Oct 2010</w:t>
            </w:r>
          </w:p>
        </w:tc>
        <w:tc>
          <w:tcPr>
            <w:tcW w:w="2552" w:type="dxa"/>
          </w:tcPr>
          <w:p>
            <w:pPr>
              <w:pStyle w:val="nTable"/>
              <w:spacing w:after="40"/>
              <w:rPr>
                <w:snapToGrid w:val="0"/>
                <w:sz w:val="19"/>
                <w:lang w:val="en-US"/>
              </w:rPr>
            </w:pPr>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iCs/>
                <w:snapToGrid w:val="0"/>
                <w:sz w:val="19"/>
                <w:lang w:val="en-US"/>
              </w:rPr>
              <w:t>Gazette</w:t>
            </w:r>
            <w:r>
              <w:rPr>
                <w:snapToGrid w:val="0"/>
                <w:sz w:val="19"/>
                <w:lang w:val="en-US"/>
              </w:rPr>
              <w:t xml:space="preserve"> 5 Nov 2010 p. 5563)</w:t>
            </w:r>
          </w:p>
        </w:tc>
      </w:tr>
    </w:tbl>
    <w:p>
      <w:pPr>
        <w:pStyle w:val="nSubsection"/>
        <w:keepLines/>
        <w:spacing w:before="0"/>
        <w:rPr>
          <w:snapToGrid w:val="0"/>
          <w:vertAlign w:val="superscript"/>
        </w:rPr>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Public Sector Management (Redeployment and Redundancy) Amendment Regulations 2010 </w:t>
      </w:r>
      <w:r>
        <w:rPr>
          <w:iCs/>
          <w:snapToGrid w:val="0"/>
        </w:rPr>
        <w:t xml:space="preserve">Pt. 2 and 3 </w:t>
      </w:r>
      <w:r>
        <w:rPr>
          <w:snapToGrid w:val="0"/>
        </w:rPr>
        <w:t>had not come into operation.  They read as follows:</w:t>
      </w:r>
    </w:p>
    <w:p>
      <w:pPr>
        <w:pStyle w:val="BlankOpen"/>
        <w:rPr>
          <w:snapToGrid w:val="0"/>
        </w:rPr>
      </w:pPr>
    </w:p>
    <w:p>
      <w:pPr>
        <w:pStyle w:val="nzHeading2"/>
      </w:pPr>
      <w:r>
        <w:rPr>
          <w:rStyle w:val="CharPartNo"/>
        </w:rPr>
        <w:t>Part 2</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2</w:t>
      </w:r>
    </w:p>
    <w:p>
      <w:pPr>
        <w:pStyle w:val="nzHeading5"/>
      </w:pPr>
      <w:r>
        <w:rPr>
          <w:rStyle w:val="CharSectno"/>
        </w:rPr>
        <w:t>4</w:t>
      </w:r>
      <w:r>
        <w:t>.</w:t>
      </w:r>
      <w:r>
        <w:tab/>
        <w:t>Regulation 26 inserted</w:t>
      </w:r>
    </w:p>
    <w:p>
      <w:pPr>
        <w:pStyle w:val="nzSubsection"/>
      </w:pPr>
      <w:r>
        <w:tab/>
      </w:r>
      <w:r>
        <w:tab/>
        <w:t>After regulation 25 insert:</w:t>
      </w:r>
    </w:p>
    <w:p>
      <w:pPr>
        <w:pStyle w:val="BlankOpen"/>
      </w:pPr>
    </w:p>
    <w:p>
      <w:pPr>
        <w:pStyle w:val="nzHeading5"/>
      </w:pPr>
      <w:r>
        <w:t>26.</w:t>
      </w:r>
      <w:r>
        <w:tab/>
        <w:t>Transitional provision: Ministerial actions</w:t>
      </w:r>
    </w:p>
    <w:p>
      <w:pPr>
        <w:pStyle w:val="nzSubsection"/>
      </w:pPr>
      <w:r>
        <w:tab/>
        <w:t>(1)</w:t>
      </w:r>
      <w:r>
        <w:tab/>
        <w:t xml:space="preserve">In this regulation — </w:t>
      </w:r>
    </w:p>
    <w:p>
      <w:pPr>
        <w:pStyle w:val="nz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nz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nz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BlankClose"/>
      </w:pPr>
    </w:p>
    <w:p>
      <w:pPr>
        <w:pStyle w:val="nzHeading5"/>
      </w:pPr>
      <w:r>
        <w:rPr>
          <w:rStyle w:val="CharSectno"/>
        </w:rPr>
        <w:t>5</w:t>
      </w:r>
      <w:r>
        <w:t>.</w:t>
      </w:r>
      <w:r>
        <w:tab/>
        <w:t>Various references to “Commissioner” amended</w:t>
      </w:r>
    </w:p>
    <w:p>
      <w:pPr>
        <w:pStyle w:val="nzSubsection"/>
      </w:pPr>
      <w:r>
        <w:tab/>
      </w:r>
      <w:r>
        <w:tab/>
        <w:t>In the provisions listed in the Table:</w:t>
      </w:r>
    </w:p>
    <w:p>
      <w:pPr>
        <w:pStyle w:val="nzIndenta"/>
      </w:pPr>
      <w:r>
        <w:tab/>
        <w:t>(a)</w:t>
      </w:r>
      <w:r>
        <w:tab/>
        <w:t>delete “Minister” (each occurrence) and insert:</w:t>
      </w:r>
    </w:p>
    <w:p>
      <w:pPr>
        <w:pStyle w:val="BlankOpen"/>
      </w:pPr>
    </w:p>
    <w:p>
      <w:pPr>
        <w:pStyle w:val="nzIndenta"/>
      </w:pPr>
      <w:r>
        <w:tab/>
      </w:r>
      <w:r>
        <w:tab/>
        <w:t>Commissioner</w:t>
      </w:r>
    </w:p>
    <w:p>
      <w:pPr>
        <w:pStyle w:val="BlankClose"/>
      </w:pPr>
    </w:p>
    <w:p>
      <w:pPr>
        <w:pStyle w:val="nzIndenta"/>
      </w:pPr>
      <w:r>
        <w:tab/>
        <w:t>(b)</w:t>
      </w:r>
      <w:r>
        <w:tab/>
        <w:t>delete “Minister’s” and insert:</w:t>
      </w:r>
    </w:p>
    <w:p>
      <w:pPr>
        <w:pStyle w:val="BlankOpen"/>
      </w:pPr>
    </w:p>
    <w:p>
      <w:pPr>
        <w:pStyle w:val="nzIndenta"/>
      </w:pPr>
      <w:r>
        <w:tab/>
      </w:r>
      <w:r>
        <w:tab/>
        <w:t>Commissioner’s</w:t>
      </w:r>
    </w:p>
    <w:p>
      <w:pPr>
        <w:pStyle w:val="BlankClose"/>
      </w:pPr>
    </w:p>
    <w:p>
      <w:pPr>
        <w:pStyle w:val="THeading"/>
      </w:pPr>
      <w:r>
        <w:t>Table</w:t>
      </w:r>
    </w:p>
    <w:tbl>
      <w:tblPr>
        <w:tblW w:w="0" w:type="auto"/>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764"/>
      </w:tblGrid>
      <w:tr>
        <w:trPr>
          <w:cantSplit/>
          <w:jc w:val="center"/>
        </w:trPr>
        <w:tc>
          <w:tcPr>
            <w:tcW w:w="3120" w:type="dxa"/>
          </w:tcPr>
          <w:p>
            <w:pPr>
              <w:pStyle w:val="TableNAm"/>
            </w:pPr>
            <w:r>
              <w:t>r. 3(1) def. of pay</w:t>
            </w:r>
            <w:r>
              <w:rPr>
                <w:bCs/>
                <w:iCs/>
              </w:rPr>
              <w:t xml:space="preserve">, def. of </w:t>
            </w:r>
            <w:r>
              <w:rPr>
                <w:b/>
                <w:bCs/>
                <w:i/>
                <w:iCs/>
              </w:rPr>
              <w:t>the employee’s period of continuous service</w:t>
            </w:r>
            <w:r>
              <w:rPr>
                <w:bCs/>
                <w:iCs/>
              </w:rPr>
              <w:t xml:space="preserve"> par. (a)</w:t>
            </w:r>
          </w:p>
        </w:tc>
        <w:tc>
          <w:tcPr>
            <w:tcW w:w="2764" w:type="dxa"/>
          </w:tcPr>
          <w:p>
            <w:pPr>
              <w:pStyle w:val="TableNAm"/>
            </w:pPr>
            <w:r>
              <w:t>r. 6(1) and (5)</w:t>
            </w:r>
          </w:p>
        </w:tc>
      </w:tr>
      <w:tr>
        <w:trPr>
          <w:cantSplit/>
          <w:jc w:val="center"/>
        </w:trPr>
        <w:tc>
          <w:tcPr>
            <w:tcW w:w="3120" w:type="dxa"/>
          </w:tcPr>
          <w:p>
            <w:pPr>
              <w:pStyle w:val="TableNAm"/>
            </w:pPr>
            <w:r>
              <w:t>r. 7(1)(c) and (3)</w:t>
            </w:r>
          </w:p>
        </w:tc>
        <w:tc>
          <w:tcPr>
            <w:tcW w:w="2764" w:type="dxa"/>
          </w:tcPr>
          <w:p>
            <w:pPr>
              <w:pStyle w:val="TableNAm"/>
            </w:pPr>
            <w:r>
              <w:t>r. 9(1)(b)(i) and (5)</w:t>
            </w:r>
          </w:p>
        </w:tc>
      </w:tr>
      <w:tr>
        <w:trPr>
          <w:cantSplit/>
          <w:jc w:val="center"/>
        </w:trPr>
        <w:tc>
          <w:tcPr>
            <w:tcW w:w="3120" w:type="dxa"/>
          </w:tcPr>
          <w:p>
            <w:pPr>
              <w:pStyle w:val="TableNAm"/>
            </w:pPr>
            <w:r>
              <w:t>r. 11(1), (2) and (3)</w:t>
            </w:r>
          </w:p>
        </w:tc>
        <w:tc>
          <w:tcPr>
            <w:tcW w:w="2764" w:type="dxa"/>
          </w:tcPr>
          <w:p>
            <w:pPr>
              <w:pStyle w:val="TableNAm"/>
            </w:pPr>
            <w:r>
              <w:t>r. 13(2) and (3)</w:t>
            </w:r>
          </w:p>
        </w:tc>
      </w:tr>
      <w:tr>
        <w:trPr>
          <w:cantSplit/>
          <w:jc w:val="center"/>
        </w:trPr>
        <w:tc>
          <w:tcPr>
            <w:tcW w:w="3120" w:type="dxa"/>
          </w:tcPr>
          <w:p>
            <w:pPr>
              <w:pStyle w:val="TableNAm"/>
            </w:pPr>
            <w:r>
              <w:t>r. 14(2)(d) and (3)(b)</w:t>
            </w:r>
          </w:p>
        </w:tc>
        <w:tc>
          <w:tcPr>
            <w:tcW w:w="2764" w:type="dxa"/>
          </w:tcPr>
          <w:p>
            <w:pPr>
              <w:pStyle w:val="TableNAm"/>
            </w:pPr>
            <w:r>
              <w:t>r. 15(1) and (4)</w:t>
            </w:r>
          </w:p>
        </w:tc>
      </w:tr>
      <w:tr>
        <w:trPr>
          <w:cantSplit/>
          <w:jc w:val="center"/>
        </w:trPr>
        <w:tc>
          <w:tcPr>
            <w:tcW w:w="3120" w:type="dxa"/>
          </w:tcPr>
          <w:p>
            <w:pPr>
              <w:pStyle w:val="TableNAm"/>
            </w:pPr>
            <w:r>
              <w:t>r. 16(2) and (5)</w:t>
            </w:r>
          </w:p>
        </w:tc>
        <w:tc>
          <w:tcPr>
            <w:tcW w:w="2764" w:type="dxa"/>
          </w:tcPr>
          <w:p>
            <w:pPr>
              <w:pStyle w:val="TableNAm"/>
            </w:pPr>
            <w:r>
              <w:t>r. 17(1)(b) and (3)</w:t>
            </w:r>
          </w:p>
        </w:tc>
      </w:tr>
      <w:tr>
        <w:trPr>
          <w:cantSplit/>
          <w:jc w:val="center"/>
        </w:trPr>
        <w:tc>
          <w:tcPr>
            <w:tcW w:w="3120" w:type="dxa"/>
          </w:tcPr>
          <w:p>
            <w:pPr>
              <w:pStyle w:val="TableNAm"/>
            </w:pPr>
            <w:r>
              <w:t>r. 18(7)</w:t>
            </w:r>
          </w:p>
        </w:tc>
        <w:tc>
          <w:tcPr>
            <w:tcW w:w="2764" w:type="dxa"/>
          </w:tcPr>
          <w:p>
            <w:pPr>
              <w:pStyle w:val="TableNAm"/>
            </w:pPr>
            <w:r>
              <w:t>r. 19(1) and (5)</w:t>
            </w:r>
          </w:p>
        </w:tc>
      </w:tr>
      <w:tr>
        <w:trPr>
          <w:cantSplit/>
          <w:jc w:val="center"/>
        </w:trPr>
        <w:tc>
          <w:tcPr>
            <w:tcW w:w="3120" w:type="dxa"/>
          </w:tcPr>
          <w:p>
            <w:pPr>
              <w:pStyle w:val="TableNAm"/>
            </w:pPr>
            <w:r>
              <w:t>r. 20(5) and (6)</w:t>
            </w:r>
          </w:p>
        </w:tc>
        <w:tc>
          <w:tcPr>
            <w:tcW w:w="2764" w:type="dxa"/>
          </w:tcPr>
          <w:p>
            <w:pPr>
              <w:pStyle w:val="TableNAm"/>
            </w:pPr>
            <w:r>
              <w:t>r. 22(2)</w:t>
            </w:r>
          </w:p>
        </w:tc>
      </w:tr>
      <w:tr>
        <w:trPr>
          <w:cantSplit/>
          <w:jc w:val="center"/>
        </w:trPr>
        <w:tc>
          <w:tcPr>
            <w:tcW w:w="3120" w:type="dxa"/>
          </w:tcPr>
          <w:p>
            <w:pPr>
              <w:pStyle w:val="TableNAm"/>
            </w:pPr>
            <w:r>
              <w:t>r. 24(1) and (2)</w:t>
            </w:r>
          </w:p>
        </w:tc>
        <w:tc>
          <w:tcPr>
            <w:tcW w:w="2764" w:type="dxa"/>
          </w:tcPr>
          <w:p>
            <w:pPr>
              <w:pStyle w:val="TableNAm"/>
            </w:pPr>
          </w:p>
        </w:tc>
      </w:tr>
    </w:tbl>
    <w:p>
      <w:pPr>
        <w:pStyle w:val="nzNotesPerm"/>
      </w:pPr>
      <w:r>
        <w:t xml:space="preserve">Note: </w:t>
      </w:r>
      <w:r>
        <w:tab/>
        <w:t>The heading to amended section 24 is to read:</w:t>
      </w:r>
    </w:p>
    <w:p>
      <w:pPr>
        <w:pStyle w:val="nzNotesPerm"/>
        <w:rPr>
          <w:b/>
          <w:bCs/>
        </w:rPr>
      </w:pPr>
      <w:r>
        <w:rPr>
          <w:b/>
          <w:bCs/>
        </w:rPr>
        <w:tab/>
        <w:t>Employing authorities to notify Commissioner of vacancies</w:t>
      </w:r>
    </w:p>
    <w:p>
      <w:pPr>
        <w:pStyle w:val="nzHeading2"/>
      </w:pPr>
      <w:r>
        <w:rPr>
          <w:rStyle w:val="CharPartNo"/>
        </w:rPr>
        <w:t>Part 3</w:t>
      </w:r>
      <w:r>
        <w:rPr>
          <w:rStyle w:val="CharDivNo"/>
        </w:rPr>
        <w:t> </w:t>
      </w:r>
      <w:r>
        <w:t>—</w:t>
      </w:r>
      <w:r>
        <w:rPr>
          <w:rStyle w:val="CharDivText"/>
        </w:rPr>
        <w:t> </w:t>
      </w:r>
      <w:r>
        <w:rPr>
          <w:rStyle w:val="CharPartText"/>
        </w:rPr>
        <w:t xml:space="preserve">Amendments relating to </w:t>
      </w:r>
      <w:r>
        <w:rPr>
          <w:rStyle w:val="CharPartText"/>
          <w:i/>
          <w:iCs/>
        </w:rPr>
        <w:t>Public Sector Reform Act 2010</w:t>
      </w:r>
      <w:r>
        <w:rPr>
          <w:rStyle w:val="CharPartText"/>
        </w:rPr>
        <w:t xml:space="preserve"> Part 3</w:t>
      </w:r>
    </w:p>
    <w:p>
      <w:pPr>
        <w:pStyle w:val="nzHeading5"/>
      </w:pPr>
      <w:r>
        <w:rPr>
          <w:rStyle w:val="CharSectno"/>
        </w:rPr>
        <w:t>6</w:t>
      </w:r>
      <w:r>
        <w:t>.</w:t>
      </w:r>
      <w:r>
        <w:tab/>
        <w:t>Regulation 10 replaced</w:t>
      </w:r>
    </w:p>
    <w:p>
      <w:pPr>
        <w:pStyle w:val="nzSubsection"/>
      </w:pPr>
      <w:r>
        <w:tab/>
      </w:r>
      <w:r>
        <w:tab/>
        <w:t>Delete regulation 10 and insert:</w:t>
      </w:r>
    </w:p>
    <w:p>
      <w:pPr>
        <w:pStyle w:val="BlankOpen"/>
      </w:pPr>
    </w:p>
    <w:p>
      <w:pPr>
        <w:pStyle w:val="nzHeading5"/>
      </w:pPr>
      <w:r>
        <w:t>10.</w:t>
      </w:r>
      <w:r>
        <w:tab/>
        <w:t>Employees dismissed under certain sections of Act not entitled to certain payments</w:t>
      </w:r>
    </w:p>
    <w:p>
      <w:pPr>
        <w:pStyle w:val="nzSubsection"/>
      </w:pPr>
      <w:r>
        <w:tab/>
      </w:r>
      <w:r>
        <w:tab/>
        <w:t>An employee who is dismissed under section 82A(3)(a), 88(a) or 89(1) of the Act is not entitled to any payment under regulation 9 or to a severance payment.</w:t>
      </w:r>
    </w:p>
    <w:p>
      <w:pPr>
        <w:pStyle w:val="nzHeading5"/>
      </w:pPr>
      <w:r>
        <w:t>11A.</w:t>
      </w:r>
      <w:r>
        <w:tab/>
        <w:t>Employees dismissed under certain continued sections of Act not entitled to certain payments</w:t>
      </w:r>
    </w:p>
    <w:p>
      <w:pPr>
        <w:pStyle w:val="nzSubsection"/>
      </w:pPr>
      <w:r>
        <w:tab/>
      </w:r>
      <w:r>
        <w:tab/>
        <w:t>An employee who is dismissed under section 86(3)(a) or (9)(b)(i), 88(1)(b)(i) or 89(1) of the Act, as continued under Schedule 8 clause 2(1) of the Act, is not entitled to any payment under regulation 9 or to a severance payment.</w:t>
      </w:r>
    </w:p>
    <w:p>
      <w:pPr>
        <w:pStyle w:val="BlankClose"/>
      </w:pPr>
    </w:p>
    <w:p>
      <w:pPr>
        <w:pStyle w:val="BlankClose"/>
      </w:pPr>
    </w:p>
    <w:p>
      <w:pPr>
        <w:rPr>
          <w:sz w:val="16"/>
        </w:rPr>
      </w:pP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ctiveWritingStyle w:appName="MSWord" w:lang="en-AU" w:vendorID="64" w:dllVersion="131077"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7362</Words>
  <Characters>37184</Characters>
  <Application>Microsoft Office Word</Application>
  <DocSecurity>0</DocSecurity>
  <Lines>1032</Lines>
  <Paragraphs>543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44003</CharactersWithSpaces>
  <SharedDoc>false</SharedDoc>
  <HLinks>
    <vt:vector size="6" baseType="variant">
      <vt:variant>
        <vt:i4>65542</vt:i4>
      </vt:variant>
      <vt:variant>
        <vt:i4>-1</vt:i4>
      </vt:variant>
      <vt:variant>
        <vt:i4>1030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1994 - 02-b0-01</dc:title>
  <dc:subject/>
  <dc:creator/>
  <cp:keywords/>
  <dc:description/>
  <cp:lastModifiedBy>svcMRProcess</cp:lastModifiedBy>
  <cp:revision>4</cp:revision>
  <cp:lastPrinted>2006-10-19T02:30:00Z</cp:lastPrinted>
  <dcterms:created xsi:type="dcterms:W3CDTF">2020-02-27T15:21:00Z</dcterms:created>
  <dcterms:modified xsi:type="dcterms:W3CDTF">2020-02-27T15:21:00Z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05 Nov 2010</vt:lpwstr>
  </property>
  <property fmtid="{D5CDD505-2E9C-101B-9397-08002B2CF9AE}" pid="9" name="Suffix">
    <vt:lpwstr>02-b0-01</vt:lpwstr>
  </property>
</Properties>
</file>