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_Toc389658307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_Toc389658308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_Toc389658309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_Toc389658312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_Toc389658313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_Toc389658315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_Toc389658316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_Toc389658317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_Toc389658319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_Toc389658320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_Toc389658321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_Toc389658322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_Toc389658323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_Toc389658324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_Toc389658325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_Toc389658326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_Toc389658327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_Toc389658328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_Toc389658329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_Toc389658330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_Toc389658331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_Toc389658332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_Toc389658333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_Toc389658334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_Toc389658335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_Toc389658337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_Toc389658338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_Toc389658339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_Toc389658340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_Toc389658341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_Toc389658343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_Toc389658345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_Toc389658346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_Toc389658347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_Toc389658348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_Toc389658349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_Toc389658351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_Toc389658352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_Toc389658353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_Toc389658354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_Toc389658356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_Toc389658357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_Toc389658358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_Toc389658359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_Toc389658360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_Toc389658362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_Toc389658364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_Toc389658367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_Toc389658369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_Toc389658370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_Toc389658371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_Toc389658372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_Toc389658373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_Toc389658374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_Toc389658375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_Toc389658376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_Toc389658377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_Toc389658379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_Toc389658380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_Toc389658382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_Toc389658384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_Toc389658385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_Toc389658386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_Toc389658387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_Toc389658388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_Toc389658389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_Toc389658390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_Toc389658392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_Toc389658393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_Toc389658394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_Toc389658395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_Toc389658396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_Toc389658397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_Toc389658398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_Toc389658399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_Toc389658400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_Toc389658401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_Toc389658402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_Toc389658404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_Toc389658405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_Toc389658406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_Toc389658407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_Toc389658408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_Toc389658409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_Toc389658410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_Toc389658411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_Toc389658412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_Toc389658413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_Toc389658414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_Toc389658415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_Toc389658416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_Toc389658419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_Toc389658420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_Toc389658422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_Toc389658423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_Toc389658424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_Toc389658426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_Toc389658427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_Toc389658428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_Toc389658429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_Toc389658431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_Toc389658432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_Toc389658433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_Toc389658436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_Toc389658437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_Toc389658439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_Toc389658440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_Toc389658441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_Toc389658442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_Toc389658443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_Toc389658444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_Toc389658445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_Toc389658446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_Toc389658447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_Toc389658449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_Toc389658450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_Toc389658451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_Toc389658452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_Toc389658453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_Toc389658455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_Toc389658456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_Toc389658457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_Toc389658458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_Toc389658459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_Toc389658460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_Toc389658461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_Toc389658462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_Toc389658463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_Toc389658465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_Toc389658466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_Toc389658467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_Toc389658468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_Toc389658469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_Toc389658470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_Toc389658471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_Toc389658472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_Toc389658473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_Toc389658474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_Toc389658476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_Toc389658477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_Toc389658478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_Toc389658479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_Toc389658480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_Toc389658482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_Toc389658484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_Toc389658487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_Toc389658488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_Toc389658489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_Toc389658491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_Toc389658492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_Toc389658494 \h </w:instrText>
      </w:r>
      <w:r>
        <w:fldChar w:fldCharType="separate"/>
      </w:r>
      <w:r>
        <w:t>105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_Toc389658495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306"/>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307"/>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308"/>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309"/>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310"/>
      <w:r>
        <w:rPr>
          <w:rStyle w:val="CharPartNo"/>
        </w:rPr>
        <w:t>Part 2</w:t>
      </w:r>
      <w:r>
        <w:t> — </w:t>
      </w:r>
      <w:r>
        <w:rPr>
          <w:rStyle w:val="CharPartText"/>
        </w:rPr>
        <w:t>Licensing of electricity supply</w:t>
      </w:r>
      <w:bookmarkEnd w:id="5"/>
    </w:p>
    <w:p>
      <w:pPr>
        <w:pStyle w:val="Heading3"/>
      </w:pPr>
      <w:bookmarkStart w:id="6" w:name="_Toc389658311"/>
      <w:r>
        <w:rPr>
          <w:rStyle w:val="CharDivNo"/>
        </w:rPr>
        <w:t>Division 1</w:t>
      </w:r>
      <w:r>
        <w:t> — </w:t>
      </w:r>
      <w:r>
        <w:rPr>
          <w:rStyle w:val="CharDivText"/>
        </w:rPr>
        <w:t>Licence classification and area</w:t>
      </w:r>
      <w:bookmarkEnd w:id="6"/>
    </w:p>
    <w:p>
      <w:pPr>
        <w:pStyle w:val="Heading5"/>
      </w:pPr>
      <w:bookmarkStart w:id="7" w:name="_Toc389658312"/>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313"/>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314"/>
      <w:r>
        <w:rPr>
          <w:rStyle w:val="CharDivNo"/>
        </w:rPr>
        <w:t>Division 2</w:t>
      </w:r>
      <w:r>
        <w:t> — </w:t>
      </w:r>
      <w:r>
        <w:rPr>
          <w:rStyle w:val="CharDivText"/>
        </w:rPr>
        <w:t>Licensing requirements</w:t>
      </w:r>
      <w:bookmarkEnd w:id="9"/>
    </w:p>
    <w:p>
      <w:pPr>
        <w:pStyle w:val="Heading5"/>
        <w:spacing w:before="240"/>
      </w:pPr>
      <w:bookmarkStart w:id="10" w:name="_Toc389658315"/>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316"/>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317"/>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318"/>
      <w:r>
        <w:rPr>
          <w:rStyle w:val="CharDivNo"/>
        </w:rPr>
        <w:t>Division 3</w:t>
      </w:r>
      <w:r>
        <w:t> — </w:t>
      </w:r>
      <w:r>
        <w:rPr>
          <w:rStyle w:val="CharDivText"/>
        </w:rPr>
        <w:t>General licensing provisions</w:t>
      </w:r>
      <w:bookmarkEnd w:id="13"/>
    </w:p>
    <w:p>
      <w:pPr>
        <w:pStyle w:val="Heading5"/>
      </w:pPr>
      <w:bookmarkStart w:id="14" w:name="_Toc389658319"/>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320"/>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321"/>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322"/>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323"/>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324"/>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325"/>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326"/>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327"/>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328"/>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329"/>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330"/>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331"/>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332"/>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333"/>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334"/>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335"/>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336"/>
      <w:r>
        <w:rPr>
          <w:rStyle w:val="CharDivNo"/>
        </w:rPr>
        <w:t>Division 4</w:t>
      </w:r>
      <w:r>
        <w:t> — </w:t>
      </w:r>
      <w:r>
        <w:rPr>
          <w:rStyle w:val="CharDivText"/>
        </w:rPr>
        <w:t>Exclusive licences</w:t>
      </w:r>
      <w:bookmarkEnd w:id="31"/>
    </w:p>
    <w:p>
      <w:pPr>
        <w:pStyle w:val="Heading5"/>
      </w:pPr>
      <w:bookmarkStart w:id="32" w:name="_Toc389658337"/>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338"/>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339"/>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340"/>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341"/>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342"/>
      <w:r>
        <w:rPr>
          <w:rStyle w:val="CharDivNo"/>
        </w:rPr>
        <w:t>Division 5</w:t>
      </w:r>
      <w:r>
        <w:t> — </w:t>
      </w:r>
      <w:r>
        <w:rPr>
          <w:rStyle w:val="CharDivText"/>
        </w:rPr>
        <w:t>Interruption of supply</w:t>
      </w:r>
      <w:bookmarkEnd w:id="37"/>
    </w:p>
    <w:p>
      <w:pPr>
        <w:pStyle w:val="Heading5"/>
        <w:spacing w:before="240"/>
      </w:pPr>
      <w:bookmarkStart w:id="38" w:name="_Toc389658343"/>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344"/>
      <w:r>
        <w:rPr>
          <w:rStyle w:val="CharDivNo"/>
        </w:rPr>
        <w:t>Division 6</w:t>
      </w:r>
      <w:r>
        <w:t> — </w:t>
      </w:r>
      <w:r>
        <w:rPr>
          <w:rStyle w:val="CharDivText"/>
        </w:rPr>
        <w:t>Enforcement</w:t>
      </w:r>
      <w:bookmarkEnd w:id="39"/>
    </w:p>
    <w:p>
      <w:pPr>
        <w:pStyle w:val="Heading5"/>
      </w:pPr>
      <w:bookmarkStart w:id="40" w:name="_Toc389658345"/>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346"/>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347"/>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348"/>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349"/>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350"/>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351"/>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352"/>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353"/>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354"/>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355"/>
      <w:r>
        <w:rPr>
          <w:rStyle w:val="CharDivNo"/>
        </w:rPr>
        <w:t>Division 8</w:t>
      </w:r>
      <w:r>
        <w:t> — </w:t>
      </w:r>
      <w:r>
        <w:rPr>
          <w:rStyle w:val="CharDivText"/>
        </w:rPr>
        <w:t>Powers in relation to land</w:t>
      </w:r>
      <w:bookmarkEnd w:id="50"/>
    </w:p>
    <w:p>
      <w:pPr>
        <w:pStyle w:val="Heading5"/>
      </w:pPr>
      <w:bookmarkStart w:id="51" w:name="_Toc389658356"/>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357"/>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358"/>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359"/>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360"/>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36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362"/>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363"/>
      <w:r>
        <w:rPr>
          <w:rStyle w:val="CharDivNo"/>
        </w:rPr>
        <w:t>Division 10</w:t>
      </w:r>
      <w:r>
        <w:t> — </w:t>
      </w:r>
      <w:r>
        <w:rPr>
          <w:rStyle w:val="CharDivText"/>
        </w:rPr>
        <w:t>Transitional provision</w:t>
      </w:r>
      <w:bookmarkEnd w:id="58"/>
    </w:p>
    <w:p>
      <w:pPr>
        <w:pStyle w:val="Heading5"/>
      </w:pPr>
      <w:bookmarkStart w:id="59" w:name="_Toc389658364"/>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365"/>
      <w:r>
        <w:rPr>
          <w:rStyle w:val="CharPartNo"/>
        </w:rPr>
        <w:t>Part 3</w:t>
      </w:r>
      <w:r>
        <w:t> — </w:t>
      </w:r>
      <w:r>
        <w:rPr>
          <w:rStyle w:val="CharPartText"/>
        </w:rPr>
        <w:t>Supply of electricity to certain customers</w:t>
      </w:r>
      <w:bookmarkEnd w:id="60"/>
    </w:p>
    <w:p>
      <w:pPr>
        <w:pStyle w:val="Heading3"/>
      </w:pPr>
      <w:bookmarkStart w:id="61" w:name="_Toc389658366"/>
      <w:r>
        <w:rPr>
          <w:rStyle w:val="CharDivNo"/>
        </w:rPr>
        <w:t>Division 1</w:t>
      </w:r>
      <w:r>
        <w:t> — </w:t>
      </w:r>
      <w:r>
        <w:rPr>
          <w:rStyle w:val="CharDivText"/>
        </w:rPr>
        <w:t>Preliminary</w:t>
      </w:r>
      <w:bookmarkEnd w:id="61"/>
    </w:p>
    <w:p>
      <w:pPr>
        <w:pStyle w:val="Heading5"/>
      </w:pPr>
      <w:bookmarkStart w:id="62" w:name="_Toc389658367"/>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368"/>
      <w:r>
        <w:rPr>
          <w:rStyle w:val="CharDivNo"/>
        </w:rPr>
        <w:t>Division 2</w:t>
      </w:r>
      <w:r>
        <w:t> — </w:t>
      </w:r>
      <w:r>
        <w:rPr>
          <w:rStyle w:val="CharDivText"/>
        </w:rPr>
        <w:t>Supply contracts</w:t>
      </w:r>
      <w:bookmarkEnd w:id="63"/>
    </w:p>
    <w:p>
      <w:pPr>
        <w:pStyle w:val="Heading5"/>
      </w:pPr>
      <w:bookmarkStart w:id="64" w:name="_Toc389658369"/>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370"/>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371"/>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372"/>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373"/>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374"/>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375"/>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376"/>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377"/>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378"/>
      <w:r>
        <w:rPr>
          <w:rStyle w:val="CharDivNo"/>
        </w:rPr>
        <w:t>Division 3</w:t>
      </w:r>
      <w:r>
        <w:t> — </w:t>
      </w:r>
      <w:r>
        <w:rPr>
          <w:rStyle w:val="CharDivText"/>
        </w:rPr>
        <w:t>Connection to distribution system</w:t>
      </w:r>
      <w:bookmarkEnd w:id="73"/>
    </w:p>
    <w:p>
      <w:pPr>
        <w:pStyle w:val="Heading5"/>
      </w:pPr>
      <w:bookmarkStart w:id="74" w:name="_Toc389658379"/>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380"/>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381"/>
      <w:r>
        <w:rPr>
          <w:rStyle w:val="CharDivNo"/>
        </w:rPr>
        <w:t>Division 4</w:t>
      </w:r>
      <w:r>
        <w:t> — </w:t>
      </w:r>
      <w:r>
        <w:rPr>
          <w:rStyle w:val="CharDivText"/>
        </w:rPr>
        <w:t>Default supplier</w:t>
      </w:r>
      <w:bookmarkEnd w:id="76"/>
    </w:p>
    <w:p>
      <w:pPr>
        <w:pStyle w:val="Heading5"/>
      </w:pPr>
      <w:bookmarkStart w:id="77" w:name="_Toc389658382"/>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383"/>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384"/>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385"/>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386"/>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387"/>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388"/>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389"/>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390"/>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391"/>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392"/>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393"/>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394"/>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395"/>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396"/>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397"/>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398"/>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399"/>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400"/>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401"/>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402"/>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403"/>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404"/>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405"/>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406"/>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407"/>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03" w:name="_Toc389658408"/>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409"/>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410"/>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411"/>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412"/>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413"/>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414"/>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415"/>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416"/>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417"/>
      <w:r>
        <w:rPr>
          <w:rStyle w:val="CharPartNo"/>
        </w:rPr>
        <w:t>Part 7</w:t>
      </w:r>
      <w:r>
        <w:t> — </w:t>
      </w:r>
      <w:r>
        <w:rPr>
          <w:rStyle w:val="CharPartText"/>
        </w:rPr>
        <w:t>Electricity ombudsman scheme</w:t>
      </w:r>
      <w:bookmarkEnd w:id="112"/>
    </w:p>
    <w:p>
      <w:pPr>
        <w:pStyle w:val="Heading3"/>
      </w:pPr>
      <w:bookmarkStart w:id="113" w:name="_Toc389658418"/>
      <w:r>
        <w:rPr>
          <w:rStyle w:val="CharDivNo"/>
        </w:rPr>
        <w:t>Division 1</w:t>
      </w:r>
      <w:r>
        <w:t> — </w:t>
      </w:r>
      <w:r>
        <w:rPr>
          <w:rStyle w:val="CharDivText"/>
        </w:rPr>
        <w:t>Preliminary</w:t>
      </w:r>
      <w:bookmarkEnd w:id="113"/>
    </w:p>
    <w:p>
      <w:pPr>
        <w:pStyle w:val="Heading5"/>
      </w:pPr>
      <w:bookmarkStart w:id="114" w:name="_Toc389658419"/>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420"/>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421"/>
      <w:r>
        <w:rPr>
          <w:rStyle w:val="CharDivNo"/>
        </w:rPr>
        <w:t>Division 2</w:t>
      </w:r>
      <w:r>
        <w:t> — </w:t>
      </w:r>
      <w:r>
        <w:rPr>
          <w:rStyle w:val="CharDivText"/>
        </w:rPr>
        <w:t>Approval of electricity ombudsman scheme</w:t>
      </w:r>
      <w:bookmarkEnd w:id="116"/>
    </w:p>
    <w:p>
      <w:pPr>
        <w:pStyle w:val="Heading5"/>
      </w:pPr>
      <w:bookmarkStart w:id="117" w:name="_Toc389658422"/>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423"/>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424"/>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425"/>
      <w:r>
        <w:rPr>
          <w:rStyle w:val="CharDivNo"/>
        </w:rPr>
        <w:t>Division 3</w:t>
      </w:r>
      <w:r>
        <w:t> — </w:t>
      </w:r>
      <w:r>
        <w:rPr>
          <w:rStyle w:val="CharDivText"/>
        </w:rPr>
        <w:t>Scheme operation</w:t>
      </w:r>
      <w:bookmarkEnd w:id="120"/>
    </w:p>
    <w:p>
      <w:pPr>
        <w:pStyle w:val="Heading5"/>
      </w:pPr>
      <w:bookmarkStart w:id="121" w:name="_Toc389658426"/>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427"/>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428"/>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429"/>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430"/>
      <w:r>
        <w:rPr>
          <w:rStyle w:val="CharDivNo"/>
        </w:rPr>
        <w:t>Division 4</w:t>
      </w:r>
      <w:r>
        <w:t> — </w:t>
      </w:r>
      <w:r>
        <w:rPr>
          <w:rStyle w:val="CharDivText"/>
        </w:rPr>
        <w:t>Membership of approved scheme by licensee</w:t>
      </w:r>
      <w:bookmarkEnd w:id="125"/>
    </w:p>
    <w:p>
      <w:pPr>
        <w:pStyle w:val="Heading5"/>
        <w:spacing w:before="180"/>
      </w:pPr>
      <w:bookmarkStart w:id="126" w:name="_Toc389658431"/>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432"/>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433"/>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434"/>
      <w:r>
        <w:rPr>
          <w:rStyle w:val="CharPartNo"/>
        </w:rPr>
        <w:t>Part 8</w:t>
      </w:r>
      <w:r>
        <w:t> — </w:t>
      </w:r>
      <w:r>
        <w:rPr>
          <w:rStyle w:val="CharPartText"/>
        </w:rPr>
        <w:t>Access to services of network infrastructure facilities</w:t>
      </w:r>
      <w:bookmarkEnd w:id="129"/>
    </w:p>
    <w:p>
      <w:pPr>
        <w:pStyle w:val="Heading3"/>
      </w:pPr>
      <w:bookmarkStart w:id="130" w:name="_Toc389658435"/>
      <w:r>
        <w:rPr>
          <w:rStyle w:val="CharDivNo"/>
        </w:rPr>
        <w:t>Division 1</w:t>
      </w:r>
      <w:r>
        <w:t> — </w:t>
      </w:r>
      <w:r>
        <w:rPr>
          <w:rStyle w:val="CharDivText"/>
        </w:rPr>
        <w:t>Preliminary</w:t>
      </w:r>
      <w:bookmarkEnd w:id="130"/>
    </w:p>
    <w:p>
      <w:pPr>
        <w:pStyle w:val="Heading5"/>
      </w:pPr>
      <w:bookmarkStart w:id="131" w:name="_Toc389658436"/>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437"/>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438"/>
      <w:r>
        <w:rPr>
          <w:rStyle w:val="CharDivNo"/>
        </w:rPr>
        <w:t>Division 2</w:t>
      </w:r>
      <w:r>
        <w:t> — </w:t>
      </w:r>
      <w:r>
        <w:rPr>
          <w:rStyle w:val="CharDivText"/>
        </w:rPr>
        <w:t>Establishment of Code</w:t>
      </w:r>
      <w:bookmarkEnd w:id="133"/>
    </w:p>
    <w:p>
      <w:pPr>
        <w:pStyle w:val="Heading5"/>
      </w:pPr>
      <w:bookmarkStart w:id="134" w:name="_Toc389658439"/>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440"/>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441"/>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442"/>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443"/>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444"/>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445"/>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446"/>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447"/>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448"/>
      <w:r>
        <w:rPr>
          <w:rStyle w:val="CharDivNo"/>
        </w:rPr>
        <w:t>Division 3</w:t>
      </w:r>
      <w:r>
        <w:t> — </w:t>
      </w:r>
      <w:r>
        <w:rPr>
          <w:rStyle w:val="CharDivText"/>
        </w:rPr>
        <w:t>Enforcement</w:t>
      </w:r>
      <w:bookmarkEnd w:id="143"/>
    </w:p>
    <w:p>
      <w:pPr>
        <w:pStyle w:val="Heading5"/>
      </w:pPr>
      <w:bookmarkStart w:id="144" w:name="_Toc389658449"/>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450"/>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451"/>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452"/>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453"/>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454"/>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455"/>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456"/>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457"/>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458"/>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459"/>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460"/>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461"/>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462"/>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463"/>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464"/>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465"/>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466"/>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467"/>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468"/>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469"/>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470"/>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471"/>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472"/>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473"/>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474"/>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475"/>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476"/>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477"/>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478"/>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479"/>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480"/>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481"/>
      <w:r>
        <w:rPr>
          <w:rStyle w:val="CharSchNo"/>
        </w:rPr>
        <w:t>Schedule 1</w:t>
      </w:r>
      <w:r>
        <w:rPr>
          <w:rStyle w:val="CharSDivNo"/>
        </w:rPr>
        <w:t> </w:t>
      </w:r>
      <w:r>
        <w:t>—</w:t>
      </w:r>
      <w:r>
        <w:rPr>
          <w:rStyle w:val="CharSDivText"/>
        </w:rPr>
        <w:t> </w:t>
      </w:r>
      <w:r>
        <w:rPr>
          <w:rStyle w:val="CharSchText"/>
        </w:rPr>
        <w:t>Licence terms and conditions</w:t>
      </w:r>
      <w:bookmarkEnd w:id="176"/>
    </w:p>
    <w:p>
      <w:pPr>
        <w:pStyle w:val="yShoulderClause"/>
      </w:pPr>
      <w:r>
        <w:t>[s. 11]</w:t>
      </w:r>
    </w:p>
    <w:p>
      <w:pPr>
        <w:pStyle w:val="yHeading5"/>
        <w:rPr>
          <w:snapToGrid w:val="0"/>
        </w:rPr>
      </w:pPr>
      <w:bookmarkStart w:id="177" w:name="_Toc389658482"/>
      <w:r>
        <w:rPr>
          <w:rStyle w:val="CharSClsNo"/>
        </w:rPr>
        <w:t>1</w:t>
      </w:r>
      <w:r>
        <w:rPr>
          <w:snapToGrid w:val="0"/>
        </w:rPr>
        <w:t>.</w:t>
      </w:r>
      <w:r>
        <w:rPr>
          <w:snapToGrid w:val="0"/>
        </w:rPr>
        <w:tab/>
        <w:t>Licence terms and conditions</w:t>
      </w:r>
      <w:bookmarkEnd w:id="177"/>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178" w:name="_Toc389658483"/>
      <w:r>
        <w:rPr>
          <w:rStyle w:val="CharSchNo"/>
        </w:rPr>
        <w:t>Schedule 2</w:t>
      </w:r>
      <w:r>
        <w:t xml:space="preserve"> — </w:t>
      </w:r>
      <w:r>
        <w:rPr>
          <w:rStyle w:val="CharSchText"/>
        </w:rPr>
        <w:t>Objectives to be met by the electricity ombudsman scheme</w:t>
      </w:r>
      <w:bookmarkEnd w:id="178"/>
    </w:p>
    <w:p>
      <w:pPr>
        <w:pStyle w:val="yShoulderClause"/>
      </w:pPr>
      <w:r>
        <w:t>[s. 93]</w:t>
      </w:r>
    </w:p>
    <w:p>
      <w:pPr>
        <w:pStyle w:val="yHeading5"/>
        <w:rPr>
          <w:snapToGrid w:val="0"/>
        </w:rPr>
      </w:pPr>
      <w:bookmarkStart w:id="179" w:name="_Toc389658484"/>
      <w:r>
        <w:rPr>
          <w:rStyle w:val="CharSClsNo"/>
        </w:rPr>
        <w:t>1</w:t>
      </w:r>
      <w:r>
        <w:rPr>
          <w:snapToGrid w:val="0"/>
        </w:rPr>
        <w:t>.</w:t>
      </w:r>
      <w:r>
        <w:rPr>
          <w:snapToGrid w:val="0"/>
        </w:rPr>
        <w:tab/>
        <w:t>Objectives stated</w:t>
      </w:r>
      <w:bookmarkEnd w:id="17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80" w:name="_Toc389658485"/>
      <w:r>
        <w:rPr>
          <w:rStyle w:val="CharSchNo"/>
        </w:rPr>
        <w:t>Schedule 3</w:t>
      </w:r>
      <w:r>
        <w:t> — </w:t>
      </w:r>
      <w:r>
        <w:rPr>
          <w:rStyle w:val="CharSchText"/>
        </w:rPr>
        <w:t>Transitional provisions</w:t>
      </w:r>
      <w:bookmarkEnd w:id="180"/>
    </w:p>
    <w:p>
      <w:pPr>
        <w:pStyle w:val="yShoulderClause"/>
      </w:pPr>
      <w:r>
        <w:t>[s. 79, 81]</w:t>
      </w:r>
    </w:p>
    <w:p>
      <w:pPr>
        <w:pStyle w:val="yHeading3"/>
        <w:outlineLvl w:val="0"/>
      </w:pPr>
      <w:bookmarkStart w:id="181" w:name="_Toc389658486"/>
      <w:r>
        <w:rPr>
          <w:rStyle w:val="CharSDivNo"/>
        </w:rPr>
        <w:t>Division 1</w:t>
      </w:r>
      <w:r>
        <w:rPr>
          <w:b w:val="0"/>
        </w:rPr>
        <w:t> — </w:t>
      </w:r>
      <w:r>
        <w:rPr>
          <w:rStyle w:val="CharSDivText"/>
        </w:rPr>
        <w:t>Initial customer service code of conduct</w:t>
      </w:r>
      <w:bookmarkEnd w:id="181"/>
    </w:p>
    <w:p>
      <w:pPr>
        <w:pStyle w:val="yHeading5"/>
        <w:outlineLvl w:val="0"/>
      </w:pPr>
      <w:bookmarkStart w:id="182" w:name="_Toc389658487"/>
      <w:r>
        <w:rPr>
          <w:rStyle w:val="CharSClsNo"/>
        </w:rPr>
        <w:t>1</w:t>
      </w:r>
      <w:r>
        <w:t>.</w:t>
      </w:r>
      <w:r>
        <w:tab/>
        <w:t>Approval of initial customer service code of conduct</w:t>
      </w:r>
      <w:bookmarkEnd w:id="18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3" w:name="_Toc389658488"/>
      <w:r>
        <w:rPr>
          <w:rStyle w:val="CharSClsNo"/>
        </w:rPr>
        <w:t>2</w:t>
      </w:r>
      <w:r>
        <w:t>.</w:t>
      </w:r>
      <w:r>
        <w:tab/>
        <w:t>Appointment of initial committee</w:t>
      </w:r>
      <w:bookmarkEnd w:id="18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4" w:name="_Toc389658489"/>
      <w:r>
        <w:rPr>
          <w:rStyle w:val="CharSClsNo"/>
        </w:rPr>
        <w:t>3</w:t>
      </w:r>
      <w:r>
        <w:t>.</w:t>
      </w:r>
      <w:r>
        <w:tab/>
        <w:t>Regulations for transitional matters</w:t>
      </w:r>
      <w:bookmarkEnd w:id="1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5" w:name="_Toc389658490"/>
      <w:r>
        <w:rPr>
          <w:rStyle w:val="CharSDivNo"/>
        </w:rPr>
        <w:t>Division 2</w:t>
      </w:r>
      <w:r>
        <w:rPr>
          <w:b w:val="0"/>
        </w:rPr>
        <w:t> — </w:t>
      </w:r>
      <w:r>
        <w:rPr>
          <w:rStyle w:val="CharSDivText"/>
        </w:rPr>
        <w:t>Initial electricity ombudsman scheme</w:t>
      </w:r>
      <w:bookmarkEnd w:id="185"/>
    </w:p>
    <w:p>
      <w:pPr>
        <w:pStyle w:val="yHeading5"/>
        <w:outlineLvl w:val="0"/>
      </w:pPr>
      <w:bookmarkStart w:id="186" w:name="_Toc389658491"/>
      <w:r>
        <w:rPr>
          <w:rStyle w:val="CharSClsNo"/>
        </w:rPr>
        <w:t>4</w:t>
      </w:r>
      <w:r>
        <w:t>.</w:t>
      </w:r>
      <w:r>
        <w:tab/>
        <w:t>Approval of initial electricity ombudsman scheme</w:t>
      </w:r>
      <w:bookmarkEnd w:id="18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7" w:name="_Toc389658492"/>
      <w:r>
        <w:rPr>
          <w:rStyle w:val="CharSClsNo"/>
        </w:rPr>
        <w:t>5</w:t>
      </w:r>
      <w:r>
        <w:t>.</w:t>
      </w:r>
      <w:r>
        <w:tab/>
        <w:t>Regulations for transitional matters</w:t>
      </w:r>
      <w:bookmarkEnd w:id="18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8" w:name="_Toc389658493"/>
      <w:r>
        <w:t>Notes</w:t>
      </w:r>
      <w:bookmarkEnd w:id="188"/>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9" w:name="_Toc389658494"/>
      <w:r>
        <w:rPr>
          <w:snapToGrid w:val="0"/>
        </w:rP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0" w:name="_Toc389658495"/>
      <w:r>
        <w:rPr>
          <w:snapToGrid w:val="0"/>
        </w:rPr>
        <w:t>Provisions that have not come into operation</w:t>
      </w:r>
      <w:bookmarkEnd w:id="19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rPr>
            </w:pPr>
            <w:r>
              <w:rPr>
                <w:b/>
                <w:snapToGrid w:val="0"/>
                <w:sz w:val="19"/>
              </w:rPr>
              <w:t>Short title</w:t>
            </w:r>
          </w:p>
        </w:tc>
        <w:tc>
          <w:tcPr>
            <w:tcW w:w="1118" w:type="dxa"/>
          </w:tcPr>
          <w:p>
            <w:pPr>
              <w:pStyle w:val="nTable"/>
              <w:spacing w:after="40"/>
              <w:rPr>
                <w:b/>
                <w:snapToGrid w:val="0"/>
                <w:sz w:val="19"/>
              </w:rPr>
            </w:pPr>
            <w:r>
              <w:rPr>
                <w:b/>
                <w:snapToGrid w:val="0"/>
                <w:sz w:val="19"/>
              </w:rPr>
              <w:t>Number and year</w:t>
            </w:r>
          </w:p>
        </w:tc>
        <w:tc>
          <w:tcPr>
            <w:tcW w:w="1134" w:type="dxa"/>
          </w:tcPr>
          <w:p>
            <w:pPr>
              <w:pStyle w:val="nTable"/>
              <w:spacing w:after="40"/>
              <w:rPr>
                <w:b/>
                <w:snapToGrid w:val="0"/>
                <w:sz w:val="19"/>
              </w:rPr>
            </w:pPr>
            <w:r>
              <w:rPr>
                <w:b/>
                <w:snapToGrid w:val="0"/>
                <w:sz w:val="19"/>
              </w:rPr>
              <w:t>Assent</w:t>
            </w:r>
          </w:p>
        </w:tc>
        <w:tc>
          <w:tcPr>
            <w:tcW w:w="2552" w:type="dxa"/>
          </w:tcPr>
          <w:p>
            <w:pPr>
              <w:pStyle w:val="nTable"/>
              <w:spacing w:after="40"/>
              <w:rPr>
                <w:b/>
                <w:snapToGrid w:val="0"/>
                <w:sz w:val="19"/>
              </w:rPr>
            </w:pPr>
            <w:r>
              <w:rPr>
                <w:b/>
                <w:snapToGrid w:val="0"/>
                <w:sz w:val="19"/>
              </w:rPr>
              <w:t>Commencement</w:t>
            </w:r>
          </w:p>
        </w:tc>
      </w:tr>
      <w:tr>
        <w:tc>
          <w:tcPr>
            <w:tcW w:w="2268" w:type="dxa"/>
          </w:tcPr>
          <w:p>
            <w:pPr>
              <w:pStyle w:val="nTable"/>
              <w:spacing w:after="40"/>
              <w:rPr>
                <w:snapToGrid w:val="0"/>
                <w:sz w:val="19"/>
                <w:vertAlign w:val="superscript"/>
              </w:rPr>
            </w:pPr>
            <w:r>
              <w:rPr>
                <w:i/>
                <w:snapToGrid w:val="0"/>
                <w:sz w:val="19"/>
              </w:rPr>
              <w:t>Public Sector Reform Act 2010</w:t>
            </w:r>
            <w:r>
              <w:rPr>
                <w:iCs/>
                <w:snapToGrid w:val="0"/>
                <w:sz w:val="19"/>
              </w:rPr>
              <w:t xml:space="preserve"> s. 89 </w:t>
            </w:r>
            <w:r>
              <w:rPr>
                <w:iCs/>
                <w:snapToGrid w:val="0"/>
                <w:sz w:val="19"/>
                <w:vertAlign w:val="superscript"/>
              </w:rPr>
              <w:t>6</w:t>
            </w:r>
          </w:p>
        </w:tc>
        <w:tc>
          <w:tcPr>
            <w:tcW w:w="1118"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z w:val="19"/>
              </w:rPr>
              <w:t>1 Oct 2010</w:t>
            </w:r>
          </w:p>
        </w:tc>
        <w:tc>
          <w:tcPr>
            <w:tcW w:w="2552"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rPr>
          <w:snapToGrid w:val="0"/>
        </w:rPr>
      </w:pPr>
      <w:r>
        <w:rPr>
          <w:vertAlign w:val="superscript"/>
        </w:rPr>
        <w:t>6</w:t>
      </w:r>
      <w:r>
        <w:tab/>
        <w:t xml:space="preserve">On the date as at which this compilation was prepared, </w:t>
      </w:r>
      <w:r>
        <w:rPr>
          <w:snapToGrid w:val="0"/>
        </w:rPr>
        <w:t xml:space="preserve">the </w:t>
      </w:r>
      <w:r>
        <w:rPr>
          <w:i/>
          <w:snapToGrid w:val="0"/>
          <w:sz w:val="19"/>
        </w:rPr>
        <w:t>Public Sector Reform Act 2010</w:t>
      </w:r>
      <w:r>
        <w:rPr>
          <w:iCs/>
          <w:snapToGrid w:val="0"/>
          <w:sz w:val="19"/>
        </w:rPr>
        <w:t xml:space="preserve"> s. 89</w:t>
      </w:r>
      <w:r>
        <w:rPr>
          <w:iCs/>
          <w:snapToGrid w:val="0"/>
        </w:rPr>
        <w:t xml:space="preserve"> </w:t>
      </w:r>
      <w:r>
        <w:rPr>
          <w:snapToGrid w:val="0"/>
        </w:rPr>
        <w:t>had not come into operation.  It reads as follows:</w:t>
      </w:r>
    </w:p>
    <w:p>
      <w:pPr>
        <w:pStyle w:val="BlankOpen"/>
      </w:pPr>
    </w:p>
    <w:p>
      <w:pPr>
        <w:pStyle w:val="nzHeading5"/>
        <w:spacing w:before="240"/>
      </w:pPr>
      <w:r>
        <w:rPr>
          <w:rStyle w:val="CharSectno"/>
        </w:rPr>
        <w:t>89</w:t>
      </w:r>
      <w:r>
        <w:t>.</w:t>
      </w:r>
      <w:r>
        <w:tab/>
        <w:t>Various references to “Minister for Public Sector Management” amended</w:t>
      </w:r>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87"/>
        <w:gridCol w:w="2943"/>
      </w:tblGrid>
      <w:tr>
        <w:trPr>
          <w:cantSplit/>
          <w:jc w:val="center"/>
        </w:trPr>
        <w:tc>
          <w:tcPr>
            <w:tcW w:w="3287" w:type="dxa"/>
          </w:tcPr>
          <w:p>
            <w:pPr>
              <w:pStyle w:val="nzTable"/>
              <w:rPr>
                <w:i/>
                <w:iCs/>
              </w:rPr>
            </w:pPr>
            <w:r>
              <w:rPr>
                <w:i/>
                <w:iCs/>
              </w:rPr>
              <w:t>Electricity Industry Act 2004</w:t>
            </w:r>
          </w:p>
        </w:tc>
        <w:tc>
          <w:tcPr>
            <w:tcW w:w="2943" w:type="dxa"/>
          </w:tcPr>
          <w:p>
            <w:pPr>
              <w:pStyle w:val="nzTable"/>
            </w:pPr>
            <w:r>
              <w:t>s. 81(3)</w:t>
            </w:r>
          </w:p>
        </w:tc>
      </w:tr>
    </w:tbl>
    <w:p>
      <w:pPr>
        <w:pStyle w:val="BlankClose"/>
      </w:pP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91" w:name="_Toc389658496"/>
      <w:r>
        <w:rPr>
          <w:sz w:val="28"/>
        </w:rPr>
        <w:t>Defined Terms</w:t>
      </w:r>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2" w:name="DefinedTerms"/>
      <w:bookmarkEnd w:id="192"/>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Nov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123"/>
    <w:docVar w:name="WAFER_20140604150123" w:val="RemoveTocBookmarks,RemoveUnusedBookmarks,RemoveLanguageTags,UsedStyles,ResetPageSize"/>
    <w:docVar w:name="WAFER_20140604150123_GUID" w:val="9c444c77-9a72-4d33-8e02-583314d4e9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26358</Words>
  <Characters>131267</Characters>
  <Application>Microsoft Office Word</Application>
  <DocSecurity>0</DocSecurity>
  <Lines>3646</Lines>
  <Paragraphs>2220</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155405</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2004 - 02-e0-02</dc:title>
  <dc:subject/>
  <dc:creator/>
  <cp:keywords/>
  <dc:description/>
  <cp:lastModifiedBy>svcMRProcess</cp:lastModifiedBy>
  <cp:revision>4</cp:revision>
  <cp:lastPrinted>2010-04-13T02:19:00Z</cp:lastPrinted>
  <dcterms:created xsi:type="dcterms:W3CDTF">2018-08-28T09:32:00Z</dcterms:created>
  <dcterms:modified xsi:type="dcterms:W3CDTF">2018-08-28T09:32:00Z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20101105</vt:lpwstr>
  </property>
  <property fmtid="{D5CDD505-2E9C-101B-9397-08002B2CF9AE}" pid="4" name="DocumentType">
    <vt:lpwstr>Act</vt:lpwstr>
  </property>
  <property fmtid="{D5CDD505-2E9C-101B-9397-08002B2CF9AE}" pid="5" name="OwlsUID">
    <vt:i4>7017</vt:i4>
  </property>
  <property fmtid="{D5CDD505-2E9C-101B-9397-08002B2CF9AE}" pid="6" name="AsAtDate">
    <vt:lpwstr>05 Nov 2010</vt:lpwstr>
  </property>
  <property fmtid="{D5CDD505-2E9C-101B-9397-08002B2CF9AE}" pid="7" name="Suffix">
    <vt:lpwstr>02-e0-02</vt:lpwstr>
  </property>
  <property fmtid="{D5CDD505-2E9C-101B-9397-08002B2CF9AE}" pid="8" name="ReprintNo">
    <vt:lpwstr>2</vt:lpwstr>
  </property>
</Properties>
</file>