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B50" w:rsidRDefault="003C7CC9">
      <w:pPr>
        <w:pStyle w:val="WA"/>
      </w:pPr>
      <w:bookmarkStart w:id="0" w:name="_GoBack"/>
      <w:bookmarkEnd w:id="0"/>
      <w:r>
        <w:t>Western Australia</w:t>
      </w:r>
    </w:p>
    <w:p w:rsidR="004B6B50" w:rsidRDefault="003C7CC9">
      <w:pPr>
        <w:pStyle w:val="NameofActRegPage1"/>
        <w:spacing w:before="3760" w:after="4200"/>
      </w:pPr>
      <w:r>
        <w:fldChar w:fldCharType="begin"/>
      </w:r>
      <w:r>
        <w:instrText xml:space="preserve"> STYLEREF "Name Of Act/Reg"</w:instrText>
      </w:r>
      <w:r>
        <w:fldChar w:fldCharType="separate"/>
      </w:r>
      <w:r w:rsidR="006D71BB">
        <w:rPr>
          <w:noProof/>
        </w:rPr>
        <w:t>Law Reform Commission Act 1972</w:t>
      </w:r>
      <w:r>
        <w:fldChar w:fldCharType="end"/>
      </w:r>
    </w:p>
    <w:p w:rsidR="004B6B50" w:rsidRDefault="004B6B50">
      <w:pPr>
        <w:jc w:val="center"/>
        <w:rPr>
          <w:b/>
        </w:rPr>
        <w:sectPr w:rsidR="004B6B5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B6B50" w:rsidRDefault="003C7CC9">
      <w:pPr>
        <w:pStyle w:val="WA"/>
      </w:pPr>
      <w:r>
        <w:lastRenderedPageBreak/>
        <w:t>Western Australia</w:t>
      </w:r>
    </w:p>
    <w:p w:rsidR="004B6B50" w:rsidRDefault="003C7CC9">
      <w:pPr>
        <w:pStyle w:val="NameofActRegPage1"/>
      </w:pPr>
      <w:r>
        <w:fldChar w:fldCharType="begin"/>
      </w:r>
      <w:r>
        <w:instrText xml:space="preserve"> STYLEREF "Name Of Act/Reg"</w:instrText>
      </w:r>
      <w:r>
        <w:fldChar w:fldCharType="separate"/>
      </w:r>
      <w:r w:rsidR="006D71BB">
        <w:rPr>
          <w:noProof/>
        </w:rPr>
        <w:t>Law Reform Commission Act 1972</w:t>
      </w:r>
      <w:r>
        <w:fldChar w:fldCharType="end"/>
      </w:r>
    </w:p>
    <w:p w:rsidR="004B6B50" w:rsidRDefault="003C7CC9">
      <w:pPr>
        <w:pStyle w:val="Arrangement"/>
      </w:pPr>
      <w:r>
        <w:t>CONTENTS</w:t>
      </w:r>
    </w:p>
    <w:p w:rsidR="004B6B50" w:rsidRDefault="003C7CC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_Toc274231755 \h </w:instrText>
      </w:r>
      <w:r>
        <w:fldChar w:fldCharType="separate"/>
      </w:r>
      <w:r w:rsidR="006D71BB">
        <w:t>1</w:t>
      </w:r>
      <w:r>
        <w:fldChar w:fldCharType="end"/>
      </w:r>
    </w:p>
    <w:p w:rsidR="004B6B50" w:rsidRDefault="003C7CC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_Toc274231756 \h </w:instrText>
      </w:r>
      <w:r>
        <w:fldChar w:fldCharType="separate"/>
      </w:r>
      <w:r w:rsidR="006D71BB">
        <w:t>1</w:t>
      </w:r>
      <w:r>
        <w:fldChar w:fldCharType="end"/>
      </w:r>
    </w:p>
    <w:p w:rsidR="004B6B50" w:rsidRDefault="003C7CC9">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_Toc274231757 \h </w:instrText>
      </w:r>
      <w:r>
        <w:fldChar w:fldCharType="separate"/>
      </w:r>
      <w:r w:rsidR="006D71BB">
        <w:t>1</w:t>
      </w:r>
      <w:r>
        <w:fldChar w:fldCharType="end"/>
      </w:r>
    </w:p>
    <w:p w:rsidR="004B6B50" w:rsidRDefault="003C7CC9">
      <w:pPr>
        <w:pStyle w:val="TOC8"/>
        <w:rPr>
          <w:sz w:val="24"/>
          <w:szCs w:val="24"/>
        </w:rPr>
      </w:pPr>
      <w:r>
        <w:rPr>
          <w:szCs w:val="24"/>
        </w:rPr>
        <w:t>4</w:t>
      </w:r>
      <w:r>
        <w:rPr>
          <w:snapToGrid w:val="0"/>
          <w:szCs w:val="24"/>
        </w:rPr>
        <w:t>.</w:t>
      </w:r>
      <w:r>
        <w:rPr>
          <w:snapToGrid w:val="0"/>
          <w:szCs w:val="24"/>
        </w:rPr>
        <w:tab/>
        <w:t>Constitution of Commission</w:t>
      </w:r>
      <w:r>
        <w:tab/>
      </w:r>
      <w:r>
        <w:fldChar w:fldCharType="begin"/>
      </w:r>
      <w:r>
        <w:instrText xml:space="preserve"> PAGEREF _Toc274231758 \h </w:instrText>
      </w:r>
      <w:r>
        <w:fldChar w:fldCharType="separate"/>
      </w:r>
      <w:r w:rsidR="006D71BB">
        <w:t>1</w:t>
      </w:r>
      <w:r>
        <w:fldChar w:fldCharType="end"/>
      </w:r>
    </w:p>
    <w:p w:rsidR="004B6B50" w:rsidRDefault="003C7CC9">
      <w:pPr>
        <w:pStyle w:val="TOC8"/>
        <w:rPr>
          <w:sz w:val="24"/>
          <w:szCs w:val="24"/>
        </w:rPr>
      </w:pPr>
      <w:r>
        <w:rPr>
          <w:szCs w:val="24"/>
        </w:rPr>
        <w:t>5</w:t>
      </w:r>
      <w:r>
        <w:rPr>
          <w:snapToGrid w:val="0"/>
          <w:szCs w:val="24"/>
        </w:rPr>
        <w:t>.</w:t>
      </w:r>
      <w:r>
        <w:rPr>
          <w:snapToGrid w:val="0"/>
          <w:szCs w:val="24"/>
        </w:rPr>
        <w:tab/>
        <w:t>Chairman</w:t>
      </w:r>
      <w:r>
        <w:tab/>
      </w:r>
      <w:r>
        <w:fldChar w:fldCharType="begin"/>
      </w:r>
      <w:r>
        <w:instrText xml:space="preserve"> PAGEREF _Toc274231759 \h </w:instrText>
      </w:r>
      <w:r>
        <w:fldChar w:fldCharType="separate"/>
      </w:r>
      <w:r w:rsidR="006D71BB">
        <w:t>2</w:t>
      </w:r>
      <w:r>
        <w:fldChar w:fldCharType="end"/>
      </w:r>
    </w:p>
    <w:p w:rsidR="004B6B50" w:rsidRDefault="003C7CC9">
      <w:pPr>
        <w:pStyle w:val="TOC8"/>
        <w:rPr>
          <w:sz w:val="24"/>
          <w:szCs w:val="24"/>
        </w:rPr>
      </w:pPr>
      <w:r>
        <w:rPr>
          <w:szCs w:val="24"/>
        </w:rPr>
        <w:t>6</w:t>
      </w:r>
      <w:r>
        <w:rPr>
          <w:snapToGrid w:val="0"/>
          <w:szCs w:val="24"/>
        </w:rPr>
        <w:t>.</w:t>
      </w:r>
      <w:r>
        <w:rPr>
          <w:snapToGrid w:val="0"/>
          <w:szCs w:val="24"/>
        </w:rPr>
        <w:tab/>
        <w:t>Qualification of members</w:t>
      </w:r>
      <w:r>
        <w:tab/>
      </w:r>
      <w:r>
        <w:fldChar w:fldCharType="begin"/>
      </w:r>
      <w:r>
        <w:instrText xml:space="preserve"> PAGEREF _Toc274231760 \h </w:instrText>
      </w:r>
      <w:r>
        <w:fldChar w:fldCharType="separate"/>
      </w:r>
      <w:r w:rsidR="006D71BB">
        <w:t>2</w:t>
      </w:r>
      <w:r>
        <w:fldChar w:fldCharType="end"/>
      </w:r>
    </w:p>
    <w:p w:rsidR="004B6B50" w:rsidRDefault="003C7CC9">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_Toc274231761 \h </w:instrText>
      </w:r>
      <w:r>
        <w:fldChar w:fldCharType="separate"/>
      </w:r>
      <w:r w:rsidR="006D71BB">
        <w:t>3</w:t>
      </w:r>
      <w:r>
        <w:fldChar w:fldCharType="end"/>
      </w:r>
    </w:p>
    <w:p w:rsidR="004B6B50" w:rsidRDefault="003C7CC9">
      <w:pPr>
        <w:pStyle w:val="TOC8"/>
        <w:rPr>
          <w:sz w:val="24"/>
          <w:szCs w:val="24"/>
        </w:rPr>
      </w:pPr>
      <w:r>
        <w:rPr>
          <w:szCs w:val="24"/>
        </w:rPr>
        <w:t>8</w:t>
      </w:r>
      <w:r>
        <w:rPr>
          <w:snapToGrid w:val="0"/>
          <w:szCs w:val="24"/>
        </w:rPr>
        <w:t>.</w:t>
      </w:r>
      <w:r>
        <w:rPr>
          <w:snapToGrid w:val="0"/>
          <w:szCs w:val="24"/>
        </w:rPr>
        <w:tab/>
        <w:t>Removal from office</w:t>
      </w:r>
      <w:r>
        <w:tab/>
      </w:r>
      <w:r>
        <w:fldChar w:fldCharType="begin"/>
      </w:r>
      <w:r>
        <w:instrText xml:space="preserve"> PAGEREF _Toc274231762 \h </w:instrText>
      </w:r>
      <w:r>
        <w:fldChar w:fldCharType="separate"/>
      </w:r>
      <w:r w:rsidR="006D71BB">
        <w:t>4</w:t>
      </w:r>
      <w:r>
        <w:fldChar w:fldCharType="end"/>
      </w:r>
    </w:p>
    <w:p w:rsidR="004B6B50" w:rsidRDefault="003C7CC9">
      <w:pPr>
        <w:pStyle w:val="TOC8"/>
        <w:rPr>
          <w:sz w:val="24"/>
          <w:szCs w:val="24"/>
        </w:rPr>
      </w:pPr>
      <w:r>
        <w:rPr>
          <w:szCs w:val="24"/>
        </w:rPr>
        <w:t>9</w:t>
      </w:r>
      <w:r>
        <w:rPr>
          <w:snapToGrid w:val="0"/>
          <w:szCs w:val="24"/>
        </w:rPr>
        <w:t>.</w:t>
      </w:r>
      <w:r>
        <w:rPr>
          <w:snapToGrid w:val="0"/>
          <w:szCs w:val="24"/>
        </w:rPr>
        <w:tab/>
        <w:t>Conditions of appointment</w:t>
      </w:r>
      <w:r>
        <w:tab/>
      </w:r>
      <w:r>
        <w:fldChar w:fldCharType="begin"/>
      </w:r>
      <w:r>
        <w:instrText xml:space="preserve"> PAGEREF _Toc274231763 \h </w:instrText>
      </w:r>
      <w:r>
        <w:fldChar w:fldCharType="separate"/>
      </w:r>
      <w:r w:rsidR="006D71BB">
        <w:t>4</w:t>
      </w:r>
      <w:r>
        <w:fldChar w:fldCharType="end"/>
      </w:r>
    </w:p>
    <w:p w:rsidR="004B6B50" w:rsidRDefault="003C7CC9">
      <w:pPr>
        <w:pStyle w:val="TOC8"/>
        <w:rPr>
          <w:sz w:val="24"/>
          <w:szCs w:val="24"/>
        </w:rPr>
      </w:pPr>
      <w:r>
        <w:rPr>
          <w:szCs w:val="24"/>
        </w:rPr>
        <w:t>10</w:t>
      </w:r>
      <w:r>
        <w:rPr>
          <w:snapToGrid w:val="0"/>
          <w:szCs w:val="24"/>
        </w:rPr>
        <w:t>.</w:t>
      </w:r>
      <w:r>
        <w:rPr>
          <w:snapToGrid w:val="0"/>
          <w:szCs w:val="24"/>
        </w:rPr>
        <w:tab/>
        <w:t>Acting members</w:t>
      </w:r>
      <w:r>
        <w:tab/>
      </w:r>
      <w:r>
        <w:fldChar w:fldCharType="begin"/>
      </w:r>
      <w:r>
        <w:instrText xml:space="preserve"> PAGEREF _Toc274231764 \h </w:instrText>
      </w:r>
      <w:r>
        <w:fldChar w:fldCharType="separate"/>
      </w:r>
      <w:r w:rsidR="006D71BB">
        <w:t>6</w:t>
      </w:r>
      <w:r>
        <w:fldChar w:fldCharType="end"/>
      </w:r>
    </w:p>
    <w:p w:rsidR="004B6B50" w:rsidRDefault="003C7CC9">
      <w:pPr>
        <w:pStyle w:val="TOC8"/>
        <w:rPr>
          <w:sz w:val="24"/>
          <w:szCs w:val="24"/>
        </w:rPr>
      </w:pPr>
      <w:r>
        <w:rPr>
          <w:szCs w:val="24"/>
        </w:rPr>
        <w:t>11</w:t>
      </w:r>
      <w:r>
        <w:rPr>
          <w:snapToGrid w:val="0"/>
          <w:szCs w:val="24"/>
        </w:rPr>
        <w:t>.</w:t>
      </w:r>
      <w:r>
        <w:rPr>
          <w:snapToGrid w:val="0"/>
          <w:szCs w:val="24"/>
        </w:rPr>
        <w:tab/>
        <w:t>Functions of Commission</w:t>
      </w:r>
      <w:r>
        <w:tab/>
      </w:r>
      <w:r>
        <w:fldChar w:fldCharType="begin"/>
      </w:r>
      <w:r>
        <w:instrText xml:space="preserve"> PAGEREF _Toc274231765 \h </w:instrText>
      </w:r>
      <w:r>
        <w:fldChar w:fldCharType="separate"/>
      </w:r>
      <w:r w:rsidR="006D71BB">
        <w:t>6</w:t>
      </w:r>
      <w:r>
        <w:fldChar w:fldCharType="end"/>
      </w:r>
    </w:p>
    <w:p w:rsidR="004B6B50" w:rsidRDefault="003C7CC9">
      <w:pPr>
        <w:pStyle w:val="TOC8"/>
        <w:rPr>
          <w:sz w:val="24"/>
          <w:szCs w:val="24"/>
        </w:rPr>
      </w:pPr>
      <w:r>
        <w:rPr>
          <w:szCs w:val="24"/>
        </w:rPr>
        <w:t>12</w:t>
      </w:r>
      <w:r>
        <w:rPr>
          <w:snapToGrid w:val="0"/>
          <w:szCs w:val="24"/>
        </w:rPr>
        <w:t>.</w:t>
      </w:r>
      <w:r>
        <w:rPr>
          <w:snapToGrid w:val="0"/>
          <w:szCs w:val="24"/>
        </w:rPr>
        <w:tab/>
        <w:t>Proceedings of Commission</w:t>
      </w:r>
      <w:r>
        <w:tab/>
      </w:r>
      <w:r>
        <w:fldChar w:fldCharType="begin"/>
      </w:r>
      <w:r>
        <w:instrText xml:space="preserve"> PAGEREF _Toc274231766 \h </w:instrText>
      </w:r>
      <w:r>
        <w:fldChar w:fldCharType="separate"/>
      </w:r>
      <w:r w:rsidR="006D71BB">
        <w:t>7</w:t>
      </w:r>
      <w:r>
        <w:fldChar w:fldCharType="end"/>
      </w:r>
    </w:p>
    <w:p w:rsidR="004B6B50" w:rsidRDefault="003C7CC9">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_Toc274231767 \h </w:instrText>
      </w:r>
      <w:r>
        <w:fldChar w:fldCharType="separate"/>
      </w:r>
      <w:r w:rsidR="006D71BB">
        <w:t>8</w:t>
      </w:r>
      <w:r>
        <w:fldChar w:fldCharType="end"/>
      </w:r>
    </w:p>
    <w:p w:rsidR="004B6B50" w:rsidRDefault="003C7CC9">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_Toc274231768 \h </w:instrText>
      </w:r>
      <w:r>
        <w:fldChar w:fldCharType="separate"/>
      </w:r>
      <w:r w:rsidR="006D71BB">
        <w:t>8</w:t>
      </w:r>
      <w:r>
        <w:fldChar w:fldCharType="end"/>
      </w:r>
    </w:p>
    <w:p w:rsidR="004B6B50" w:rsidRDefault="003C7CC9">
      <w:pPr>
        <w:pStyle w:val="TOC8"/>
        <w:rPr>
          <w:sz w:val="24"/>
          <w:szCs w:val="24"/>
        </w:rPr>
      </w:pPr>
      <w:r>
        <w:rPr>
          <w:szCs w:val="24"/>
        </w:rPr>
        <w:t>15</w:t>
      </w:r>
      <w:r>
        <w:rPr>
          <w:snapToGrid w:val="0"/>
          <w:szCs w:val="24"/>
        </w:rPr>
        <w:t>.</w:t>
      </w:r>
      <w:r>
        <w:rPr>
          <w:snapToGrid w:val="0"/>
          <w:szCs w:val="24"/>
        </w:rPr>
        <w:tab/>
        <w:t>Funds of Commission</w:t>
      </w:r>
      <w:r>
        <w:tab/>
      </w:r>
      <w:r>
        <w:fldChar w:fldCharType="begin"/>
      </w:r>
      <w:r>
        <w:instrText xml:space="preserve"> PAGEREF _Toc274231769 \h </w:instrText>
      </w:r>
      <w:r>
        <w:fldChar w:fldCharType="separate"/>
      </w:r>
      <w:r w:rsidR="006D71BB">
        <w:t>9</w:t>
      </w:r>
      <w:r>
        <w:fldChar w:fldCharType="end"/>
      </w:r>
    </w:p>
    <w:p w:rsidR="004B6B50" w:rsidRDefault="003C7CC9">
      <w:pPr>
        <w:pStyle w:val="TOC2"/>
        <w:tabs>
          <w:tab w:val="right" w:leader="dot" w:pos="7078"/>
        </w:tabs>
        <w:rPr>
          <w:b w:val="0"/>
          <w:sz w:val="24"/>
          <w:szCs w:val="24"/>
        </w:rPr>
      </w:pPr>
      <w:r>
        <w:rPr>
          <w:szCs w:val="26"/>
        </w:rPr>
        <w:t>Notes</w:t>
      </w:r>
    </w:p>
    <w:p w:rsidR="004B6B50" w:rsidRDefault="003C7CC9">
      <w:pPr>
        <w:pStyle w:val="TOC8"/>
        <w:rPr>
          <w:sz w:val="24"/>
          <w:szCs w:val="24"/>
        </w:rPr>
      </w:pPr>
      <w:r>
        <w:rPr>
          <w:snapToGrid w:val="0"/>
          <w:szCs w:val="24"/>
        </w:rPr>
        <w:tab/>
        <w:t>Compilation table</w:t>
      </w:r>
      <w:r>
        <w:tab/>
      </w:r>
      <w:r>
        <w:fldChar w:fldCharType="begin"/>
      </w:r>
      <w:r>
        <w:instrText xml:space="preserve"> PAGEREF _Toc274231771 \h </w:instrText>
      </w:r>
      <w:r>
        <w:fldChar w:fldCharType="separate"/>
      </w:r>
      <w:r w:rsidR="006D71BB">
        <w:t>10</w:t>
      </w:r>
      <w:r>
        <w:fldChar w:fldCharType="end"/>
      </w:r>
    </w:p>
    <w:p w:rsidR="004B6B50" w:rsidRDefault="003C7CC9">
      <w:pPr>
        <w:pStyle w:val="TOC8"/>
        <w:rPr>
          <w:sz w:val="24"/>
        </w:rPr>
      </w:pPr>
      <w:r>
        <w:rPr>
          <w:snapToGrid w:val="0"/>
        </w:rPr>
        <w:tab/>
        <w:t>Provisions that have not come into operation</w:t>
      </w:r>
      <w:r>
        <w:tab/>
      </w:r>
      <w:r>
        <w:fldChar w:fldCharType="begin"/>
      </w:r>
      <w:r>
        <w:instrText xml:space="preserve"> PAGEREF _Toc274231772 \h </w:instrText>
      </w:r>
      <w:r>
        <w:fldChar w:fldCharType="separate"/>
      </w:r>
      <w:r w:rsidR="006D71BB">
        <w:t>11</w:t>
      </w:r>
      <w:r>
        <w:fldChar w:fldCharType="end"/>
      </w:r>
    </w:p>
    <w:p w:rsidR="004B6B50" w:rsidRDefault="003C7CC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B6B50" w:rsidRDefault="004B6B50">
      <w:pPr>
        <w:pStyle w:val="NoteHeading"/>
        <w:sectPr w:rsidR="004B6B50">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4B6B50" w:rsidRDefault="003C7CC9">
      <w:pPr>
        <w:pStyle w:val="WA"/>
      </w:pPr>
      <w:r>
        <w:t>Western Australia</w:t>
      </w:r>
    </w:p>
    <w:p w:rsidR="004B6B50" w:rsidRDefault="003C7CC9">
      <w:pPr>
        <w:pStyle w:val="NameofActReg"/>
      </w:pPr>
      <w:r>
        <w:t xml:space="preserve">Law Reform Commission Act 1972 </w:t>
      </w:r>
    </w:p>
    <w:p w:rsidR="004B6B50" w:rsidRDefault="003C7CC9">
      <w:pPr>
        <w:pStyle w:val="LongTitle"/>
        <w:rPr>
          <w:snapToGrid w:val="0"/>
        </w:rPr>
      </w:pPr>
      <w:r>
        <w:rPr>
          <w:snapToGrid w:val="0"/>
        </w:rPr>
        <w:t xml:space="preserve">An Act to establish the Law Reform Commission of Western Australia and for purposes incidental thereto. </w:t>
      </w:r>
    </w:p>
    <w:p w:rsidR="004B6B50" w:rsidRDefault="003C7CC9">
      <w:pPr>
        <w:pStyle w:val="Heading5"/>
        <w:spacing w:before="600"/>
        <w:rPr>
          <w:snapToGrid w:val="0"/>
        </w:rPr>
      </w:pPr>
      <w:bookmarkStart w:id="1" w:name="_Toc517682154"/>
      <w:bookmarkStart w:id="2" w:name="_Toc518101133"/>
      <w:bookmarkStart w:id="3" w:name="_Toc526750202"/>
      <w:bookmarkStart w:id="4" w:name="_Toc61336094"/>
      <w:bookmarkStart w:id="5" w:name="_Toc274231755"/>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4B6B50" w:rsidRDefault="003C7CC9">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rsidR="004B6B50" w:rsidRDefault="003C7CC9">
      <w:pPr>
        <w:pStyle w:val="Heading5"/>
        <w:rPr>
          <w:snapToGrid w:val="0"/>
        </w:rPr>
      </w:pPr>
      <w:bookmarkStart w:id="6" w:name="_Toc517682155"/>
      <w:bookmarkStart w:id="7" w:name="_Toc518101134"/>
      <w:bookmarkStart w:id="8" w:name="_Toc526750203"/>
      <w:bookmarkStart w:id="9" w:name="_Toc61336095"/>
      <w:bookmarkStart w:id="10" w:name="_Toc274231756"/>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4B6B50" w:rsidRDefault="003C7CC9">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4B6B50" w:rsidRDefault="003C7CC9">
      <w:pPr>
        <w:pStyle w:val="Heading5"/>
        <w:rPr>
          <w:snapToGrid w:val="0"/>
        </w:rPr>
      </w:pPr>
      <w:bookmarkStart w:id="11" w:name="_Toc517682156"/>
      <w:bookmarkStart w:id="12" w:name="_Toc518101135"/>
      <w:bookmarkStart w:id="13" w:name="_Toc526750204"/>
      <w:bookmarkStart w:id="14" w:name="_Toc61336096"/>
      <w:bookmarkStart w:id="15" w:name="_Toc274231757"/>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4B6B50" w:rsidRDefault="003C7CC9">
      <w:pPr>
        <w:pStyle w:val="Subsection"/>
        <w:keepNext/>
        <w:rPr>
          <w:snapToGrid w:val="0"/>
        </w:rPr>
      </w:pPr>
      <w:r>
        <w:rPr>
          <w:snapToGrid w:val="0"/>
        </w:rPr>
        <w:tab/>
      </w:r>
      <w:r>
        <w:rPr>
          <w:snapToGrid w:val="0"/>
        </w:rPr>
        <w:tab/>
        <w:t>In this Act, unless the context otherwise requires — </w:t>
      </w:r>
    </w:p>
    <w:p w:rsidR="004B6B50" w:rsidRDefault="003C7CC9">
      <w:pPr>
        <w:pStyle w:val="Defstart"/>
      </w:pPr>
      <w:r>
        <w:rPr>
          <w:b/>
        </w:rPr>
        <w:tab/>
      </w:r>
      <w:r>
        <w:rPr>
          <w:rStyle w:val="CharDefText"/>
        </w:rPr>
        <w:t>Chairman</w:t>
      </w:r>
      <w:r>
        <w:t xml:space="preserve"> means Chairman of the Commission;</w:t>
      </w:r>
    </w:p>
    <w:p w:rsidR="004B6B50" w:rsidRDefault="003C7CC9">
      <w:pPr>
        <w:pStyle w:val="Defstart"/>
      </w:pPr>
      <w:r>
        <w:rPr>
          <w:b/>
        </w:rPr>
        <w:tab/>
      </w:r>
      <w:r>
        <w:rPr>
          <w:rStyle w:val="CharDefText"/>
        </w:rPr>
        <w:t>member</w:t>
      </w:r>
      <w:r>
        <w:t xml:space="preserve"> means full</w:t>
      </w:r>
      <w:r>
        <w:noBreakHyphen/>
        <w:t>time member or part</w:t>
      </w:r>
      <w:r>
        <w:noBreakHyphen/>
        <w:t>time member of the Commission;</w:t>
      </w:r>
    </w:p>
    <w:p w:rsidR="004B6B50" w:rsidRDefault="003C7CC9">
      <w:pPr>
        <w:pStyle w:val="Defstart"/>
      </w:pPr>
      <w:r>
        <w:rPr>
          <w:b/>
        </w:rPr>
        <w:tab/>
      </w:r>
      <w:r>
        <w:rPr>
          <w:rStyle w:val="CharDefText"/>
        </w:rPr>
        <w:t>section</w:t>
      </w:r>
      <w:r>
        <w:t xml:space="preserve"> means section of this Act; and</w:t>
      </w:r>
    </w:p>
    <w:p w:rsidR="004B6B50" w:rsidRDefault="003C7CC9">
      <w:pPr>
        <w:pStyle w:val="Defstart"/>
        <w:keepNext/>
        <w:keepLines/>
      </w:pPr>
      <w:r>
        <w:rPr>
          <w:b/>
        </w:rPr>
        <w:tab/>
      </w:r>
      <w:r>
        <w:rPr>
          <w:rStyle w:val="CharDefText"/>
        </w:rPr>
        <w:t>the Commission</w:t>
      </w:r>
      <w:r>
        <w:t xml:space="preserve"> means the Law Reform Commission of Western Australia established under this Act.</w:t>
      </w:r>
    </w:p>
    <w:p w:rsidR="004B6B50" w:rsidRDefault="003C7CC9">
      <w:pPr>
        <w:pStyle w:val="Footnotesection"/>
      </w:pPr>
      <w:r>
        <w:tab/>
        <w:t xml:space="preserve">[Section 3 amended by No. 91 of 1978 s. 3.] </w:t>
      </w:r>
    </w:p>
    <w:p w:rsidR="004B6B50" w:rsidRDefault="003C7CC9">
      <w:pPr>
        <w:pStyle w:val="Heading5"/>
        <w:rPr>
          <w:snapToGrid w:val="0"/>
        </w:rPr>
      </w:pPr>
      <w:bookmarkStart w:id="16" w:name="_Toc517682157"/>
      <w:bookmarkStart w:id="17" w:name="_Toc518101136"/>
      <w:bookmarkStart w:id="18" w:name="_Toc526750205"/>
      <w:bookmarkStart w:id="19" w:name="_Toc61336097"/>
      <w:bookmarkStart w:id="20" w:name="_Toc274231758"/>
      <w:r>
        <w:rPr>
          <w:rStyle w:val="CharSectno"/>
        </w:rPr>
        <w:t>4</w:t>
      </w:r>
      <w:r>
        <w:rPr>
          <w:snapToGrid w:val="0"/>
        </w:rPr>
        <w:t>.</w:t>
      </w:r>
      <w:r>
        <w:rPr>
          <w:snapToGrid w:val="0"/>
        </w:rPr>
        <w:tab/>
        <w:t>Constitution of Commission</w:t>
      </w:r>
      <w:bookmarkEnd w:id="16"/>
      <w:bookmarkEnd w:id="17"/>
      <w:bookmarkEnd w:id="18"/>
      <w:bookmarkEnd w:id="19"/>
      <w:bookmarkEnd w:id="20"/>
      <w:r>
        <w:rPr>
          <w:snapToGrid w:val="0"/>
        </w:rPr>
        <w:t xml:space="preserve"> </w:t>
      </w:r>
    </w:p>
    <w:p w:rsidR="004B6B50" w:rsidRDefault="003C7CC9">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rsidR="004B6B50" w:rsidRDefault="003C7CC9">
      <w:pPr>
        <w:pStyle w:val="Subsection"/>
        <w:keepNext/>
        <w:rPr>
          <w:snapToGrid w:val="0"/>
        </w:rPr>
      </w:pPr>
      <w:r>
        <w:rPr>
          <w:snapToGrid w:val="0"/>
        </w:rPr>
        <w:tab/>
        <w:t>(1a)</w:t>
      </w:r>
      <w:r>
        <w:rPr>
          <w:snapToGrid w:val="0"/>
        </w:rPr>
        <w:tab/>
        <w:t>Of the 5 members appointed under subsection (1) — </w:t>
      </w:r>
    </w:p>
    <w:p w:rsidR="004B6B50" w:rsidRDefault="003C7CC9">
      <w:pPr>
        <w:pStyle w:val="Indenta"/>
        <w:rPr>
          <w:snapToGrid w:val="0"/>
        </w:rPr>
      </w:pPr>
      <w:r>
        <w:rPr>
          <w:snapToGrid w:val="0"/>
        </w:rPr>
        <w:tab/>
        <w:t>(a)</w:t>
      </w:r>
      <w:r>
        <w:rPr>
          <w:snapToGrid w:val="0"/>
        </w:rPr>
        <w:tab/>
        <w:t>3 members shall be members who are part</w:t>
      </w:r>
      <w:r>
        <w:rPr>
          <w:snapToGrid w:val="0"/>
        </w:rPr>
        <w:noBreakHyphen/>
        <w:t>time members; and</w:t>
      </w:r>
    </w:p>
    <w:p w:rsidR="004B6B50" w:rsidRDefault="003C7CC9">
      <w:pPr>
        <w:pStyle w:val="Indenta"/>
        <w:rPr>
          <w:snapToGrid w:val="0"/>
        </w:rPr>
      </w:pPr>
      <w:r>
        <w:rPr>
          <w:snapToGrid w:val="0"/>
        </w:rPr>
        <w:tab/>
        <w:t>(b)</w:t>
      </w:r>
      <w:r>
        <w:rPr>
          <w:snapToGrid w:val="0"/>
        </w:rPr>
        <w:tab/>
        <w:t>2 members shall be members who are full</w:t>
      </w:r>
      <w:r>
        <w:rPr>
          <w:snapToGrid w:val="0"/>
        </w:rPr>
        <w:noBreakHyphen/>
        <w:t>time members.</w:t>
      </w:r>
    </w:p>
    <w:p w:rsidR="004B6B50" w:rsidRDefault="003C7CC9">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rsidR="004B6B50" w:rsidRDefault="003C7CC9">
      <w:pPr>
        <w:pStyle w:val="Footnotesection"/>
      </w:pPr>
      <w:r>
        <w:tab/>
        <w:t xml:space="preserve">[Section 4 amended by No. 91 of 1978 s. 4.] </w:t>
      </w:r>
    </w:p>
    <w:p w:rsidR="004B6B50" w:rsidRDefault="003C7CC9">
      <w:pPr>
        <w:pStyle w:val="Heading5"/>
        <w:rPr>
          <w:snapToGrid w:val="0"/>
        </w:rPr>
      </w:pPr>
      <w:bookmarkStart w:id="21" w:name="_Toc517682158"/>
      <w:bookmarkStart w:id="22" w:name="_Toc518101137"/>
      <w:bookmarkStart w:id="23" w:name="_Toc526750206"/>
      <w:bookmarkStart w:id="24" w:name="_Toc61336098"/>
      <w:bookmarkStart w:id="25" w:name="_Toc274231759"/>
      <w:r>
        <w:rPr>
          <w:rStyle w:val="CharSectno"/>
        </w:rPr>
        <w:t>5</w:t>
      </w:r>
      <w:r>
        <w:rPr>
          <w:snapToGrid w:val="0"/>
        </w:rPr>
        <w:t>.</w:t>
      </w:r>
      <w:r>
        <w:rPr>
          <w:snapToGrid w:val="0"/>
        </w:rPr>
        <w:tab/>
        <w:t>Chairman</w:t>
      </w:r>
      <w:bookmarkEnd w:id="21"/>
      <w:bookmarkEnd w:id="22"/>
      <w:bookmarkEnd w:id="23"/>
      <w:bookmarkEnd w:id="24"/>
      <w:bookmarkEnd w:id="25"/>
      <w:r>
        <w:rPr>
          <w:snapToGrid w:val="0"/>
        </w:rPr>
        <w:t xml:space="preserve"> </w:t>
      </w:r>
    </w:p>
    <w:p w:rsidR="004B6B50" w:rsidRDefault="003C7CC9">
      <w:pPr>
        <w:pStyle w:val="Subsection"/>
        <w:rPr>
          <w:snapToGrid w:val="0"/>
        </w:rPr>
      </w:pPr>
      <w:r>
        <w:rPr>
          <w:snapToGrid w:val="0"/>
        </w:rPr>
        <w:tab/>
        <w:t>(1)</w:t>
      </w:r>
      <w:r>
        <w:rPr>
          <w:snapToGrid w:val="0"/>
        </w:rPr>
        <w:tab/>
        <w:t>The Commission shall elect the Chairman from amongst its members.</w:t>
      </w:r>
    </w:p>
    <w:p w:rsidR="004B6B50" w:rsidRDefault="003C7CC9">
      <w:pPr>
        <w:pStyle w:val="Subsection"/>
        <w:rPr>
          <w:snapToGrid w:val="0"/>
        </w:rPr>
      </w:pPr>
      <w:r>
        <w:rPr>
          <w:snapToGrid w:val="0"/>
        </w:rPr>
        <w:tab/>
        <w:t>(2)</w:t>
      </w:r>
      <w:r>
        <w:rPr>
          <w:snapToGrid w:val="0"/>
        </w:rPr>
        <w:tab/>
        <w:t>The member elected as the Chairman shall hold that office for a term not exceeding one year.</w:t>
      </w:r>
    </w:p>
    <w:p w:rsidR="004B6B50" w:rsidRDefault="003C7CC9">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rsidR="004B6B50" w:rsidRDefault="003C7CC9">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rsidR="004B6B50" w:rsidRDefault="003C7CC9">
      <w:pPr>
        <w:pStyle w:val="Footnotesection"/>
      </w:pPr>
      <w:r>
        <w:tab/>
        <w:t xml:space="preserve">[Section 5 amended by No. 91 of 1978 s. 5.] </w:t>
      </w:r>
    </w:p>
    <w:p w:rsidR="004B6B50" w:rsidRDefault="003C7CC9">
      <w:pPr>
        <w:pStyle w:val="Heading5"/>
        <w:rPr>
          <w:snapToGrid w:val="0"/>
        </w:rPr>
      </w:pPr>
      <w:bookmarkStart w:id="26" w:name="_Toc517682159"/>
      <w:bookmarkStart w:id="27" w:name="_Toc518101138"/>
      <w:bookmarkStart w:id="28" w:name="_Toc526750207"/>
      <w:bookmarkStart w:id="29" w:name="_Toc61336099"/>
      <w:bookmarkStart w:id="30" w:name="_Toc274231760"/>
      <w:r>
        <w:rPr>
          <w:rStyle w:val="CharSectno"/>
        </w:rPr>
        <w:t>6</w:t>
      </w:r>
      <w:r>
        <w:rPr>
          <w:snapToGrid w:val="0"/>
        </w:rPr>
        <w:t>.</w:t>
      </w:r>
      <w:r>
        <w:rPr>
          <w:snapToGrid w:val="0"/>
        </w:rPr>
        <w:tab/>
        <w:t>Qualification of members</w:t>
      </w:r>
      <w:bookmarkEnd w:id="26"/>
      <w:bookmarkEnd w:id="27"/>
      <w:bookmarkEnd w:id="28"/>
      <w:bookmarkEnd w:id="29"/>
      <w:bookmarkEnd w:id="30"/>
    </w:p>
    <w:p w:rsidR="004B6B50" w:rsidRDefault="003C7CC9">
      <w:pPr>
        <w:pStyle w:val="Subsection"/>
        <w:keepNext/>
        <w:rPr>
          <w:snapToGrid w:val="0"/>
        </w:rPr>
      </w:pPr>
      <w:r>
        <w:rPr>
          <w:snapToGrid w:val="0"/>
        </w:rPr>
        <w:tab/>
        <w:t>(1)</w:t>
      </w:r>
      <w:r>
        <w:rPr>
          <w:snapToGrid w:val="0"/>
        </w:rPr>
        <w:tab/>
        <w:t>Of the members who are part</w:t>
      </w:r>
      <w:r>
        <w:rPr>
          <w:snapToGrid w:val="0"/>
        </w:rPr>
        <w:noBreakHyphen/>
        <w:t>time members — </w:t>
      </w:r>
    </w:p>
    <w:p w:rsidR="004B6B50" w:rsidRDefault="003C7CC9">
      <w:pPr>
        <w:pStyle w:val="Indenta"/>
      </w:pPr>
      <w:r>
        <w:tab/>
        <w:t>(a)</w:t>
      </w:r>
      <w:r>
        <w:tab/>
        <w:t>one shall be an Australian legal practitioner of at least 8 years’ standing and experience;</w:t>
      </w:r>
    </w:p>
    <w:p w:rsidR="004B6B50" w:rsidRDefault="003C7CC9">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rsidR="004B6B50" w:rsidRDefault="003C7CC9">
      <w:pPr>
        <w:pStyle w:val="Indenta"/>
      </w:pPr>
      <w:r>
        <w:tab/>
        <w:t>(c)</w:t>
      </w:r>
      <w:r>
        <w:tab/>
        <w:t>one shall be an Australian legal practitioner who is an officer of the State Solicitor’s Office of at least 8 years’ standing and experience.</w:t>
      </w:r>
    </w:p>
    <w:p w:rsidR="004B6B50" w:rsidRDefault="003C7CC9">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rsidR="004B6B50" w:rsidRDefault="003C7CC9">
      <w:pPr>
        <w:pStyle w:val="Indenta"/>
        <w:rPr>
          <w:snapToGrid w:val="0"/>
        </w:rPr>
      </w:pPr>
      <w:r>
        <w:rPr>
          <w:snapToGrid w:val="0"/>
        </w:rPr>
        <w:tab/>
        <w:t>(a)</w:t>
      </w:r>
      <w:r>
        <w:rPr>
          <w:snapToGrid w:val="0"/>
        </w:rPr>
        <w:tab/>
        <w:t xml:space="preserve">is or has been </w:t>
      </w:r>
      <w:r>
        <w:t xml:space="preserve">an Australian legal practitioner </w:t>
      </w:r>
      <w:r>
        <w:rPr>
          <w:snapToGrid w:val="0"/>
        </w:rPr>
        <w:t>of not less than 8 years’ standing; or</w:t>
      </w:r>
    </w:p>
    <w:p w:rsidR="004B6B50" w:rsidRDefault="003C7CC9">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rsidR="004B6B50" w:rsidRDefault="003C7CC9">
      <w:pPr>
        <w:pStyle w:val="Subsection"/>
      </w:pPr>
      <w:r>
        <w:tab/>
        <w:t>(3)</w:t>
      </w:r>
      <w:r>
        <w:tab/>
        <w:t xml:space="preserve">In this section — </w:t>
      </w:r>
    </w:p>
    <w:p w:rsidR="004B6B50" w:rsidRDefault="003C7CC9">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rsidR="004B6B50" w:rsidRDefault="003C7CC9">
      <w:pPr>
        <w:pStyle w:val="Footnotesection"/>
      </w:pPr>
      <w:r>
        <w:tab/>
        <w:t xml:space="preserve">[Section 6 inserted by No. 91 of 1978 s. 6; amended by No. 31 of 1993 s. 51; No. 65 of 2003 s. 45, 94; No. 21 of 2008 s. 672.] </w:t>
      </w:r>
    </w:p>
    <w:p w:rsidR="004B6B50" w:rsidRDefault="003C7CC9">
      <w:pPr>
        <w:pStyle w:val="Heading5"/>
        <w:rPr>
          <w:snapToGrid w:val="0"/>
        </w:rPr>
      </w:pPr>
      <w:bookmarkStart w:id="31" w:name="_Toc517682160"/>
      <w:bookmarkStart w:id="32" w:name="_Toc518101139"/>
      <w:bookmarkStart w:id="33" w:name="_Toc526750208"/>
      <w:bookmarkStart w:id="34" w:name="_Toc61336100"/>
      <w:bookmarkStart w:id="35" w:name="_Toc274231761"/>
      <w:r>
        <w:rPr>
          <w:rStyle w:val="CharSectno"/>
        </w:rPr>
        <w:t>7</w:t>
      </w:r>
      <w:r>
        <w:rPr>
          <w:snapToGrid w:val="0"/>
        </w:rPr>
        <w:t>.</w:t>
      </w:r>
      <w:r>
        <w:rPr>
          <w:snapToGrid w:val="0"/>
        </w:rPr>
        <w:tab/>
        <w:t>Tenure of office</w:t>
      </w:r>
      <w:bookmarkEnd w:id="31"/>
      <w:bookmarkEnd w:id="32"/>
      <w:bookmarkEnd w:id="33"/>
      <w:bookmarkEnd w:id="34"/>
      <w:bookmarkEnd w:id="35"/>
      <w:r>
        <w:rPr>
          <w:snapToGrid w:val="0"/>
        </w:rPr>
        <w:t xml:space="preserve"> </w:t>
      </w:r>
    </w:p>
    <w:p w:rsidR="004B6B50" w:rsidRDefault="003C7CC9">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rsidR="004B6B50" w:rsidRDefault="003C7CC9">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rsidR="004B6B50" w:rsidRDefault="003C7CC9">
      <w:pPr>
        <w:pStyle w:val="Subsection"/>
        <w:rPr>
          <w:snapToGrid w:val="0"/>
        </w:rPr>
      </w:pPr>
      <w:r>
        <w:rPr>
          <w:snapToGrid w:val="0"/>
        </w:rPr>
        <w:tab/>
        <w:t>(3)</w:t>
      </w:r>
      <w:r>
        <w:rPr>
          <w:snapToGrid w:val="0"/>
        </w:rPr>
        <w:tab/>
        <w:t>A member whose term of office has expired shall be eligible for reappointment, but — </w:t>
      </w:r>
    </w:p>
    <w:p w:rsidR="004B6B50" w:rsidRDefault="003C7CC9">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rsidR="004B6B50" w:rsidRDefault="003C7CC9">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rsidR="004B6B50" w:rsidRDefault="003C7CC9">
      <w:pPr>
        <w:pStyle w:val="Subsection"/>
        <w:rPr>
          <w:snapToGrid w:val="0"/>
        </w:rPr>
      </w:pPr>
      <w:r>
        <w:rPr>
          <w:snapToGrid w:val="0"/>
        </w:rPr>
        <w:tab/>
      </w:r>
      <w:r>
        <w:rPr>
          <w:snapToGrid w:val="0"/>
        </w:rPr>
        <w:tab/>
        <w:t>unless, in the opinion of the Governor, there are special circumstances warranting an extension of that period.</w:t>
      </w:r>
    </w:p>
    <w:p w:rsidR="004B6B50" w:rsidRDefault="003C7CC9">
      <w:pPr>
        <w:pStyle w:val="Footnotesection"/>
      </w:pPr>
      <w:r>
        <w:tab/>
        <w:t xml:space="preserve">[Section 7 amended by No. 91 of 1978 s. 7.] </w:t>
      </w:r>
    </w:p>
    <w:p w:rsidR="004B6B50" w:rsidRDefault="003C7CC9">
      <w:pPr>
        <w:pStyle w:val="Heading5"/>
        <w:rPr>
          <w:snapToGrid w:val="0"/>
        </w:rPr>
      </w:pPr>
      <w:bookmarkStart w:id="36" w:name="_Toc517682161"/>
      <w:bookmarkStart w:id="37" w:name="_Toc518101140"/>
      <w:bookmarkStart w:id="38" w:name="_Toc526750209"/>
      <w:bookmarkStart w:id="39" w:name="_Toc61336101"/>
      <w:bookmarkStart w:id="40" w:name="_Toc274231762"/>
      <w:r>
        <w:rPr>
          <w:rStyle w:val="CharSectno"/>
        </w:rPr>
        <w:t>8</w:t>
      </w:r>
      <w:r>
        <w:rPr>
          <w:snapToGrid w:val="0"/>
        </w:rPr>
        <w:t>.</w:t>
      </w:r>
      <w:r>
        <w:rPr>
          <w:snapToGrid w:val="0"/>
        </w:rPr>
        <w:tab/>
        <w:t>Removal from office</w:t>
      </w:r>
      <w:bookmarkEnd w:id="36"/>
      <w:bookmarkEnd w:id="37"/>
      <w:bookmarkEnd w:id="38"/>
      <w:bookmarkEnd w:id="39"/>
      <w:bookmarkEnd w:id="40"/>
      <w:r>
        <w:rPr>
          <w:snapToGrid w:val="0"/>
        </w:rPr>
        <w:t xml:space="preserve"> </w:t>
      </w:r>
    </w:p>
    <w:p w:rsidR="004B6B50" w:rsidRDefault="003C7CC9">
      <w:pPr>
        <w:pStyle w:val="Subsection"/>
        <w:rPr>
          <w:snapToGrid w:val="0"/>
        </w:rPr>
      </w:pPr>
      <w:r>
        <w:rPr>
          <w:snapToGrid w:val="0"/>
        </w:rPr>
        <w:tab/>
        <w:t>(1)</w:t>
      </w:r>
      <w:r>
        <w:rPr>
          <w:snapToGrid w:val="0"/>
        </w:rPr>
        <w:tab/>
        <w:t>If a member ceases to have the qualifications under which he was appointed, his office shall become vacant.</w:t>
      </w:r>
    </w:p>
    <w:p w:rsidR="004B6B50" w:rsidRDefault="003C7CC9">
      <w:pPr>
        <w:pStyle w:val="Subsection"/>
        <w:rPr>
          <w:snapToGrid w:val="0"/>
        </w:rPr>
      </w:pPr>
      <w:r>
        <w:rPr>
          <w:snapToGrid w:val="0"/>
        </w:rPr>
        <w:tab/>
        <w:t>(2)</w:t>
      </w:r>
      <w:r>
        <w:rPr>
          <w:snapToGrid w:val="0"/>
        </w:rPr>
        <w:tab/>
        <w:t>A member may resign his office in writing under his hand addressed to the Attorney General.</w:t>
      </w:r>
    </w:p>
    <w:p w:rsidR="004B6B50" w:rsidRDefault="003C7CC9">
      <w:pPr>
        <w:pStyle w:val="Subsection"/>
        <w:keepNext/>
        <w:rPr>
          <w:snapToGrid w:val="0"/>
        </w:rPr>
      </w:pPr>
      <w:r>
        <w:rPr>
          <w:snapToGrid w:val="0"/>
        </w:rPr>
        <w:tab/>
        <w:t>(3)</w:t>
      </w:r>
      <w:r>
        <w:rPr>
          <w:snapToGrid w:val="0"/>
        </w:rPr>
        <w:tab/>
        <w:t>The Governor may remove a member from office if he — </w:t>
      </w:r>
    </w:p>
    <w:p w:rsidR="004B6B50" w:rsidRDefault="003C7CC9">
      <w:pPr>
        <w:pStyle w:val="Indenta"/>
        <w:rPr>
          <w:snapToGrid w:val="0"/>
        </w:rPr>
      </w:pPr>
      <w:r>
        <w:rPr>
          <w:snapToGrid w:val="0"/>
        </w:rPr>
        <w:tab/>
        <w:t>(a)</w:t>
      </w:r>
      <w:r>
        <w:rPr>
          <w:snapToGrid w:val="0"/>
        </w:rPr>
        <w:tab/>
        <w:t>becomes incapable of performing his duties as member;</w:t>
      </w:r>
    </w:p>
    <w:p w:rsidR="004B6B50" w:rsidRDefault="003C7CC9">
      <w:pPr>
        <w:pStyle w:val="Indenta"/>
        <w:rPr>
          <w:snapToGrid w:val="0"/>
        </w:rPr>
      </w:pPr>
      <w:r>
        <w:rPr>
          <w:snapToGrid w:val="0"/>
        </w:rPr>
        <w:tab/>
        <w:t>(b)</w:t>
      </w:r>
      <w:r>
        <w:rPr>
          <w:snapToGrid w:val="0"/>
        </w:rPr>
        <w:tab/>
        <w:t>is guilty of misconduct;</w:t>
      </w:r>
    </w:p>
    <w:p w:rsidR="004B6B50" w:rsidRDefault="003C7CC9">
      <w:pPr>
        <w:pStyle w:val="Indenta"/>
        <w:rPr>
          <w:snapToGrid w:val="0"/>
        </w:rPr>
      </w:pPr>
      <w:r>
        <w:rPr>
          <w:snapToGrid w:val="0"/>
        </w:rPr>
        <w:tab/>
        <w:t>(c)</w:t>
      </w:r>
      <w:r>
        <w:rPr>
          <w:snapToGrid w:val="0"/>
        </w:rPr>
        <w:tab/>
        <w:t>is convicted of an indictable offence; or</w:t>
      </w:r>
    </w:p>
    <w:p w:rsidR="004B6B50" w:rsidRDefault="003C7CC9">
      <w:pPr>
        <w:pStyle w:val="Indenta"/>
        <w:rPr>
          <w:snapToGrid w:val="0"/>
        </w:rPr>
      </w:pPr>
      <w:r>
        <w:rPr>
          <w:snapToGrid w:val="0"/>
        </w:rPr>
        <w:tab/>
        <w:t>(d)</w:t>
      </w:r>
      <w:r>
        <w:rPr>
          <w:snapToGrid w:val="0"/>
        </w:rPr>
        <w:tab/>
        <w:t>fails to comply with the conditions of his appointment.</w:t>
      </w:r>
    </w:p>
    <w:p w:rsidR="004B6B50" w:rsidRDefault="003C7CC9">
      <w:pPr>
        <w:pStyle w:val="Heading5"/>
        <w:rPr>
          <w:snapToGrid w:val="0"/>
        </w:rPr>
      </w:pPr>
      <w:bookmarkStart w:id="41" w:name="_Toc517682162"/>
      <w:bookmarkStart w:id="42" w:name="_Toc518101141"/>
      <w:bookmarkStart w:id="43" w:name="_Toc526750210"/>
      <w:bookmarkStart w:id="44" w:name="_Toc61336102"/>
      <w:bookmarkStart w:id="45" w:name="_Toc274231763"/>
      <w:r>
        <w:rPr>
          <w:rStyle w:val="CharSectno"/>
        </w:rPr>
        <w:t>9</w:t>
      </w:r>
      <w:r>
        <w:rPr>
          <w:snapToGrid w:val="0"/>
        </w:rPr>
        <w:t>.</w:t>
      </w:r>
      <w:r>
        <w:rPr>
          <w:snapToGrid w:val="0"/>
        </w:rPr>
        <w:tab/>
        <w:t>Conditions of appointment</w:t>
      </w:r>
      <w:bookmarkEnd w:id="41"/>
      <w:bookmarkEnd w:id="42"/>
      <w:bookmarkEnd w:id="43"/>
      <w:bookmarkEnd w:id="44"/>
      <w:bookmarkEnd w:id="45"/>
      <w:r>
        <w:rPr>
          <w:snapToGrid w:val="0"/>
        </w:rPr>
        <w:t xml:space="preserve"> </w:t>
      </w:r>
    </w:p>
    <w:p w:rsidR="004B6B50" w:rsidRDefault="003C7CC9">
      <w:pPr>
        <w:pStyle w:val="Subsection"/>
        <w:rPr>
          <w:snapToGrid w:val="0"/>
        </w:rPr>
      </w:pPr>
      <w:r>
        <w:rPr>
          <w:snapToGrid w:val="0"/>
        </w:rPr>
        <w:tab/>
        <w:t>(1)</w:t>
      </w:r>
      <w:r>
        <w:rPr>
          <w:snapToGrid w:val="0"/>
        </w:rPr>
        <w:tab/>
        <w:t>A member shall be paid such remuneration and allowances as the Governor may from time to time determine.</w:t>
      </w:r>
    </w:p>
    <w:p w:rsidR="004B6B50" w:rsidRDefault="003C7CC9">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 Minister for Public Sector Management.</w:t>
      </w:r>
    </w:p>
    <w:p w:rsidR="004B6B50" w:rsidRDefault="003C7CC9">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rsidR="004B6B50" w:rsidRDefault="003C7CC9">
      <w:pPr>
        <w:pStyle w:val="Subsection"/>
        <w:keepNext/>
        <w:rPr>
          <w:snapToGrid w:val="0"/>
        </w:rPr>
      </w:pPr>
      <w:r>
        <w:rPr>
          <w:snapToGrid w:val="0"/>
        </w:rPr>
        <w:tab/>
        <w:t>(4)</w:t>
      </w:r>
      <w:r>
        <w:rPr>
          <w:snapToGrid w:val="0"/>
        </w:rPr>
        <w:tab/>
        <w:t>Acceptance of or acting in the office of member by any person shall not of itself — </w:t>
      </w:r>
    </w:p>
    <w:p w:rsidR="004B6B50" w:rsidRDefault="003C7CC9">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rsidR="004B6B50" w:rsidRDefault="003C7CC9">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rsidR="004B6B50" w:rsidRDefault="003C7CC9">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rsidR="004B6B50" w:rsidRDefault="003C7CC9">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rsidR="004B6B50" w:rsidRDefault="003C7CC9">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rsidR="004B6B50" w:rsidRDefault="003C7CC9">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rsidR="004B6B50" w:rsidRDefault="003C7CC9">
      <w:pPr>
        <w:pStyle w:val="Indenta"/>
        <w:rPr>
          <w:snapToGrid w:val="0"/>
        </w:rPr>
      </w:pPr>
      <w:r>
        <w:rPr>
          <w:snapToGrid w:val="0"/>
        </w:rPr>
        <w:tab/>
        <w:t>(a)</w:t>
      </w:r>
      <w:r>
        <w:rPr>
          <w:snapToGrid w:val="0"/>
        </w:rPr>
        <w:tab/>
        <w:t>the Commission is deemed to be a department; and</w:t>
      </w:r>
    </w:p>
    <w:p w:rsidR="004B6B50" w:rsidRDefault="003C7CC9">
      <w:pPr>
        <w:pStyle w:val="Indenta"/>
        <w:rPr>
          <w:snapToGrid w:val="0"/>
        </w:rPr>
      </w:pPr>
      <w:r>
        <w:rPr>
          <w:snapToGrid w:val="0"/>
        </w:rPr>
        <w:tab/>
        <w:t>(b)</w:t>
      </w:r>
      <w:r>
        <w:rPr>
          <w:snapToGrid w:val="0"/>
        </w:rPr>
        <w:tab/>
        <w:t>that full</w:t>
      </w:r>
      <w:r>
        <w:rPr>
          <w:snapToGrid w:val="0"/>
        </w:rPr>
        <w:noBreakHyphen/>
        <w:t>time member is deemed to be an employee,</w:t>
      </w:r>
    </w:p>
    <w:p w:rsidR="004B6B50" w:rsidRDefault="003C7CC9">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rsidR="004B6B50" w:rsidRDefault="003C7CC9">
      <w:pPr>
        <w:pStyle w:val="Footnotesection"/>
      </w:pPr>
      <w:r>
        <w:tab/>
        <w:t xml:space="preserve">[Section 9 amended by No. 91 of 1978 s. 8; No. 32 of 1994 s. 19; No. 42 of 1997 s. 8.] </w:t>
      </w:r>
    </w:p>
    <w:p w:rsidR="004B6B50" w:rsidRDefault="003C7CC9">
      <w:pPr>
        <w:pStyle w:val="Heading5"/>
        <w:rPr>
          <w:snapToGrid w:val="0"/>
        </w:rPr>
      </w:pPr>
      <w:bookmarkStart w:id="46" w:name="_Toc517682163"/>
      <w:bookmarkStart w:id="47" w:name="_Toc518101142"/>
      <w:bookmarkStart w:id="48" w:name="_Toc526750211"/>
      <w:bookmarkStart w:id="49" w:name="_Toc61336103"/>
      <w:bookmarkStart w:id="50" w:name="_Toc274231764"/>
      <w:r>
        <w:rPr>
          <w:rStyle w:val="CharSectno"/>
        </w:rPr>
        <w:t>10</w:t>
      </w:r>
      <w:r>
        <w:rPr>
          <w:snapToGrid w:val="0"/>
        </w:rPr>
        <w:t>.</w:t>
      </w:r>
      <w:r>
        <w:rPr>
          <w:snapToGrid w:val="0"/>
        </w:rPr>
        <w:tab/>
        <w:t>Acting members</w:t>
      </w:r>
      <w:bookmarkEnd w:id="46"/>
      <w:bookmarkEnd w:id="47"/>
      <w:bookmarkEnd w:id="48"/>
      <w:bookmarkEnd w:id="49"/>
      <w:bookmarkEnd w:id="50"/>
      <w:r>
        <w:rPr>
          <w:snapToGrid w:val="0"/>
        </w:rPr>
        <w:t xml:space="preserve"> </w:t>
      </w:r>
    </w:p>
    <w:p w:rsidR="004B6B50" w:rsidRDefault="003C7CC9">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rsidR="004B6B50" w:rsidRDefault="003C7CC9">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rsidR="004B6B50" w:rsidRDefault="003C7CC9">
      <w:pPr>
        <w:pStyle w:val="Heading5"/>
        <w:rPr>
          <w:snapToGrid w:val="0"/>
        </w:rPr>
      </w:pPr>
      <w:bookmarkStart w:id="51" w:name="_Toc517682164"/>
      <w:bookmarkStart w:id="52" w:name="_Toc518101143"/>
      <w:bookmarkStart w:id="53" w:name="_Toc526750212"/>
      <w:bookmarkStart w:id="54" w:name="_Toc61336104"/>
      <w:bookmarkStart w:id="55" w:name="_Toc274231765"/>
      <w:r>
        <w:rPr>
          <w:rStyle w:val="CharSectno"/>
        </w:rPr>
        <w:t>11</w:t>
      </w:r>
      <w:r>
        <w:rPr>
          <w:snapToGrid w:val="0"/>
        </w:rPr>
        <w:t>.</w:t>
      </w:r>
      <w:r>
        <w:rPr>
          <w:snapToGrid w:val="0"/>
        </w:rPr>
        <w:tab/>
        <w:t>Functions of Commission</w:t>
      </w:r>
      <w:bookmarkEnd w:id="51"/>
      <w:bookmarkEnd w:id="52"/>
      <w:bookmarkEnd w:id="53"/>
      <w:bookmarkEnd w:id="54"/>
      <w:bookmarkEnd w:id="55"/>
      <w:r>
        <w:rPr>
          <w:snapToGrid w:val="0"/>
        </w:rPr>
        <w:t xml:space="preserve"> </w:t>
      </w:r>
    </w:p>
    <w:p w:rsidR="004B6B50" w:rsidRDefault="003C7CC9">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rsidR="004B6B50" w:rsidRDefault="003C7CC9">
      <w:pPr>
        <w:pStyle w:val="Subsection"/>
        <w:keepNext/>
        <w:rPr>
          <w:snapToGrid w:val="0"/>
        </w:rPr>
      </w:pPr>
      <w:r>
        <w:rPr>
          <w:snapToGrid w:val="0"/>
        </w:rPr>
        <w:tab/>
        <w:t>(2)</w:t>
      </w:r>
      <w:r>
        <w:rPr>
          <w:snapToGrid w:val="0"/>
        </w:rPr>
        <w:tab/>
        <w:t>The Attorney General may refer to the Commission — </w:t>
      </w:r>
    </w:p>
    <w:p w:rsidR="004B6B50" w:rsidRDefault="003C7CC9">
      <w:pPr>
        <w:pStyle w:val="Indenta"/>
        <w:rPr>
          <w:snapToGrid w:val="0"/>
        </w:rPr>
      </w:pPr>
      <w:r>
        <w:rPr>
          <w:snapToGrid w:val="0"/>
        </w:rPr>
        <w:tab/>
        <w:t>(a)</w:t>
      </w:r>
      <w:r>
        <w:rPr>
          <w:snapToGrid w:val="0"/>
        </w:rPr>
        <w:tab/>
        <w:t>any of the matters in the proposals submitted to him by it under subsection (1); or</w:t>
      </w:r>
    </w:p>
    <w:p w:rsidR="004B6B50" w:rsidRDefault="003C7CC9">
      <w:pPr>
        <w:pStyle w:val="Indenta"/>
        <w:rPr>
          <w:snapToGrid w:val="0"/>
        </w:rPr>
      </w:pPr>
      <w:r>
        <w:rPr>
          <w:snapToGrid w:val="0"/>
        </w:rPr>
        <w:tab/>
        <w:t>(b)</w:t>
      </w:r>
      <w:r>
        <w:rPr>
          <w:snapToGrid w:val="0"/>
        </w:rPr>
        <w:tab/>
        <w:t>any other matter.</w:t>
      </w:r>
    </w:p>
    <w:p w:rsidR="004B6B50" w:rsidRDefault="003C7CC9">
      <w:pPr>
        <w:pStyle w:val="Subsection"/>
        <w:keepNext/>
        <w:rPr>
          <w:snapToGrid w:val="0"/>
        </w:rPr>
      </w:pPr>
      <w:r>
        <w:rPr>
          <w:snapToGrid w:val="0"/>
        </w:rPr>
        <w:tab/>
        <w:t>(3)</w:t>
      </w:r>
      <w:r>
        <w:rPr>
          <w:snapToGrid w:val="0"/>
        </w:rPr>
        <w:tab/>
        <w:t>On a reference made to it by the Attorney General under subsection (2), the Commission shall — </w:t>
      </w:r>
    </w:p>
    <w:p w:rsidR="004B6B50" w:rsidRDefault="003C7CC9">
      <w:pPr>
        <w:pStyle w:val="Indenta"/>
        <w:rPr>
          <w:snapToGrid w:val="0"/>
        </w:rPr>
      </w:pPr>
      <w:r>
        <w:rPr>
          <w:snapToGrid w:val="0"/>
        </w:rPr>
        <w:tab/>
        <w:t>(a)</w:t>
      </w:r>
      <w:r>
        <w:rPr>
          <w:snapToGrid w:val="0"/>
        </w:rPr>
        <w:tab/>
        <w:t>examine critically the law with respect to the matter mentioned in the reference; and</w:t>
      </w:r>
    </w:p>
    <w:p w:rsidR="004B6B50" w:rsidRDefault="003C7CC9">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rsidR="004B6B50" w:rsidRDefault="003C7CC9">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rsidR="004B6B50" w:rsidRDefault="003C7CC9">
      <w:pPr>
        <w:pStyle w:val="Indenta"/>
        <w:rPr>
          <w:snapToGrid w:val="0"/>
        </w:rPr>
      </w:pPr>
      <w:r>
        <w:rPr>
          <w:snapToGrid w:val="0"/>
        </w:rPr>
        <w:tab/>
        <w:t>(a)</w:t>
      </w:r>
      <w:r>
        <w:rPr>
          <w:snapToGrid w:val="0"/>
        </w:rPr>
        <w:tab/>
        <w:t>is obsolete, unnecessary, incomplete or otherwise defective;</w:t>
      </w:r>
    </w:p>
    <w:p w:rsidR="004B6B50" w:rsidRDefault="003C7CC9">
      <w:pPr>
        <w:pStyle w:val="Indenta"/>
        <w:rPr>
          <w:snapToGrid w:val="0"/>
        </w:rPr>
      </w:pPr>
      <w:r>
        <w:rPr>
          <w:snapToGrid w:val="0"/>
        </w:rPr>
        <w:tab/>
        <w:t>(b)</w:t>
      </w:r>
      <w:r>
        <w:rPr>
          <w:snapToGrid w:val="0"/>
        </w:rPr>
        <w:tab/>
        <w:t>ought to be changed so as to accord with modern conditions;</w:t>
      </w:r>
    </w:p>
    <w:p w:rsidR="004B6B50" w:rsidRDefault="003C7CC9">
      <w:pPr>
        <w:pStyle w:val="Indenta"/>
        <w:rPr>
          <w:snapToGrid w:val="0"/>
        </w:rPr>
      </w:pPr>
      <w:r>
        <w:rPr>
          <w:snapToGrid w:val="0"/>
        </w:rPr>
        <w:tab/>
        <w:t>(c)</w:t>
      </w:r>
      <w:r>
        <w:rPr>
          <w:snapToGrid w:val="0"/>
        </w:rPr>
        <w:tab/>
        <w:t>contains anomalies; or</w:t>
      </w:r>
    </w:p>
    <w:p w:rsidR="004B6B50" w:rsidRDefault="003C7CC9">
      <w:pPr>
        <w:pStyle w:val="Indenta"/>
        <w:rPr>
          <w:snapToGrid w:val="0"/>
        </w:rPr>
      </w:pPr>
      <w:r>
        <w:rPr>
          <w:snapToGrid w:val="0"/>
        </w:rPr>
        <w:tab/>
        <w:t>(d)</w:t>
      </w:r>
      <w:r>
        <w:rPr>
          <w:snapToGrid w:val="0"/>
        </w:rPr>
        <w:tab/>
        <w:t>ought to be simplified, consolidated, codified, repealed or revised,</w:t>
      </w:r>
    </w:p>
    <w:p w:rsidR="004B6B50" w:rsidRDefault="003C7CC9">
      <w:pPr>
        <w:pStyle w:val="Subsection"/>
        <w:rPr>
          <w:snapToGrid w:val="0"/>
        </w:rPr>
      </w:pPr>
      <w:r>
        <w:rPr>
          <w:snapToGrid w:val="0"/>
        </w:rPr>
        <w:tab/>
      </w:r>
      <w:r>
        <w:rPr>
          <w:snapToGrid w:val="0"/>
        </w:rPr>
        <w:tab/>
        <w:t>and, if appropriate, whether new or more effective methods for the administration of that law should be developed.</w:t>
      </w:r>
    </w:p>
    <w:p w:rsidR="004B6B50" w:rsidRDefault="003C7CC9">
      <w:pPr>
        <w:pStyle w:val="Subsection"/>
        <w:rPr>
          <w:snapToGrid w:val="0"/>
        </w:rPr>
      </w:pPr>
      <w:r>
        <w:rPr>
          <w:snapToGrid w:val="0"/>
        </w:rPr>
        <w:tab/>
        <w:t>(5)</w:t>
      </w:r>
      <w:r>
        <w:rPr>
          <w:snapToGrid w:val="0"/>
        </w:rPr>
        <w:tab/>
        <w:t>The Commission shall deal with references made by the Attorney General in the order of priority, if any, approved by him.</w:t>
      </w:r>
    </w:p>
    <w:p w:rsidR="004B6B50" w:rsidRDefault="003C7CC9">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rsidR="004B6B50" w:rsidRDefault="003C7CC9">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rsidR="004B6B50" w:rsidRDefault="003C7CC9">
      <w:pPr>
        <w:pStyle w:val="Footnotesection"/>
      </w:pPr>
      <w:r>
        <w:tab/>
        <w:t xml:space="preserve">[Section 11 amended by No. 98 of 1985 s. 3.] </w:t>
      </w:r>
    </w:p>
    <w:p w:rsidR="004B6B50" w:rsidRDefault="003C7CC9">
      <w:pPr>
        <w:pStyle w:val="Heading5"/>
        <w:rPr>
          <w:snapToGrid w:val="0"/>
        </w:rPr>
      </w:pPr>
      <w:bookmarkStart w:id="56" w:name="_Toc517682165"/>
      <w:bookmarkStart w:id="57" w:name="_Toc518101144"/>
      <w:bookmarkStart w:id="58" w:name="_Toc526750213"/>
      <w:bookmarkStart w:id="59" w:name="_Toc61336105"/>
      <w:bookmarkStart w:id="60" w:name="_Toc274231766"/>
      <w:r>
        <w:rPr>
          <w:rStyle w:val="CharSectno"/>
        </w:rPr>
        <w:t>12</w:t>
      </w:r>
      <w:r>
        <w:rPr>
          <w:snapToGrid w:val="0"/>
        </w:rPr>
        <w:t>.</w:t>
      </w:r>
      <w:r>
        <w:rPr>
          <w:snapToGrid w:val="0"/>
        </w:rPr>
        <w:tab/>
        <w:t>Proceedings of Commission</w:t>
      </w:r>
      <w:bookmarkEnd w:id="56"/>
      <w:bookmarkEnd w:id="57"/>
      <w:bookmarkEnd w:id="58"/>
      <w:bookmarkEnd w:id="59"/>
      <w:bookmarkEnd w:id="60"/>
      <w:r>
        <w:rPr>
          <w:snapToGrid w:val="0"/>
        </w:rPr>
        <w:t xml:space="preserve"> </w:t>
      </w:r>
    </w:p>
    <w:p w:rsidR="004B6B50" w:rsidRDefault="003C7CC9">
      <w:pPr>
        <w:pStyle w:val="Subsection"/>
        <w:rPr>
          <w:snapToGrid w:val="0"/>
        </w:rPr>
      </w:pPr>
      <w:r>
        <w:rPr>
          <w:snapToGrid w:val="0"/>
        </w:rPr>
        <w:tab/>
        <w:t>(1)</w:t>
      </w:r>
      <w:r>
        <w:rPr>
          <w:snapToGrid w:val="0"/>
        </w:rPr>
        <w:tab/>
        <w:t>The Commission shall meet from time to time at such places and times as the Chairman directs.</w:t>
      </w:r>
    </w:p>
    <w:p w:rsidR="004B6B50" w:rsidRDefault="003C7CC9">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rsidR="004B6B50" w:rsidRDefault="003C7CC9">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rsidR="004B6B50" w:rsidRDefault="003C7CC9">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rsidR="004B6B50" w:rsidRDefault="003C7CC9">
      <w:pPr>
        <w:pStyle w:val="Heading5"/>
        <w:rPr>
          <w:snapToGrid w:val="0"/>
        </w:rPr>
      </w:pPr>
      <w:bookmarkStart w:id="61" w:name="_Toc517682166"/>
      <w:bookmarkStart w:id="62" w:name="_Toc518101145"/>
      <w:bookmarkStart w:id="63" w:name="_Toc526750214"/>
      <w:bookmarkStart w:id="64" w:name="_Toc61336106"/>
      <w:bookmarkStart w:id="65" w:name="_Toc274231767"/>
      <w:r>
        <w:rPr>
          <w:rStyle w:val="CharSectno"/>
        </w:rPr>
        <w:t>13</w:t>
      </w:r>
      <w:r>
        <w:rPr>
          <w:snapToGrid w:val="0"/>
        </w:rPr>
        <w:t>.</w:t>
      </w:r>
      <w:r>
        <w:rPr>
          <w:snapToGrid w:val="0"/>
        </w:rPr>
        <w:tab/>
        <w:t xml:space="preserve">Application of </w:t>
      </w:r>
      <w:bookmarkEnd w:id="61"/>
      <w:bookmarkEnd w:id="62"/>
      <w:bookmarkEnd w:id="63"/>
      <w:bookmarkEnd w:id="64"/>
      <w:r>
        <w:rPr>
          <w:i/>
          <w:iCs/>
        </w:rPr>
        <w:t>Financial Management Act 2006</w:t>
      </w:r>
      <w:r>
        <w:t xml:space="preserve"> and </w:t>
      </w:r>
      <w:r>
        <w:rPr>
          <w:i/>
          <w:iCs/>
        </w:rPr>
        <w:t>Auditor General Act 2006</w:t>
      </w:r>
      <w:bookmarkEnd w:id="65"/>
    </w:p>
    <w:p w:rsidR="004B6B50" w:rsidRDefault="003C7CC9">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4B6B50" w:rsidRDefault="003C7CC9">
      <w:pPr>
        <w:pStyle w:val="Footnotesection"/>
      </w:pPr>
      <w:r>
        <w:tab/>
        <w:t xml:space="preserve">[Section 13 inserted by No. 98 of 1985 s. 3; amended by No. 77 of 2006 s. 17.] </w:t>
      </w:r>
    </w:p>
    <w:p w:rsidR="004B6B50" w:rsidRDefault="003C7CC9">
      <w:pPr>
        <w:pStyle w:val="Heading5"/>
        <w:rPr>
          <w:snapToGrid w:val="0"/>
        </w:rPr>
      </w:pPr>
      <w:bookmarkStart w:id="66" w:name="_Toc517682167"/>
      <w:bookmarkStart w:id="67" w:name="_Toc518101146"/>
      <w:bookmarkStart w:id="68" w:name="_Toc526750215"/>
      <w:bookmarkStart w:id="69" w:name="_Toc61336107"/>
      <w:bookmarkStart w:id="70" w:name="_Toc274231768"/>
      <w:r>
        <w:rPr>
          <w:rStyle w:val="CharSectno"/>
        </w:rPr>
        <w:t>14</w:t>
      </w:r>
      <w:r>
        <w:rPr>
          <w:snapToGrid w:val="0"/>
        </w:rPr>
        <w:t>.</w:t>
      </w:r>
      <w:r>
        <w:rPr>
          <w:snapToGrid w:val="0"/>
        </w:rPr>
        <w:tab/>
        <w:t>Staff</w:t>
      </w:r>
      <w:bookmarkEnd w:id="66"/>
      <w:bookmarkEnd w:id="67"/>
      <w:bookmarkEnd w:id="68"/>
      <w:bookmarkEnd w:id="69"/>
      <w:bookmarkEnd w:id="70"/>
      <w:r>
        <w:rPr>
          <w:snapToGrid w:val="0"/>
        </w:rPr>
        <w:t xml:space="preserve"> </w:t>
      </w:r>
    </w:p>
    <w:p w:rsidR="004B6B50" w:rsidRDefault="003C7CC9">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rsidR="004B6B50" w:rsidRDefault="003C7CC9">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rsidR="004B6B50" w:rsidRDefault="003C7CC9">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rsidR="004B6B50" w:rsidRDefault="003C7CC9">
      <w:pPr>
        <w:pStyle w:val="Indenta"/>
        <w:rPr>
          <w:snapToGrid w:val="0"/>
        </w:rPr>
      </w:pPr>
      <w:r>
        <w:rPr>
          <w:snapToGrid w:val="0"/>
        </w:rPr>
        <w:tab/>
        <w:t>(b)</w:t>
      </w:r>
      <w:r>
        <w:rPr>
          <w:snapToGrid w:val="0"/>
        </w:rPr>
        <w:tab/>
        <w:t>a university or other tertiary institution; or</w:t>
      </w:r>
    </w:p>
    <w:p w:rsidR="004B6B50" w:rsidRDefault="003C7CC9">
      <w:pPr>
        <w:pStyle w:val="Indenta"/>
        <w:rPr>
          <w:snapToGrid w:val="0"/>
        </w:rPr>
      </w:pPr>
      <w:r>
        <w:rPr>
          <w:snapToGrid w:val="0"/>
        </w:rPr>
        <w:tab/>
        <w:t>(c)</w:t>
      </w:r>
      <w:r>
        <w:rPr>
          <w:snapToGrid w:val="0"/>
        </w:rPr>
        <w:tab/>
        <w:t>any other body or person,</w:t>
      </w:r>
    </w:p>
    <w:p w:rsidR="004B6B50" w:rsidRDefault="003C7CC9">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rsidR="004B6B50" w:rsidRDefault="003C7CC9">
      <w:pPr>
        <w:pStyle w:val="Footnotesection"/>
      </w:pPr>
      <w:r>
        <w:tab/>
        <w:t xml:space="preserve">[Section 14 amended by No. 32 of 1994 s. 19.] </w:t>
      </w:r>
    </w:p>
    <w:p w:rsidR="004B6B50" w:rsidRDefault="003C7CC9">
      <w:pPr>
        <w:pStyle w:val="Heading5"/>
        <w:rPr>
          <w:snapToGrid w:val="0"/>
        </w:rPr>
      </w:pPr>
      <w:bookmarkStart w:id="71" w:name="_Toc517682168"/>
      <w:bookmarkStart w:id="72" w:name="_Toc518101147"/>
      <w:bookmarkStart w:id="73" w:name="_Toc526750216"/>
      <w:bookmarkStart w:id="74" w:name="_Toc61336108"/>
      <w:bookmarkStart w:id="75" w:name="_Toc274231769"/>
      <w:r>
        <w:rPr>
          <w:rStyle w:val="CharSectno"/>
        </w:rPr>
        <w:t>15</w:t>
      </w:r>
      <w:r>
        <w:rPr>
          <w:snapToGrid w:val="0"/>
        </w:rPr>
        <w:t>.</w:t>
      </w:r>
      <w:r>
        <w:rPr>
          <w:snapToGrid w:val="0"/>
        </w:rPr>
        <w:tab/>
        <w:t>Funds of Commission</w:t>
      </w:r>
      <w:bookmarkEnd w:id="71"/>
      <w:bookmarkEnd w:id="72"/>
      <w:bookmarkEnd w:id="73"/>
      <w:bookmarkEnd w:id="74"/>
      <w:bookmarkEnd w:id="75"/>
      <w:r>
        <w:rPr>
          <w:snapToGrid w:val="0"/>
        </w:rPr>
        <w:t xml:space="preserve"> </w:t>
      </w:r>
    </w:p>
    <w:p w:rsidR="004B6B50" w:rsidRDefault="003C7CC9">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rsidR="004B6B50" w:rsidRDefault="003C7CC9">
      <w:pPr>
        <w:pStyle w:val="Indenta"/>
        <w:rPr>
          <w:snapToGrid w:val="0"/>
        </w:rPr>
      </w:pPr>
      <w:r>
        <w:rPr>
          <w:snapToGrid w:val="0"/>
        </w:rPr>
        <w:tab/>
        <w:t>(a)</w:t>
      </w:r>
      <w:r>
        <w:rPr>
          <w:snapToGrid w:val="0"/>
        </w:rPr>
        <w:tab/>
        <w:t>moneys from time to time appropriated by Parliament for that purpose;</w:t>
      </w:r>
    </w:p>
    <w:p w:rsidR="004B6B50" w:rsidRDefault="003C7CC9">
      <w:pPr>
        <w:pStyle w:val="Indenta"/>
        <w:rPr>
          <w:snapToGrid w:val="0"/>
        </w:rPr>
      </w:pPr>
      <w:r>
        <w:rPr>
          <w:snapToGrid w:val="0"/>
        </w:rPr>
        <w:tab/>
        <w:t>(b)</w:t>
      </w:r>
      <w:r>
        <w:rPr>
          <w:snapToGrid w:val="0"/>
        </w:rPr>
        <w:tab/>
        <w:t>any other moneys made available to the Commission for the purposes of this Act.</w:t>
      </w:r>
    </w:p>
    <w:p w:rsidR="004B6B50" w:rsidRDefault="003C7CC9">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rsidR="004B6B50" w:rsidRDefault="003C7CC9">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rsidR="004B6B50" w:rsidRDefault="003C7CC9">
      <w:pPr>
        <w:pStyle w:val="Footnotesection"/>
      </w:pPr>
      <w:r>
        <w:tab/>
        <w:t xml:space="preserve">[Section 15 amended by No. 49 of 1996 s. 64; No. 77 of 2006 s. 17.] </w:t>
      </w:r>
    </w:p>
    <w:p w:rsidR="004B6B50" w:rsidRDefault="004B6B50">
      <w:pPr>
        <w:rPr>
          <w:rStyle w:val="CharDivText"/>
        </w:rPr>
        <w:sectPr w:rsidR="004B6B50">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4B6B50" w:rsidRDefault="003C7CC9">
      <w:pPr>
        <w:pStyle w:val="nHeading2"/>
      </w:pPr>
      <w:bookmarkStart w:id="76" w:name="_Toc157413840"/>
      <w:bookmarkStart w:id="77" w:name="_Toc157415881"/>
      <w:bookmarkStart w:id="78" w:name="_Toc157921121"/>
      <w:bookmarkStart w:id="79" w:name="_Toc199749992"/>
      <w:bookmarkStart w:id="80" w:name="_Toc199750153"/>
      <w:bookmarkStart w:id="81" w:name="_Toc223852940"/>
      <w:bookmarkStart w:id="82" w:name="_Toc274231770"/>
      <w:r>
        <w:t>Notes</w:t>
      </w:r>
      <w:bookmarkEnd w:id="76"/>
      <w:bookmarkEnd w:id="77"/>
      <w:bookmarkEnd w:id="78"/>
      <w:bookmarkEnd w:id="79"/>
      <w:bookmarkEnd w:id="80"/>
      <w:bookmarkEnd w:id="81"/>
      <w:bookmarkEnd w:id="82"/>
    </w:p>
    <w:p w:rsidR="004B6B50" w:rsidRDefault="003C7CC9">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rsidR="004B6B50" w:rsidRDefault="003C7CC9">
      <w:pPr>
        <w:pStyle w:val="nHeading3"/>
        <w:rPr>
          <w:b w:val="0"/>
          <w:snapToGrid w:val="0"/>
        </w:rPr>
      </w:pPr>
      <w:bookmarkStart w:id="83" w:name="_Toc518101148"/>
      <w:bookmarkStart w:id="84" w:name="_Toc61336109"/>
      <w:bookmarkStart w:id="85" w:name="_Toc274231771"/>
      <w:r>
        <w:rPr>
          <w:snapToGrid w:val="0"/>
        </w:rPr>
        <w:t>Compilation table</w:t>
      </w:r>
      <w:bookmarkEnd w:id="83"/>
      <w:bookmarkEnd w:id="84"/>
      <w:bookmarkEnd w:id="8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4B6B50">
        <w:trPr>
          <w:cantSplit/>
          <w:tblHeader/>
        </w:trPr>
        <w:tc>
          <w:tcPr>
            <w:tcW w:w="2268" w:type="dxa"/>
            <w:tcBorders>
              <w:top w:val="single" w:sz="12" w:space="0" w:color="auto"/>
              <w:bottom w:val="single" w:sz="12" w:space="0" w:color="auto"/>
            </w:tcBorders>
          </w:tcPr>
          <w:p w:rsidR="004B6B50" w:rsidRDefault="003C7CC9">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4B6B50" w:rsidRDefault="003C7CC9">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4B6B50" w:rsidRDefault="003C7CC9">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4B6B50" w:rsidRDefault="003C7CC9">
            <w:pPr>
              <w:pStyle w:val="nTable"/>
              <w:spacing w:before="60" w:after="60"/>
              <w:rPr>
                <w:b/>
                <w:sz w:val="19"/>
              </w:rPr>
            </w:pPr>
            <w:r>
              <w:rPr>
                <w:b/>
                <w:sz w:val="19"/>
              </w:rPr>
              <w:t>Commencement</w:t>
            </w:r>
          </w:p>
        </w:tc>
      </w:tr>
      <w:tr w:rsidR="004B6B50">
        <w:trPr>
          <w:cantSplit/>
        </w:trPr>
        <w:tc>
          <w:tcPr>
            <w:tcW w:w="2268" w:type="dxa"/>
          </w:tcPr>
          <w:p w:rsidR="004B6B50" w:rsidRDefault="003C7CC9">
            <w:pPr>
              <w:pStyle w:val="nTable"/>
              <w:spacing w:before="120"/>
              <w:ind w:right="113"/>
              <w:rPr>
                <w:sz w:val="19"/>
              </w:rPr>
            </w:pPr>
            <w:r>
              <w:rPr>
                <w:i/>
                <w:sz w:val="19"/>
              </w:rPr>
              <w:t>Law Reform Commission Act 1972</w:t>
            </w:r>
          </w:p>
        </w:tc>
        <w:tc>
          <w:tcPr>
            <w:tcW w:w="1134" w:type="dxa"/>
          </w:tcPr>
          <w:p w:rsidR="004B6B50" w:rsidRDefault="003C7CC9">
            <w:pPr>
              <w:pStyle w:val="nTable"/>
              <w:spacing w:before="120"/>
              <w:rPr>
                <w:sz w:val="19"/>
              </w:rPr>
            </w:pPr>
            <w:r>
              <w:rPr>
                <w:sz w:val="19"/>
              </w:rPr>
              <w:t>59 of 1972</w:t>
            </w:r>
          </w:p>
        </w:tc>
        <w:tc>
          <w:tcPr>
            <w:tcW w:w="1134" w:type="dxa"/>
          </w:tcPr>
          <w:p w:rsidR="004B6B50" w:rsidRDefault="003C7CC9">
            <w:pPr>
              <w:pStyle w:val="nTable"/>
              <w:spacing w:before="120"/>
              <w:rPr>
                <w:sz w:val="19"/>
              </w:rPr>
            </w:pPr>
            <w:r>
              <w:rPr>
                <w:sz w:val="19"/>
              </w:rPr>
              <w:t>31 Oct 1972</w:t>
            </w:r>
          </w:p>
        </w:tc>
        <w:tc>
          <w:tcPr>
            <w:tcW w:w="2552" w:type="dxa"/>
          </w:tcPr>
          <w:p w:rsidR="004B6B50" w:rsidRDefault="003C7CC9">
            <w:pPr>
              <w:pStyle w:val="nTable"/>
              <w:spacing w:before="120"/>
              <w:rPr>
                <w:sz w:val="19"/>
              </w:rPr>
            </w:pPr>
            <w:r>
              <w:rPr>
                <w:sz w:val="19"/>
              </w:rPr>
              <w:t xml:space="preserve">19 Jan 1973 (see s. 2 and </w:t>
            </w:r>
            <w:r>
              <w:rPr>
                <w:i/>
                <w:sz w:val="19"/>
              </w:rPr>
              <w:t>Gazette</w:t>
            </w:r>
            <w:r>
              <w:rPr>
                <w:sz w:val="19"/>
              </w:rPr>
              <w:t xml:space="preserve"> 19 Jan 1973 p. 83)</w:t>
            </w:r>
          </w:p>
        </w:tc>
      </w:tr>
      <w:tr w:rsidR="004B6B50">
        <w:trPr>
          <w:cantSplit/>
        </w:trPr>
        <w:tc>
          <w:tcPr>
            <w:tcW w:w="2268" w:type="dxa"/>
          </w:tcPr>
          <w:p w:rsidR="004B6B50" w:rsidRDefault="003C7CC9">
            <w:pPr>
              <w:pStyle w:val="nTable"/>
              <w:spacing w:before="120"/>
              <w:ind w:right="113"/>
              <w:rPr>
                <w:sz w:val="19"/>
              </w:rPr>
            </w:pPr>
            <w:r>
              <w:rPr>
                <w:i/>
                <w:sz w:val="19"/>
              </w:rPr>
              <w:t>Law Reform Commission Act Amendment Act 1976</w:t>
            </w:r>
          </w:p>
        </w:tc>
        <w:tc>
          <w:tcPr>
            <w:tcW w:w="1134" w:type="dxa"/>
          </w:tcPr>
          <w:p w:rsidR="004B6B50" w:rsidRDefault="003C7CC9">
            <w:pPr>
              <w:pStyle w:val="nTable"/>
              <w:spacing w:before="120"/>
              <w:rPr>
                <w:sz w:val="19"/>
              </w:rPr>
            </w:pPr>
            <w:r>
              <w:rPr>
                <w:sz w:val="19"/>
              </w:rPr>
              <w:t>50 of 1976</w:t>
            </w:r>
          </w:p>
        </w:tc>
        <w:tc>
          <w:tcPr>
            <w:tcW w:w="1134" w:type="dxa"/>
          </w:tcPr>
          <w:p w:rsidR="004B6B50" w:rsidRDefault="003C7CC9">
            <w:pPr>
              <w:pStyle w:val="nTable"/>
              <w:spacing w:before="120"/>
              <w:rPr>
                <w:sz w:val="19"/>
              </w:rPr>
            </w:pPr>
            <w:r>
              <w:rPr>
                <w:sz w:val="19"/>
              </w:rPr>
              <w:t>10 Sep 1976</w:t>
            </w:r>
          </w:p>
        </w:tc>
        <w:tc>
          <w:tcPr>
            <w:tcW w:w="2552" w:type="dxa"/>
          </w:tcPr>
          <w:p w:rsidR="004B6B50" w:rsidRDefault="003C7CC9">
            <w:pPr>
              <w:pStyle w:val="nTable"/>
              <w:spacing w:before="120"/>
              <w:rPr>
                <w:sz w:val="19"/>
              </w:rPr>
            </w:pPr>
            <w:r>
              <w:rPr>
                <w:sz w:val="19"/>
              </w:rPr>
              <w:t>10 Sep 1976</w:t>
            </w:r>
          </w:p>
        </w:tc>
      </w:tr>
      <w:tr w:rsidR="004B6B50">
        <w:trPr>
          <w:cantSplit/>
        </w:trPr>
        <w:tc>
          <w:tcPr>
            <w:tcW w:w="2268" w:type="dxa"/>
          </w:tcPr>
          <w:p w:rsidR="004B6B50" w:rsidRDefault="003C7CC9">
            <w:pPr>
              <w:pStyle w:val="nTable"/>
              <w:spacing w:before="120"/>
              <w:ind w:right="113"/>
              <w:rPr>
                <w:sz w:val="19"/>
              </w:rPr>
            </w:pPr>
            <w:r>
              <w:rPr>
                <w:i/>
                <w:sz w:val="19"/>
              </w:rPr>
              <w:t>Law Reform Commission Act Amendment Act 1978</w:t>
            </w:r>
          </w:p>
        </w:tc>
        <w:tc>
          <w:tcPr>
            <w:tcW w:w="1134" w:type="dxa"/>
          </w:tcPr>
          <w:p w:rsidR="004B6B50" w:rsidRDefault="003C7CC9">
            <w:pPr>
              <w:pStyle w:val="nTable"/>
              <w:spacing w:before="120"/>
              <w:rPr>
                <w:sz w:val="19"/>
              </w:rPr>
            </w:pPr>
            <w:r>
              <w:rPr>
                <w:sz w:val="19"/>
              </w:rPr>
              <w:t>91 of 1978</w:t>
            </w:r>
          </w:p>
        </w:tc>
        <w:tc>
          <w:tcPr>
            <w:tcW w:w="1134" w:type="dxa"/>
          </w:tcPr>
          <w:p w:rsidR="004B6B50" w:rsidRDefault="003C7CC9">
            <w:pPr>
              <w:pStyle w:val="nTable"/>
              <w:spacing w:before="120"/>
              <w:rPr>
                <w:sz w:val="19"/>
              </w:rPr>
            </w:pPr>
            <w:r>
              <w:rPr>
                <w:sz w:val="19"/>
              </w:rPr>
              <w:t>8 Nov 1978</w:t>
            </w:r>
          </w:p>
        </w:tc>
        <w:tc>
          <w:tcPr>
            <w:tcW w:w="2552" w:type="dxa"/>
          </w:tcPr>
          <w:p w:rsidR="004B6B50" w:rsidRDefault="003C7CC9">
            <w:pPr>
              <w:pStyle w:val="nTable"/>
              <w:spacing w:before="120"/>
              <w:rPr>
                <w:sz w:val="19"/>
              </w:rPr>
            </w:pPr>
            <w:r>
              <w:rPr>
                <w:sz w:val="19"/>
              </w:rPr>
              <w:t xml:space="preserve">1 Oct 1979 (see s. 2 and </w:t>
            </w:r>
            <w:r>
              <w:rPr>
                <w:i/>
                <w:sz w:val="19"/>
              </w:rPr>
              <w:t>Gazette</w:t>
            </w:r>
            <w:r>
              <w:rPr>
                <w:sz w:val="19"/>
              </w:rPr>
              <w:t xml:space="preserve"> 21 Sep 1979 p. 2919)</w:t>
            </w:r>
          </w:p>
        </w:tc>
      </w:tr>
      <w:tr w:rsidR="004B6B50">
        <w:trPr>
          <w:cantSplit/>
        </w:trPr>
        <w:tc>
          <w:tcPr>
            <w:tcW w:w="2268" w:type="dxa"/>
          </w:tcPr>
          <w:p w:rsidR="004B6B50" w:rsidRDefault="003C7CC9">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rsidR="004B6B50" w:rsidRDefault="003C7CC9">
            <w:pPr>
              <w:pStyle w:val="nTable"/>
              <w:spacing w:before="120"/>
              <w:rPr>
                <w:sz w:val="19"/>
              </w:rPr>
            </w:pPr>
            <w:r>
              <w:rPr>
                <w:sz w:val="19"/>
              </w:rPr>
              <w:t>98 of 1985</w:t>
            </w:r>
            <w:r>
              <w:rPr>
                <w:sz w:val="19"/>
              </w:rPr>
              <w:br/>
              <w:t>(as amended by No. 4 of 1986)</w:t>
            </w:r>
          </w:p>
        </w:tc>
        <w:tc>
          <w:tcPr>
            <w:tcW w:w="1134" w:type="dxa"/>
          </w:tcPr>
          <w:p w:rsidR="004B6B50" w:rsidRDefault="003C7CC9">
            <w:pPr>
              <w:pStyle w:val="nTable"/>
              <w:spacing w:before="120"/>
              <w:rPr>
                <w:sz w:val="19"/>
              </w:rPr>
            </w:pPr>
            <w:r>
              <w:rPr>
                <w:sz w:val="19"/>
              </w:rPr>
              <w:t>4 Dec 1985</w:t>
            </w:r>
          </w:p>
        </w:tc>
        <w:tc>
          <w:tcPr>
            <w:tcW w:w="2552" w:type="dxa"/>
          </w:tcPr>
          <w:p w:rsidR="004B6B50" w:rsidRDefault="003C7CC9">
            <w:pPr>
              <w:pStyle w:val="nTable"/>
              <w:spacing w:before="120"/>
              <w:rPr>
                <w:sz w:val="19"/>
              </w:rPr>
            </w:pPr>
            <w:r>
              <w:rPr>
                <w:sz w:val="19"/>
              </w:rPr>
              <w:t xml:space="preserve">1 Jul 1986 (see s. 2 and </w:t>
            </w:r>
            <w:r>
              <w:rPr>
                <w:i/>
                <w:sz w:val="19"/>
              </w:rPr>
              <w:t>Gazette</w:t>
            </w:r>
            <w:r>
              <w:rPr>
                <w:sz w:val="19"/>
              </w:rPr>
              <w:t xml:space="preserve"> 30 Jun 1986 p. 2255)</w:t>
            </w:r>
          </w:p>
        </w:tc>
      </w:tr>
      <w:tr w:rsidR="004B6B50">
        <w:trPr>
          <w:cantSplit/>
        </w:trPr>
        <w:tc>
          <w:tcPr>
            <w:tcW w:w="2268" w:type="dxa"/>
          </w:tcPr>
          <w:p w:rsidR="004B6B50" w:rsidRDefault="003C7CC9">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rsidR="004B6B50" w:rsidRDefault="003C7CC9">
            <w:pPr>
              <w:pStyle w:val="nTable"/>
              <w:spacing w:before="120"/>
              <w:rPr>
                <w:sz w:val="19"/>
              </w:rPr>
            </w:pPr>
            <w:r>
              <w:rPr>
                <w:sz w:val="19"/>
              </w:rPr>
              <w:t>31 of 1993</w:t>
            </w:r>
          </w:p>
        </w:tc>
        <w:tc>
          <w:tcPr>
            <w:tcW w:w="1134" w:type="dxa"/>
          </w:tcPr>
          <w:p w:rsidR="004B6B50" w:rsidRDefault="003C7CC9">
            <w:pPr>
              <w:pStyle w:val="nTable"/>
              <w:spacing w:before="120"/>
              <w:rPr>
                <w:sz w:val="19"/>
              </w:rPr>
            </w:pPr>
            <w:r>
              <w:rPr>
                <w:sz w:val="19"/>
              </w:rPr>
              <w:t>15 Dec 1993</w:t>
            </w:r>
          </w:p>
        </w:tc>
        <w:tc>
          <w:tcPr>
            <w:tcW w:w="2552" w:type="dxa"/>
          </w:tcPr>
          <w:p w:rsidR="004B6B50" w:rsidRDefault="003C7CC9">
            <w:pPr>
              <w:pStyle w:val="nTable"/>
              <w:spacing w:before="120"/>
              <w:rPr>
                <w:sz w:val="19"/>
              </w:rPr>
            </w:pPr>
            <w:r>
              <w:rPr>
                <w:sz w:val="19"/>
              </w:rPr>
              <w:t>Deemed operative 1 Jul 1993 (see s. 2)</w:t>
            </w:r>
          </w:p>
        </w:tc>
      </w:tr>
      <w:tr w:rsidR="004B6B50">
        <w:trPr>
          <w:cantSplit/>
        </w:trPr>
        <w:tc>
          <w:tcPr>
            <w:tcW w:w="2268" w:type="dxa"/>
          </w:tcPr>
          <w:p w:rsidR="004B6B50" w:rsidRDefault="003C7CC9">
            <w:pPr>
              <w:pStyle w:val="nTable"/>
              <w:spacing w:before="120"/>
              <w:ind w:right="113"/>
              <w:rPr>
                <w:sz w:val="19"/>
              </w:rPr>
            </w:pPr>
            <w:r>
              <w:rPr>
                <w:i/>
                <w:sz w:val="19"/>
              </w:rPr>
              <w:t>Acts Amendment (Public Sector Management) Act 1994</w:t>
            </w:r>
            <w:r>
              <w:rPr>
                <w:sz w:val="19"/>
              </w:rPr>
              <w:t xml:space="preserve"> s. 19</w:t>
            </w:r>
          </w:p>
        </w:tc>
        <w:tc>
          <w:tcPr>
            <w:tcW w:w="1134" w:type="dxa"/>
          </w:tcPr>
          <w:p w:rsidR="004B6B50" w:rsidRDefault="003C7CC9">
            <w:pPr>
              <w:pStyle w:val="nTable"/>
              <w:spacing w:before="120"/>
              <w:rPr>
                <w:sz w:val="19"/>
              </w:rPr>
            </w:pPr>
            <w:r>
              <w:rPr>
                <w:sz w:val="19"/>
              </w:rPr>
              <w:t>32 of 1994</w:t>
            </w:r>
          </w:p>
        </w:tc>
        <w:tc>
          <w:tcPr>
            <w:tcW w:w="1134" w:type="dxa"/>
          </w:tcPr>
          <w:p w:rsidR="004B6B50" w:rsidRDefault="003C7CC9">
            <w:pPr>
              <w:pStyle w:val="nTable"/>
              <w:spacing w:before="120"/>
              <w:rPr>
                <w:sz w:val="19"/>
              </w:rPr>
            </w:pPr>
            <w:r>
              <w:rPr>
                <w:sz w:val="19"/>
              </w:rPr>
              <w:t>29 Jun 1994</w:t>
            </w:r>
          </w:p>
        </w:tc>
        <w:tc>
          <w:tcPr>
            <w:tcW w:w="2552" w:type="dxa"/>
          </w:tcPr>
          <w:p w:rsidR="004B6B50" w:rsidRDefault="003C7CC9">
            <w:pPr>
              <w:pStyle w:val="nTable"/>
              <w:spacing w:before="120"/>
              <w:rPr>
                <w:sz w:val="19"/>
              </w:rPr>
            </w:pPr>
            <w:r>
              <w:rPr>
                <w:sz w:val="19"/>
              </w:rPr>
              <w:t xml:space="preserve">1 Oct 1994 (see s. 2 and </w:t>
            </w:r>
            <w:r>
              <w:rPr>
                <w:i/>
                <w:sz w:val="19"/>
              </w:rPr>
              <w:t>Gazette</w:t>
            </w:r>
            <w:r>
              <w:rPr>
                <w:sz w:val="19"/>
              </w:rPr>
              <w:t xml:space="preserve"> 30 Sep 1994 p. 4948)</w:t>
            </w:r>
          </w:p>
        </w:tc>
      </w:tr>
      <w:tr w:rsidR="004B6B50">
        <w:trPr>
          <w:cantSplit/>
        </w:trPr>
        <w:tc>
          <w:tcPr>
            <w:tcW w:w="2268" w:type="dxa"/>
          </w:tcPr>
          <w:p w:rsidR="004B6B50" w:rsidRDefault="003C7CC9">
            <w:pPr>
              <w:pStyle w:val="nTable"/>
              <w:spacing w:before="120"/>
              <w:ind w:right="113"/>
              <w:rPr>
                <w:sz w:val="19"/>
              </w:rPr>
            </w:pPr>
            <w:r>
              <w:rPr>
                <w:i/>
                <w:sz w:val="19"/>
              </w:rPr>
              <w:t>Financial Legislation Amendment Act 1996</w:t>
            </w:r>
            <w:r>
              <w:rPr>
                <w:sz w:val="19"/>
              </w:rPr>
              <w:t xml:space="preserve"> s. 64</w:t>
            </w:r>
          </w:p>
        </w:tc>
        <w:tc>
          <w:tcPr>
            <w:tcW w:w="1134" w:type="dxa"/>
          </w:tcPr>
          <w:p w:rsidR="004B6B50" w:rsidRDefault="003C7CC9">
            <w:pPr>
              <w:pStyle w:val="nTable"/>
              <w:spacing w:before="120"/>
              <w:rPr>
                <w:sz w:val="19"/>
              </w:rPr>
            </w:pPr>
            <w:r>
              <w:rPr>
                <w:sz w:val="19"/>
              </w:rPr>
              <w:t>49 of 1996</w:t>
            </w:r>
          </w:p>
        </w:tc>
        <w:tc>
          <w:tcPr>
            <w:tcW w:w="1134" w:type="dxa"/>
          </w:tcPr>
          <w:p w:rsidR="004B6B50" w:rsidRDefault="003C7CC9">
            <w:pPr>
              <w:pStyle w:val="nTable"/>
              <w:spacing w:before="120"/>
              <w:rPr>
                <w:sz w:val="19"/>
              </w:rPr>
            </w:pPr>
            <w:r>
              <w:rPr>
                <w:sz w:val="19"/>
              </w:rPr>
              <w:t>25 Oct 1996</w:t>
            </w:r>
          </w:p>
        </w:tc>
        <w:tc>
          <w:tcPr>
            <w:tcW w:w="2552" w:type="dxa"/>
          </w:tcPr>
          <w:p w:rsidR="004B6B50" w:rsidRDefault="003C7CC9">
            <w:pPr>
              <w:pStyle w:val="nTable"/>
              <w:spacing w:before="120"/>
              <w:rPr>
                <w:sz w:val="19"/>
              </w:rPr>
            </w:pPr>
            <w:r>
              <w:rPr>
                <w:sz w:val="19"/>
              </w:rPr>
              <w:t>25 Oct 1996 (see s. 2(1))</w:t>
            </w:r>
          </w:p>
        </w:tc>
      </w:tr>
      <w:tr w:rsidR="004B6B50">
        <w:trPr>
          <w:cantSplit/>
        </w:trPr>
        <w:tc>
          <w:tcPr>
            <w:tcW w:w="2268" w:type="dxa"/>
          </w:tcPr>
          <w:p w:rsidR="004B6B50" w:rsidRDefault="003C7CC9">
            <w:pPr>
              <w:pStyle w:val="nTable"/>
              <w:keepLines/>
              <w:spacing w:before="120"/>
              <w:ind w:right="113"/>
              <w:rPr>
                <w:sz w:val="19"/>
              </w:rPr>
            </w:pPr>
            <w:r>
              <w:rPr>
                <w:i/>
                <w:sz w:val="19"/>
              </w:rPr>
              <w:t>Equal Opportunity Amendment Act (No. 3) 1997</w:t>
            </w:r>
            <w:r>
              <w:rPr>
                <w:sz w:val="19"/>
              </w:rPr>
              <w:t xml:space="preserve"> s. 8</w:t>
            </w:r>
          </w:p>
        </w:tc>
        <w:tc>
          <w:tcPr>
            <w:tcW w:w="1134" w:type="dxa"/>
          </w:tcPr>
          <w:p w:rsidR="004B6B50" w:rsidRDefault="003C7CC9">
            <w:pPr>
              <w:pStyle w:val="nTable"/>
              <w:keepLines/>
              <w:spacing w:before="120"/>
              <w:rPr>
                <w:sz w:val="19"/>
              </w:rPr>
            </w:pPr>
            <w:r>
              <w:rPr>
                <w:sz w:val="19"/>
              </w:rPr>
              <w:t>42 of 1997</w:t>
            </w:r>
          </w:p>
        </w:tc>
        <w:tc>
          <w:tcPr>
            <w:tcW w:w="1134" w:type="dxa"/>
          </w:tcPr>
          <w:p w:rsidR="004B6B50" w:rsidRDefault="003C7CC9">
            <w:pPr>
              <w:pStyle w:val="nTable"/>
              <w:keepLines/>
              <w:spacing w:before="120"/>
              <w:rPr>
                <w:sz w:val="19"/>
              </w:rPr>
            </w:pPr>
            <w:r>
              <w:rPr>
                <w:sz w:val="19"/>
              </w:rPr>
              <w:t>9 Dec 1997</w:t>
            </w:r>
          </w:p>
        </w:tc>
        <w:tc>
          <w:tcPr>
            <w:tcW w:w="2552" w:type="dxa"/>
          </w:tcPr>
          <w:p w:rsidR="004B6B50" w:rsidRDefault="003C7CC9">
            <w:pPr>
              <w:pStyle w:val="nTable"/>
              <w:keepLines/>
              <w:spacing w:before="120"/>
              <w:rPr>
                <w:sz w:val="19"/>
              </w:rPr>
            </w:pPr>
            <w:r>
              <w:rPr>
                <w:sz w:val="19"/>
              </w:rPr>
              <w:t>6 Jan 1998 (see s. 2(1))</w:t>
            </w:r>
          </w:p>
        </w:tc>
      </w:tr>
      <w:tr w:rsidR="004B6B50">
        <w:trPr>
          <w:cantSplit/>
        </w:trPr>
        <w:tc>
          <w:tcPr>
            <w:tcW w:w="7088" w:type="dxa"/>
            <w:gridSpan w:val="4"/>
          </w:tcPr>
          <w:p w:rsidR="004B6B50" w:rsidRDefault="003C7CC9">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rsidR="004B6B50">
        <w:trPr>
          <w:cantSplit/>
        </w:trPr>
        <w:tc>
          <w:tcPr>
            <w:tcW w:w="2268" w:type="dxa"/>
          </w:tcPr>
          <w:p w:rsidR="004B6B50" w:rsidRDefault="003C7CC9">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rsidR="004B6B50" w:rsidRDefault="003C7CC9">
            <w:pPr>
              <w:pStyle w:val="nTable"/>
              <w:keepLines/>
              <w:spacing w:before="120"/>
              <w:rPr>
                <w:sz w:val="19"/>
              </w:rPr>
            </w:pPr>
            <w:r>
              <w:rPr>
                <w:sz w:val="19"/>
              </w:rPr>
              <w:t>65 of 2003</w:t>
            </w:r>
          </w:p>
        </w:tc>
        <w:tc>
          <w:tcPr>
            <w:tcW w:w="1134" w:type="dxa"/>
          </w:tcPr>
          <w:p w:rsidR="004B6B50" w:rsidRDefault="003C7CC9">
            <w:pPr>
              <w:pStyle w:val="nTable"/>
              <w:keepLines/>
              <w:spacing w:before="120"/>
              <w:rPr>
                <w:sz w:val="19"/>
              </w:rPr>
            </w:pPr>
            <w:r>
              <w:rPr>
                <w:sz w:val="19"/>
              </w:rPr>
              <w:t>4 Dec 2003</w:t>
            </w:r>
          </w:p>
        </w:tc>
        <w:tc>
          <w:tcPr>
            <w:tcW w:w="2552" w:type="dxa"/>
          </w:tcPr>
          <w:p w:rsidR="004B6B50" w:rsidRDefault="003C7CC9">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rsidR="004B6B50">
        <w:trPr>
          <w:cantSplit/>
        </w:trPr>
        <w:tc>
          <w:tcPr>
            <w:tcW w:w="2268" w:type="dxa"/>
          </w:tcPr>
          <w:p w:rsidR="004B6B50" w:rsidRDefault="003C7CC9">
            <w:pPr>
              <w:pStyle w:val="nTable"/>
              <w:keepLines/>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rsidR="004B6B50" w:rsidRDefault="003C7CC9">
            <w:pPr>
              <w:pStyle w:val="nTable"/>
              <w:keepLines/>
              <w:spacing w:before="120"/>
              <w:rPr>
                <w:sz w:val="19"/>
              </w:rPr>
            </w:pPr>
            <w:r>
              <w:rPr>
                <w:snapToGrid w:val="0"/>
                <w:sz w:val="19"/>
                <w:lang w:val="en-US"/>
              </w:rPr>
              <w:t xml:space="preserve">77 of 2006 </w:t>
            </w:r>
          </w:p>
        </w:tc>
        <w:tc>
          <w:tcPr>
            <w:tcW w:w="1134" w:type="dxa"/>
          </w:tcPr>
          <w:p w:rsidR="004B6B50" w:rsidRDefault="003C7CC9">
            <w:pPr>
              <w:pStyle w:val="nTable"/>
              <w:keepLines/>
              <w:spacing w:before="120"/>
              <w:rPr>
                <w:sz w:val="19"/>
              </w:rPr>
            </w:pPr>
            <w:r>
              <w:rPr>
                <w:snapToGrid w:val="0"/>
                <w:sz w:val="19"/>
                <w:lang w:val="en-US"/>
              </w:rPr>
              <w:t>21 Dec 2006</w:t>
            </w:r>
          </w:p>
        </w:tc>
        <w:tc>
          <w:tcPr>
            <w:tcW w:w="2552" w:type="dxa"/>
          </w:tcPr>
          <w:p w:rsidR="004B6B50" w:rsidRDefault="003C7CC9">
            <w:pPr>
              <w:pStyle w:val="nTable"/>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4B6B50">
        <w:trPr>
          <w:cantSplit/>
        </w:trPr>
        <w:tc>
          <w:tcPr>
            <w:tcW w:w="2268" w:type="dxa"/>
            <w:tcBorders>
              <w:bottom w:val="single" w:sz="4" w:space="0" w:color="auto"/>
            </w:tcBorders>
          </w:tcPr>
          <w:p w:rsidR="004B6B50" w:rsidRDefault="003C7CC9">
            <w:pPr>
              <w:pStyle w:val="nTable"/>
              <w:keepLines/>
              <w:spacing w:before="120"/>
              <w:ind w:right="113"/>
              <w:rPr>
                <w:i/>
                <w:snapToGrid w:val="0"/>
                <w:sz w:val="19"/>
                <w:lang w:val="en-US"/>
              </w:rPr>
            </w:pPr>
            <w:r>
              <w:rPr>
                <w:i/>
                <w:iCs/>
                <w:snapToGrid w:val="0"/>
                <w:sz w:val="19"/>
                <w:lang w:val="en-US"/>
              </w:rPr>
              <w:t>Legal Profession Act 2008</w:t>
            </w:r>
            <w:r>
              <w:rPr>
                <w:snapToGrid w:val="0"/>
                <w:sz w:val="19"/>
                <w:lang w:val="en-US"/>
              </w:rPr>
              <w:t xml:space="preserve"> s. 672 </w:t>
            </w:r>
          </w:p>
        </w:tc>
        <w:tc>
          <w:tcPr>
            <w:tcW w:w="1134" w:type="dxa"/>
            <w:tcBorders>
              <w:bottom w:val="single" w:sz="4" w:space="0" w:color="auto"/>
            </w:tcBorders>
          </w:tcPr>
          <w:p w:rsidR="004B6B50" w:rsidRDefault="003C7CC9">
            <w:pPr>
              <w:pStyle w:val="nTable"/>
              <w:keepLines/>
              <w:spacing w:before="120"/>
              <w:rPr>
                <w:snapToGrid w:val="0"/>
                <w:sz w:val="19"/>
                <w:lang w:val="en-US"/>
              </w:rPr>
            </w:pPr>
            <w:r>
              <w:rPr>
                <w:snapToGrid w:val="0"/>
                <w:sz w:val="19"/>
                <w:lang w:val="en-US"/>
              </w:rPr>
              <w:t>21 of 2008</w:t>
            </w:r>
          </w:p>
        </w:tc>
        <w:tc>
          <w:tcPr>
            <w:tcW w:w="1134" w:type="dxa"/>
            <w:tcBorders>
              <w:bottom w:val="single" w:sz="4" w:space="0" w:color="auto"/>
            </w:tcBorders>
          </w:tcPr>
          <w:p w:rsidR="004B6B50" w:rsidRDefault="003C7CC9">
            <w:pPr>
              <w:pStyle w:val="nTable"/>
              <w:keepLines/>
              <w:spacing w:before="120"/>
              <w:rPr>
                <w:snapToGrid w:val="0"/>
                <w:sz w:val="19"/>
                <w:lang w:val="en-US"/>
              </w:rPr>
            </w:pPr>
            <w:r>
              <w:rPr>
                <w:snapToGrid w:val="0"/>
                <w:sz w:val="19"/>
                <w:lang w:val="en-US"/>
              </w:rPr>
              <w:t>27 May 2008</w:t>
            </w:r>
          </w:p>
        </w:tc>
        <w:tc>
          <w:tcPr>
            <w:tcW w:w="2552" w:type="dxa"/>
            <w:tcBorders>
              <w:bottom w:val="single" w:sz="4" w:space="0" w:color="auto"/>
            </w:tcBorders>
          </w:tcPr>
          <w:p w:rsidR="004B6B50" w:rsidRDefault="003C7CC9">
            <w:pPr>
              <w:pStyle w:val="nTable"/>
              <w:keepLines/>
              <w:spacing w:before="12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rsidR="004B6B50" w:rsidRDefault="003C7CC9">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4B6B50" w:rsidRDefault="003C7CC9">
      <w:pPr>
        <w:pStyle w:val="nHeading3"/>
        <w:rPr>
          <w:snapToGrid w:val="0"/>
        </w:rPr>
      </w:pPr>
      <w:bookmarkStart w:id="86" w:name="_Toc511102521"/>
      <w:bookmarkStart w:id="87" w:name="_Toc518101149"/>
      <w:bookmarkStart w:id="88" w:name="_Toc61336110"/>
      <w:bookmarkStart w:id="89" w:name="_Toc274231772"/>
      <w:r>
        <w:rPr>
          <w:snapToGrid w:val="0"/>
        </w:rPr>
        <w:t>Provisions that have not come into operation</w:t>
      </w:r>
      <w:bookmarkEnd w:id="86"/>
      <w:bookmarkEnd w:id="87"/>
      <w:bookmarkEnd w:id="88"/>
      <w:bookmarkEnd w:id="8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5"/>
        <w:gridCol w:w="2552"/>
        <w:gridCol w:w="37"/>
      </w:tblGrid>
      <w:tr w:rsidR="004B6B50">
        <w:trPr>
          <w:gridAfter w:val="1"/>
          <w:wAfter w:w="37" w:type="dxa"/>
          <w:cantSplit/>
          <w:tblHeader/>
        </w:trPr>
        <w:tc>
          <w:tcPr>
            <w:tcW w:w="2268" w:type="dxa"/>
            <w:tcBorders>
              <w:top w:val="single" w:sz="8" w:space="0" w:color="auto"/>
              <w:bottom w:val="single" w:sz="4" w:space="0" w:color="auto"/>
            </w:tcBorders>
          </w:tcPr>
          <w:p w:rsidR="004B6B50" w:rsidRDefault="003C7CC9">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rsidR="004B6B50" w:rsidRDefault="003C7CC9">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rsidR="004B6B50" w:rsidRDefault="003C7CC9">
            <w:pPr>
              <w:pStyle w:val="nTable"/>
              <w:keepNext/>
              <w:spacing w:after="60"/>
              <w:rPr>
                <w:b/>
                <w:sz w:val="19"/>
              </w:rPr>
            </w:pPr>
            <w:r>
              <w:rPr>
                <w:b/>
                <w:sz w:val="19"/>
              </w:rPr>
              <w:t>Assent</w:t>
            </w:r>
          </w:p>
        </w:tc>
        <w:tc>
          <w:tcPr>
            <w:tcW w:w="2552" w:type="dxa"/>
            <w:tcBorders>
              <w:top w:val="single" w:sz="8" w:space="0" w:color="auto"/>
              <w:bottom w:val="single" w:sz="4" w:space="0" w:color="auto"/>
            </w:tcBorders>
          </w:tcPr>
          <w:p w:rsidR="004B6B50" w:rsidRDefault="003C7CC9">
            <w:pPr>
              <w:pStyle w:val="nTable"/>
              <w:keepNext/>
              <w:spacing w:after="60"/>
              <w:rPr>
                <w:b/>
                <w:sz w:val="19"/>
              </w:rPr>
            </w:pPr>
            <w:r>
              <w:rPr>
                <w:b/>
                <w:sz w:val="19"/>
              </w:rPr>
              <w:t>Commencement</w:t>
            </w:r>
          </w:p>
        </w:tc>
      </w:tr>
      <w:tr w:rsidR="004B6B50">
        <w:trPr>
          <w:gridAfter w:val="1"/>
          <w:wAfter w:w="37" w:type="dxa"/>
          <w:cantSplit/>
        </w:trPr>
        <w:tc>
          <w:tcPr>
            <w:tcW w:w="2268" w:type="dxa"/>
            <w:tcBorders>
              <w:top w:val="single" w:sz="4" w:space="0" w:color="auto"/>
            </w:tcBorders>
          </w:tcPr>
          <w:p w:rsidR="004B6B50" w:rsidRDefault="003C7CC9">
            <w:pPr>
              <w:pStyle w:val="nTable"/>
              <w:spacing w:after="4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4" w:space="0" w:color="auto"/>
            </w:tcBorders>
          </w:tcPr>
          <w:p w:rsidR="004B6B50" w:rsidRDefault="003C7CC9">
            <w:pPr>
              <w:pStyle w:val="nTable"/>
              <w:keepNext/>
              <w:spacing w:after="40"/>
              <w:rPr>
                <w:sz w:val="19"/>
              </w:rPr>
            </w:pPr>
            <w:r>
              <w:rPr>
                <w:sz w:val="19"/>
              </w:rPr>
              <w:t>43 of 2000</w:t>
            </w:r>
          </w:p>
        </w:tc>
        <w:tc>
          <w:tcPr>
            <w:tcW w:w="1134" w:type="dxa"/>
            <w:tcBorders>
              <w:top w:val="single" w:sz="4" w:space="0" w:color="auto"/>
            </w:tcBorders>
          </w:tcPr>
          <w:p w:rsidR="004B6B50" w:rsidRDefault="003C7CC9">
            <w:pPr>
              <w:pStyle w:val="nTable"/>
              <w:keepNext/>
              <w:spacing w:after="40"/>
              <w:rPr>
                <w:sz w:val="19"/>
              </w:rPr>
            </w:pPr>
            <w:r>
              <w:rPr>
                <w:sz w:val="19"/>
              </w:rPr>
              <w:t>2 Nov 2000</w:t>
            </w:r>
          </w:p>
        </w:tc>
        <w:tc>
          <w:tcPr>
            <w:tcW w:w="2552" w:type="dxa"/>
            <w:tcBorders>
              <w:top w:val="single" w:sz="4" w:space="0" w:color="auto"/>
            </w:tcBorders>
          </w:tcPr>
          <w:p w:rsidR="004B6B50" w:rsidRDefault="003C7CC9">
            <w:pPr>
              <w:pStyle w:val="nTable"/>
              <w:keepNext/>
              <w:spacing w:after="40"/>
              <w:rPr>
                <w:sz w:val="19"/>
              </w:rPr>
            </w:pPr>
            <w:r>
              <w:rPr>
                <w:sz w:val="19"/>
              </w:rPr>
              <w:t>To be proclaimed (see s. 2(2))</w:t>
            </w:r>
          </w:p>
        </w:tc>
      </w:tr>
      <w:tr w:rsidR="004B6B50">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rsidR="004B6B50" w:rsidRDefault="003C7CC9">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rsidR="004B6B50" w:rsidRDefault="003C7CC9">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rsidR="004B6B50" w:rsidRDefault="003C7CC9">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rsidR="004B6B50" w:rsidRDefault="003C7CC9">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rsidR="004B6B50" w:rsidRDefault="003C7CC9">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rsidR="004B6B50" w:rsidRDefault="003C7CC9">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rsidR="004B6B50" w:rsidRDefault="003C7CC9">
      <w:pPr>
        <w:pStyle w:val="MiscOpen"/>
      </w:pPr>
      <w:r>
        <w:t>“</w:t>
      </w:r>
    </w:p>
    <w:p w:rsidR="004B6B50" w:rsidRDefault="003C7CC9">
      <w:pPr>
        <w:pStyle w:val="nzHeading2"/>
      </w:pPr>
      <w:r>
        <w:t>Part 19 — Savings and Transitional</w:t>
      </w:r>
    </w:p>
    <w:p w:rsidR="004B6B50" w:rsidRDefault="003C7CC9">
      <w:pPr>
        <w:pStyle w:val="nzHeading5"/>
        <w:rPr>
          <w:snapToGrid w:val="0"/>
        </w:rPr>
      </w:pPr>
      <w:r>
        <w:rPr>
          <w:snapToGrid w:val="0"/>
        </w:rPr>
        <w:t>68.</w:t>
      </w:r>
      <w:r>
        <w:rPr>
          <w:snapToGrid w:val="0"/>
        </w:rPr>
        <w:tab/>
        <w:t xml:space="preserve">Savings </w:t>
      </w:r>
      <w:bookmarkStart w:id="90" w:name="UpToHere"/>
      <w:bookmarkEnd w:id="90"/>
    </w:p>
    <w:p w:rsidR="004B6B50" w:rsidRDefault="003C7CC9">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rsidR="004B6B50" w:rsidRDefault="003C7CC9">
      <w:pPr>
        <w:pStyle w:val="nzHeading5"/>
        <w:rPr>
          <w:snapToGrid w:val="0"/>
        </w:rPr>
      </w:pPr>
      <w:r>
        <w:rPr>
          <w:snapToGrid w:val="0"/>
        </w:rPr>
        <w:t>69.</w:t>
      </w:r>
      <w:r>
        <w:rPr>
          <w:snapToGrid w:val="0"/>
        </w:rPr>
        <w:tab/>
        <w:t xml:space="preserve">Transitional </w:t>
      </w:r>
    </w:p>
    <w:p w:rsidR="004B6B50" w:rsidRDefault="003C7CC9">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rsidR="004B6B50" w:rsidRDefault="003C7CC9">
      <w:pPr>
        <w:pStyle w:val="MiscClose"/>
        <w:keepLines w:val="0"/>
      </w:pPr>
      <w:r>
        <w:t>”.</w:t>
      </w:r>
    </w:p>
    <w:p w:rsidR="004B6B50" w:rsidRDefault="003C7CC9">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rsidR="004B6B50" w:rsidRDefault="003C7CC9">
      <w:pPr>
        <w:pStyle w:val="MiscOpen"/>
      </w:pPr>
      <w:r>
        <w:t xml:space="preserve"> “</w:t>
      </w:r>
    </w:p>
    <w:p w:rsidR="004B6B50" w:rsidRDefault="003C7CC9">
      <w:pPr>
        <w:pStyle w:val="nzHeading5"/>
      </w:pPr>
      <w:bookmarkStart w:id="91" w:name="_Toc497533372"/>
      <w:r>
        <w:rPr>
          <w:rStyle w:val="CharSectno"/>
        </w:rPr>
        <w:t>53</w:t>
      </w:r>
      <w:r>
        <w:t>.</w:t>
      </w:r>
      <w:r>
        <w:tab/>
      </w:r>
      <w:r>
        <w:rPr>
          <w:i/>
        </w:rPr>
        <w:t>Law Reform Commission Act 1972</w:t>
      </w:r>
      <w:r>
        <w:t xml:space="preserve"> amended</w:t>
      </w:r>
      <w:bookmarkEnd w:id="91"/>
    </w:p>
    <w:p w:rsidR="004B6B50" w:rsidRDefault="003C7CC9">
      <w:pPr>
        <w:pStyle w:val="nzSubsection"/>
        <w:keepNext/>
        <w:keepLines/>
      </w:pPr>
      <w:r>
        <w:tab/>
      </w:r>
      <w:r>
        <w:tab/>
        <w:t xml:space="preserve">Section 9 of the </w:t>
      </w:r>
      <w:r>
        <w:rPr>
          <w:i/>
        </w:rPr>
        <w:t>Law Reform Commission Act 1972</w:t>
      </w:r>
      <w:r>
        <w:t xml:space="preserve"> is amended as follows:</w:t>
      </w:r>
    </w:p>
    <w:p w:rsidR="004B6B50" w:rsidRDefault="003C7CC9">
      <w:pPr>
        <w:pStyle w:val="nzIndenta"/>
        <w:keepNext/>
        <w:keepLines/>
      </w:pPr>
      <w:r>
        <w:tab/>
        <w:t>(a)</w:t>
      </w:r>
      <w:r>
        <w:tab/>
        <w:t xml:space="preserve">in subsection (5)(b) by deleting “,; including his rights under the </w:t>
      </w:r>
      <w:r>
        <w:rPr>
          <w:i/>
        </w:rPr>
        <w:t>Superannuation and Family Benefits Act 1938</w:t>
      </w:r>
      <w:r>
        <w:t>,”;</w:t>
      </w:r>
    </w:p>
    <w:p w:rsidR="004B6B50" w:rsidRDefault="003C7CC9">
      <w:pPr>
        <w:pStyle w:val="nzIndenta"/>
        <w:keepNext/>
        <w:keepLines/>
      </w:pPr>
      <w:r>
        <w:tab/>
        <w:t>(b)</w:t>
      </w:r>
      <w:r>
        <w:tab/>
        <w:t>by deleting subsection (6).</w:t>
      </w:r>
    </w:p>
    <w:p w:rsidR="004B6B50" w:rsidRDefault="003C7CC9">
      <w:pPr>
        <w:pStyle w:val="MiscClose"/>
      </w:pPr>
      <w:r>
        <w:t>”.</w:t>
      </w:r>
    </w:p>
    <w:p w:rsidR="004B6B50" w:rsidRDefault="003C7CC9">
      <w:pPr>
        <w:pStyle w:val="nSubsection"/>
      </w:pPr>
      <w:r>
        <w:rPr>
          <w:vertAlign w:val="superscript"/>
        </w:rPr>
        <w:t>5</w:t>
      </w:r>
      <w:r>
        <w:tab/>
        <w:t xml:space="preserve">The </w:t>
      </w:r>
      <w:r>
        <w:rPr>
          <w:i/>
        </w:rPr>
        <w:t xml:space="preserve">Acts Amendment and Repeal (Courts and Legal Practice) Act 2003 </w:t>
      </w:r>
      <w:r>
        <w:t>s. 97 reads as follows:</w:t>
      </w:r>
    </w:p>
    <w:p w:rsidR="004B6B50" w:rsidRDefault="003C7CC9">
      <w:pPr>
        <w:pStyle w:val="MiscOpen"/>
      </w:pPr>
      <w:r>
        <w:t>“</w:t>
      </w:r>
    </w:p>
    <w:p w:rsidR="004B6B50" w:rsidRDefault="003C7CC9">
      <w:pPr>
        <w:pStyle w:val="nzHeading5"/>
      </w:pPr>
      <w:bookmarkStart w:id="92" w:name="_Toc58037621"/>
      <w:r>
        <w:rPr>
          <w:rStyle w:val="CharSectno"/>
        </w:rPr>
        <w:t>97</w:t>
      </w:r>
      <w:r>
        <w:t>.</w:t>
      </w:r>
      <w:r>
        <w:tab/>
        <w:t>References to Crown Solicitor</w:t>
      </w:r>
      <w:bookmarkEnd w:id="92"/>
    </w:p>
    <w:p w:rsidR="004B6B50" w:rsidRDefault="003C7CC9">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rsidR="004B6B50" w:rsidRDefault="003C7CC9">
      <w:pPr>
        <w:pStyle w:val="MiscClose"/>
      </w:pPr>
      <w:r>
        <w:t>”.</w:t>
      </w:r>
    </w:p>
    <w:p w:rsidR="004B6B50" w:rsidRDefault="003C7CC9">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rsidR="004B6B50" w:rsidRDefault="004B6B50">
      <w:pPr>
        <w:pStyle w:val="BlankOpen"/>
      </w:pPr>
    </w:p>
    <w:p w:rsidR="004B6B50" w:rsidRDefault="003C7CC9">
      <w:pPr>
        <w:pStyle w:val="nzHeading5"/>
      </w:pPr>
      <w:bookmarkStart w:id="93" w:name="_Toc273538032"/>
      <w:bookmarkStart w:id="94" w:name="_Toc273964959"/>
      <w:bookmarkStart w:id="95" w:name="_Toc273971506"/>
      <w:r>
        <w:rPr>
          <w:rStyle w:val="CharSectno"/>
        </w:rPr>
        <w:t>89</w:t>
      </w:r>
      <w:r>
        <w:t>.</w:t>
      </w:r>
      <w:r>
        <w:tab/>
        <w:t>Various references to “Minister for Public Sector Management” amended</w:t>
      </w:r>
      <w:bookmarkEnd w:id="93"/>
      <w:bookmarkEnd w:id="94"/>
      <w:bookmarkEnd w:id="95"/>
    </w:p>
    <w:p w:rsidR="004B6B50" w:rsidRDefault="003C7CC9">
      <w:pPr>
        <w:pStyle w:val="nzSubsection"/>
      </w:pPr>
      <w:r>
        <w:tab/>
        <w:t>(1)</w:t>
      </w:r>
      <w:r>
        <w:tab/>
        <w:t>This section amends the Acts listed in the Table.</w:t>
      </w:r>
    </w:p>
    <w:p w:rsidR="004B6B50" w:rsidRDefault="003C7CC9">
      <w:pPr>
        <w:pStyle w:val="nzSubsection"/>
      </w:pPr>
      <w:r>
        <w:tab/>
        <w:t>(2)</w:t>
      </w:r>
      <w:r>
        <w:tab/>
        <w:t>In the provisions listed in the Table delete “Minister for Public Sector Management” and insert:</w:t>
      </w:r>
    </w:p>
    <w:p w:rsidR="004B6B50" w:rsidRDefault="004B6B50">
      <w:pPr>
        <w:pStyle w:val="BlankOpen"/>
      </w:pPr>
    </w:p>
    <w:p w:rsidR="004B6B50" w:rsidRDefault="003C7CC9">
      <w:pPr>
        <w:pStyle w:val="nzSubsection"/>
      </w:pPr>
      <w:r>
        <w:tab/>
      </w:r>
      <w:r>
        <w:tab/>
        <w:t>Public Sector Commissioner</w:t>
      </w:r>
    </w:p>
    <w:p w:rsidR="004B6B50" w:rsidRDefault="004B6B50">
      <w:pPr>
        <w:pStyle w:val="BlankClose"/>
      </w:pPr>
    </w:p>
    <w:p w:rsidR="004B6B50" w:rsidRDefault="004B6B50">
      <w:pPr>
        <w:pStyle w:val="BlankClose"/>
      </w:pPr>
    </w:p>
    <w:p w:rsidR="004B6B50" w:rsidRDefault="003C7CC9">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rsidR="004B6B50">
        <w:trPr>
          <w:cantSplit/>
          <w:jc w:val="center"/>
        </w:trPr>
        <w:tc>
          <w:tcPr>
            <w:tcW w:w="3403" w:type="dxa"/>
          </w:tcPr>
          <w:p w:rsidR="004B6B50" w:rsidRDefault="003C7CC9">
            <w:pPr>
              <w:pStyle w:val="TableAm"/>
              <w:rPr>
                <w:iCs/>
                <w:sz w:val="20"/>
              </w:rPr>
            </w:pPr>
            <w:r>
              <w:rPr>
                <w:i/>
                <w:iCs/>
                <w:sz w:val="20"/>
              </w:rPr>
              <w:t>Law Reform Commission Act 1972</w:t>
            </w:r>
          </w:p>
        </w:tc>
        <w:tc>
          <w:tcPr>
            <w:tcW w:w="3401" w:type="dxa"/>
          </w:tcPr>
          <w:p w:rsidR="004B6B50" w:rsidRDefault="003C7CC9">
            <w:pPr>
              <w:pStyle w:val="TableAm"/>
              <w:rPr>
                <w:sz w:val="20"/>
              </w:rPr>
            </w:pPr>
            <w:r>
              <w:rPr>
                <w:sz w:val="20"/>
              </w:rPr>
              <w:t>s. 9(2)</w:t>
            </w:r>
          </w:p>
        </w:tc>
      </w:tr>
    </w:tbl>
    <w:p w:rsidR="004B6B50" w:rsidRDefault="004B6B50">
      <w:pPr>
        <w:pStyle w:val="BlankClose"/>
      </w:pPr>
    </w:p>
    <w:p w:rsidR="004B6B50" w:rsidRDefault="004B6B50"/>
    <w:p w:rsidR="004B6B50" w:rsidRDefault="004B6B50">
      <w:pPr>
        <w:sectPr w:rsidR="004B6B50">
          <w:headerReference w:type="even" r:id="rId26"/>
          <w:headerReference w:type="default" r:id="rId27"/>
          <w:pgSz w:w="11906" w:h="16838" w:code="9"/>
          <w:pgMar w:top="2381" w:right="2409" w:bottom="3543" w:left="2409" w:header="720" w:footer="3380" w:gutter="0"/>
          <w:cols w:space="720"/>
          <w:noEndnote/>
          <w:docGrid w:linePitch="326"/>
        </w:sectPr>
      </w:pPr>
    </w:p>
    <w:p w:rsidR="004B6B50" w:rsidRDefault="004B6B50"/>
    <w:sectPr w:rsidR="004B6B50">
      <w:headerReference w:type="even" r:id="rId28"/>
      <w:headerReference w:type="default" r:id="rId29"/>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6B50" w:rsidRDefault="003C7CC9">
      <w:r>
        <w:separator/>
      </w:r>
    </w:p>
  </w:endnote>
  <w:endnote w:type="continuationSeparator" w:id="0">
    <w:p w:rsidR="004B6B50" w:rsidRDefault="003C7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Footer"/>
      <w:tabs>
        <w:tab w:val="clear" w:pos="4153"/>
        <w:tab w:val="right" w:pos="7088"/>
      </w:tabs>
      <w:rPr>
        <w:rStyle w:val="PageNumber"/>
      </w:rPr>
    </w:pPr>
  </w:p>
  <w:p w:rsidR="004B6B50" w:rsidRDefault="003C7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1B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1BB">
      <w:rPr>
        <w:rFonts w:ascii="Arial" w:hAnsi="Arial" w:cs="Arial"/>
        <w:sz w:val="20"/>
        <w:lang w:val="en-US"/>
      </w:rPr>
      <w:t>05 Nov 2010</w:t>
    </w:r>
    <w:r>
      <w:rPr>
        <w:rFonts w:ascii="Arial" w:hAnsi="Arial" w:cs="Arial"/>
        <w:sz w:val="20"/>
        <w:lang w:val="en-US"/>
      </w:rPr>
      <w:fldChar w:fldCharType="end"/>
    </w:r>
  </w:p>
  <w:p w:rsidR="004B6B50" w:rsidRDefault="003C7CC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Footer"/>
      <w:tabs>
        <w:tab w:val="clear" w:pos="4153"/>
        <w:tab w:val="right" w:pos="7088"/>
      </w:tabs>
      <w:rPr>
        <w:rStyle w:val="PageNumber"/>
      </w:rPr>
    </w:pPr>
  </w:p>
  <w:p w:rsidR="004B6B50" w:rsidRDefault="003C7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1B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1B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rsidR="004B6B50" w:rsidRDefault="003C7CC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Footer"/>
      <w:tabs>
        <w:tab w:val="clear" w:pos="4153"/>
        <w:tab w:val="right" w:pos="7088"/>
      </w:tabs>
      <w:rPr>
        <w:rStyle w:val="PageNumber"/>
      </w:rPr>
    </w:pPr>
  </w:p>
  <w:p w:rsidR="004B6B50" w:rsidRDefault="003C7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1B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1B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rsidR="004B6B50" w:rsidRDefault="003C7CC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Footer"/>
      <w:tabs>
        <w:tab w:val="clear" w:pos="4153"/>
        <w:tab w:val="right" w:pos="7088"/>
      </w:tabs>
      <w:rPr>
        <w:rStyle w:val="PageNumber"/>
      </w:rPr>
    </w:pPr>
  </w:p>
  <w:p w:rsidR="004B6B50" w:rsidRDefault="003C7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1B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1BB">
      <w:rPr>
        <w:rFonts w:ascii="Arial" w:hAnsi="Arial" w:cs="Arial"/>
        <w:sz w:val="20"/>
        <w:lang w:val="en-US"/>
      </w:rPr>
      <w:t>05 Nov 2010</w:t>
    </w:r>
    <w:r>
      <w:rPr>
        <w:rFonts w:ascii="Arial" w:hAnsi="Arial" w:cs="Arial"/>
        <w:sz w:val="20"/>
        <w:lang w:val="en-US"/>
      </w:rPr>
      <w:fldChar w:fldCharType="end"/>
    </w:r>
  </w:p>
  <w:p w:rsidR="004B6B50" w:rsidRDefault="003C7CC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Footer"/>
      <w:tabs>
        <w:tab w:val="clear" w:pos="4153"/>
        <w:tab w:val="right" w:pos="7088"/>
      </w:tabs>
      <w:rPr>
        <w:rStyle w:val="PageNumber"/>
      </w:rPr>
    </w:pPr>
  </w:p>
  <w:p w:rsidR="004B6B50" w:rsidRDefault="003C7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1B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1B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B6B50" w:rsidRDefault="003C7CC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Footer"/>
      <w:tabs>
        <w:tab w:val="clear" w:pos="4153"/>
        <w:tab w:val="right" w:pos="7088"/>
      </w:tabs>
      <w:rPr>
        <w:rStyle w:val="PageNumber"/>
      </w:rPr>
    </w:pPr>
  </w:p>
  <w:p w:rsidR="004B6B50" w:rsidRDefault="003C7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1B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1B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D71BB">
      <w:rPr>
        <w:rStyle w:val="PageNumber"/>
        <w:rFonts w:ascii="Arial" w:hAnsi="Arial" w:cs="Arial"/>
        <w:noProof/>
      </w:rPr>
      <w:t>i</w:t>
    </w:r>
    <w:r>
      <w:rPr>
        <w:rStyle w:val="PageNumber"/>
        <w:rFonts w:ascii="Arial" w:hAnsi="Arial" w:cs="Arial"/>
      </w:rPr>
      <w:fldChar w:fldCharType="end"/>
    </w:r>
  </w:p>
  <w:p w:rsidR="004B6B50" w:rsidRDefault="003C7CC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Footer"/>
      <w:tabs>
        <w:tab w:val="clear" w:pos="4153"/>
        <w:tab w:val="right" w:pos="7088"/>
      </w:tabs>
      <w:rPr>
        <w:rStyle w:val="PageNumber"/>
      </w:rPr>
    </w:pPr>
  </w:p>
  <w:p w:rsidR="004B6B50" w:rsidRDefault="003C7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71BB">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1B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1B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rsidR="004B6B50" w:rsidRDefault="003C7CC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Footer"/>
      <w:tabs>
        <w:tab w:val="clear" w:pos="4153"/>
        <w:tab w:val="right" w:pos="7088"/>
      </w:tabs>
      <w:rPr>
        <w:rStyle w:val="PageNumber"/>
      </w:rPr>
    </w:pPr>
  </w:p>
  <w:p w:rsidR="004B6B50" w:rsidRDefault="003C7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1B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1B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71BB">
      <w:rPr>
        <w:rStyle w:val="CharPageNo"/>
        <w:rFonts w:ascii="Arial" w:hAnsi="Arial"/>
        <w:noProof/>
      </w:rPr>
      <w:t>13</w:t>
    </w:r>
    <w:r>
      <w:rPr>
        <w:rStyle w:val="CharPageNo"/>
        <w:rFonts w:ascii="Arial" w:hAnsi="Arial"/>
      </w:rPr>
      <w:fldChar w:fldCharType="end"/>
    </w:r>
  </w:p>
  <w:p w:rsidR="004B6B50" w:rsidRDefault="003C7CC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Footer"/>
      <w:tabs>
        <w:tab w:val="clear" w:pos="4153"/>
        <w:tab w:val="right" w:pos="7088"/>
      </w:tabs>
      <w:rPr>
        <w:rStyle w:val="PageNumber"/>
      </w:rPr>
    </w:pPr>
  </w:p>
  <w:p w:rsidR="004B6B50" w:rsidRDefault="003C7CC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D71BB">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D71BB">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D71BB">
      <w:rPr>
        <w:rStyle w:val="CharPageNo"/>
        <w:rFonts w:ascii="Arial" w:hAnsi="Arial"/>
        <w:noProof/>
      </w:rPr>
      <w:t>1</w:t>
    </w:r>
    <w:r>
      <w:rPr>
        <w:rStyle w:val="CharPageNo"/>
        <w:rFonts w:ascii="Arial" w:hAnsi="Arial"/>
      </w:rPr>
      <w:fldChar w:fldCharType="end"/>
    </w:r>
  </w:p>
  <w:p w:rsidR="004B6B50" w:rsidRDefault="003C7CC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6B50" w:rsidRDefault="003C7CC9">
      <w:r>
        <w:separator/>
      </w:r>
    </w:p>
  </w:footnote>
  <w:footnote w:type="continuationSeparator" w:id="0">
    <w:p w:rsidR="004B6B50" w:rsidRDefault="003C7C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3C7CC9">
    <w:pPr>
      <w:pStyle w:val="headerpartodd"/>
      <w:ind w:left="0" w:firstLine="0"/>
      <w:rPr>
        <w:i/>
      </w:rPr>
    </w:pPr>
    <w:r>
      <w:rPr>
        <w:i/>
      </w:rPr>
      <w:fldChar w:fldCharType="begin"/>
    </w:r>
    <w:r>
      <w:rPr>
        <w:i/>
      </w:rPr>
      <w:instrText xml:space="preserve"> Styleref "Name of Act/Reg" </w:instrText>
    </w:r>
    <w:r>
      <w:rPr>
        <w:i/>
      </w:rPr>
      <w:fldChar w:fldCharType="separate"/>
    </w:r>
    <w:r w:rsidR="006D71BB">
      <w:rPr>
        <w:i/>
        <w:noProof/>
      </w:rPr>
      <w:t>Law Reform Commission Act 1972</w:t>
    </w:r>
    <w:r>
      <w:rPr>
        <w:i/>
      </w:rPr>
      <w:fldChar w:fldCharType="end"/>
    </w:r>
  </w:p>
  <w:p w:rsidR="004B6B50" w:rsidRDefault="003C7CC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B6B50" w:rsidRDefault="003C7CC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B6B50" w:rsidRDefault="004B6B50">
    <w:pPr>
      <w:pStyle w:val="headerpart"/>
    </w:pPr>
  </w:p>
  <w:p w:rsidR="004B6B50" w:rsidRDefault="004B6B50">
    <w:pPr>
      <w:pBdr>
        <w:bottom w:val="single" w:sz="6" w:space="1" w:color="auto"/>
      </w:pBdr>
      <w:rPr>
        <w:b/>
      </w:rPr>
    </w:pPr>
  </w:p>
  <w:p w:rsidR="004B6B50" w:rsidRDefault="004B6B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B6B50">
      <w:trPr>
        <w:cantSplit/>
      </w:trPr>
      <w:tc>
        <w:tcPr>
          <w:tcW w:w="7312" w:type="dxa"/>
          <w:gridSpan w:val="2"/>
        </w:tcPr>
        <w:p w:rsidR="004B6B50" w:rsidRDefault="003C7CC9">
          <w:pPr>
            <w:pStyle w:val="HeaderActNameLeft"/>
          </w:pPr>
          <w:r>
            <w:rPr>
              <w:i w:val="0"/>
            </w:rPr>
            <w:fldChar w:fldCharType="begin"/>
          </w:r>
          <w:r>
            <w:rPr>
              <w:i w:val="0"/>
            </w:rPr>
            <w:instrText xml:space="preserve"> Styleref "Name of Act/Reg" </w:instrText>
          </w:r>
          <w:r>
            <w:rPr>
              <w:i w:val="0"/>
            </w:rPr>
            <w:fldChar w:fldCharType="separate"/>
          </w:r>
          <w:r w:rsidR="006D71BB">
            <w:rPr>
              <w:i w:val="0"/>
              <w:noProof/>
            </w:rPr>
            <w:t>Law Reform Commission Act 1972</w:t>
          </w:r>
          <w:r>
            <w:rPr>
              <w:i w:val="0"/>
            </w:rPr>
            <w:fldChar w:fldCharType="end"/>
          </w:r>
        </w:p>
      </w:tc>
    </w:tr>
    <w:tr w:rsidR="004B6B50">
      <w:tc>
        <w:tcPr>
          <w:tcW w:w="1548" w:type="dxa"/>
        </w:tcPr>
        <w:p w:rsidR="004B6B50" w:rsidRDefault="004B6B50">
          <w:pPr>
            <w:pStyle w:val="HeaderNumberLeft"/>
          </w:pPr>
        </w:p>
      </w:tc>
      <w:tc>
        <w:tcPr>
          <w:tcW w:w="5764" w:type="dxa"/>
        </w:tcPr>
        <w:p w:rsidR="004B6B50" w:rsidRDefault="004B6B50">
          <w:pPr>
            <w:pStyle w:val="HeaderTextLeft"/>
          </w:pPr>
        </w:p>
      </w:tc>
    </w:tr>
    <w:tr w:rsidR="004B6B50">
      <w:tc>
        <w:tcPr>
          <w:tcW w:w="1548" w:type="dxa"/>
        </w:tcPr>
        <w:p w:rsidR="004B6B50" w:rsidRDefault="004B6B50">
          <w:pPr>
            <w:pStyle w:val="HeaderNumberLeft"/>
          </w:pPr>
        </w:p>
      </w:tc>
      <w:tc>
        <w:tcPr>
          <w:tcW w:w="5764" w:type="dxa"/>
        </w:tcPr>
        <w:p w:rsidR="004B6B50" w:rsidRDefault="004B6B50">
          <w:pPr>
            <w:pStyle w:val="HeaderTextLeft"/>
          </w:pPr>
        </w:p>
      </w:tc>
    </w:tr>
    <w:tr w:rsidR="004B6B50">
      <w:trPr>
        <w:cantSplit/>
      </w:trPr>
      <w:tc>
        <w:tcPr>
          <w:tcW w:w="7312" w:type="dxa"/>
          <w:gridSpan w:val="2"/>
        </w:tcPr>
        <w:p w:rsidR="004B6B50" w:rsidRDefault="004B6B50">
          <w:pPr>
            <w:pStyle w:val="HeaderSectionLeft"/>
          </w:pPr>
        </w:p>
      </w:tc>
    </w:tr>
  </w:tbl>
  <w:p w:rsidR="004B6B50" w:rsidRDefault="004B6B5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B6B50">
      <w:trPr>
        <w:cantSplit/>
      </w:trPr>
      <w:tc>
        <w:tcPr>
          <w:tcW w:w="7312" w:type="dxa"/>
          <w:gridSpan w:val="2"/>
        </w:tcPr>
        <w:p w:rsidR="004B6B50" w:rsidRDefault="003C7CC9">
          <w:pPr>
            <w:pStyle w:val="HeaderActNameRight"/>
          </w:pPr>
          <w:fldSimple w:instr=" Styleref &quot;Name of Act/Reg&quot; ">
            <w:r w:rsidR="006D71BB">
              <w:rPr>
                <w:noProof/>
              </w:rPr>
              <w:t>Law Reform Commission Act 1972</w:t>
            </w:r>
          </w:fldSimple>
        </w:p>
      </w:tc>
    </w:tr>
    <w:tr w:rsidR="004B6B50">
      <w:tc>
        <w:tcPr>
          <w:tcW w:w="5760" w:type="dxa"/>
        </w:tcPr>
        <w:p w:rsidR="004B6B50" w:rsidRDefault="004B6B50">
          <w:pPr>
            <w:pStyle w:val="HeaderTextRight"/>
          </w:pPr>
        </w:p>
      </w:tc>
      <w:tc>
        <w:tcPr>
          <w:tcW w:w="1552" w:type="dxa"/>
        </w:tcPr>
        <w:p w:rsidR="004B6B50" w:rsidRDefault="004B6B50">
          <w:pPr>
            <w:pStyle w:val="HeaderNumberRight"/>
          </w:pPr>
        </w:p>
      </w:tc>
    </w:tr>
    <w:tr w:rsidR="004B6B50">
      <w:tc>
        <w:tcPr>
          <w:tcW w:w="5760" w:type="dxa"/>
        </w:tcPr>
        <w:p w:rsidR="004B6B50" w:rsidRDefault="004B6B50">
          <w:pPr>
            <w:pStyle w:val="HeaderTextRight"/>
          </w:pPr>
        </w:p>
      </w:tc>
      <w:tc>
        <w:tcPr>
          <w:tcW w:w="1552" w:type="dxa"/>
        </w:tcPr>
        <w:p w:rsidR="004B6B50" w:rsidRDefault="004B6B50">
          <w:pPr>
            <w:pStyle w:val="HeaderNumberRight"/>
          </w:pPr>
        </w:p>
      </w:tc>
    </w:tr>
    <w:tr w:rsidR="004B6B50">
      <w:trPr>
        <w:cantSplit/>
      </w:trPr>
      <w:tc>
        <w:tcPr>
          <w:tcW w:w="7312" w:type="dxa"/>
          <w:gridSpan w:val="2"/>
        </w:tcPr>
        <w:p w:rsidR="004B6B50" w:rsidRDefault="004B6B50">
          <w:pPr>
            <w:pStyle w:val="HeaderSectionRight"/>
          </w:pPr>
        </w:p>
      </w:tc>
    </w:tr>
  </w:tbl>
  <w:p w:rsidR="004B6B50" w:rsidRDefault="004B6B5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B6B50">
      <w:trPr>
        <w:cantSplit/>
      </w:trPr>
      <w:tc>
        <w:tcPr>
          <w:tcW w:w="7312" w:type="dxa"/>
          <w:gridSpan w:val="2"/>
        </w:tcPr>
        <w:p w:rsidR="004B6B50" w:rsidRDefault="003C7CC9">
          <w:pPr>
            <w:pStyle w:val="HeaderActNameLeft"/>
          </w:pPr>
          <w:fldSimple w:instr=" Styleref &quot;Name of Act/Reg&quot; ">
            <w:r w:rsidR="006D71BB">
              <w:rPr>
                <w:noProof/>
              </w:rPr>
              <w:t>Law Reform Commission Act 1972</w:t>
            </w:r>
          </w:fldSimple>
        </w:p>
      </w:tc>
    </w:tr>
    <w:tr w:rsidR="004B6B50">
      <w:tc>
        <w:tcPr>
          <w:tcW w:w="1305" w:type="dxa"/>
        </w:tcPr>
        <w:p w:rsidR="004B6B50" w:rsidRDefault="003C7CC9">
          <w:pPr>
            <w:pStyle w:val="HeaderNumberLeft"/>
          </w:pPr>
          <w:r>
            <w:fldChar w:fldCharType="begin"/>
          </w:r>
          <w:r>
            <w:instrText xml:space="preserve"> styleref CharPartNo </w:instrText>
          </w:r>
          <w:r>
            <w:fldChar w:fldCharType="end"/>
          </w:r>
        </w:p>
      </w:tc>
      <w:tc>
        <w:tcPr>
          <w:tcW w:w="6007" w:type="dxa"/>
        </w:tcPr>
        <w:p w:rsidR="004B6B50" w:rsidRDefault="003C7CC9">
          <w:pPr>
            <w:pStyle w:val="HeaderTextLeft"/>
          </w:pPr>
          <w:r>
            <w:fldChar w:fldCharType="begin"/>
          </w:r>
          <w:r>
            <w:instrText xml:space="preserve"> styleref CharPartText </w:instrText>
          </w:r>
          <w:r>
            <w:fldChar w:fldCharType="end"/>
          </w:r>
        </w:p>
      </w:tc>
    </w:tr>
    <w:tr w:rsidR="004B6B50">
      <w:tc>
        <w:tcPr>
          <w:tcW w:w="1305" w:type="dxa"/>
        </w:tcPr>
        <w:p w:rsidR="004B6B50" w:rsidRDefault="003C7CC9">
          <w:pPr>
            <w:pStyle w:val="HeaderNumberLeft"/>
          </w:pPr>
          <w:r>
            <w:fldChar w:fldCharType="begin"/>
          </w:r>
          <w:r>
            <w:instrText xml:space="preserve"> styleref CharDivNo </w:instrText>
          </w:r>
          <w:r>
            <w:fldChar w:fldCharType="end"/>
          </w:r>
        </w:p>
      </w:tc>
      <w:tc>
        <w:tcPr>
          <w:tcW w:w="6007" w:type="dxa"/>
        </w:tcPr>
        <w:p w:rsidR="004B6B50" w:rsidRDefault="003C7CC9">
          <w:pPr>
            <w:pStyle w:val="HeaderTextLeft"/>
          </w:pPr>
          <w:r>
            <w:fldChar w:fldCharType="begin"/>
          </w:r>
          <w:r>
            <w:instrText xml:space="preserve"> styleref CharDivText </w:instrText>
          </w:r>
          <w:r>
            <w:fldChar w:fldCharType="end"/>
          </w:r>
        </w:p>
      </w:tc>
    </w:tr>
    <w:tr w:rsidR="004B6B50">
      <w:trPr>
        <w:cantSplit/>
      </w:trPr>
      <w:tc>
        <w:tcPr>
          <w:tcW w:w="7312" w:type="dxa"/>
          <w:gridSpan w:val="2"/>
        </w:tcPr>
        <w:p w:rsidR="004B6B50" w:rsidRDefault="003C7CC9">
          <w:pPr>
            <w:pStyle w:val="HeaderSectionLeft"/>
          </w:pPr>
          <w:r>
            <w:t xml:space="preserve">s. </w:t>
          </w:r>
          <w:fldSimple w:instr=" styleref CharSectno ">
            <w:r w:rsidR="006D71BB">
              <w:rPr>
                <w:noProof/>
              </w:rPr>
              <w:t>1</w:t>
            </w:r>
          </w:fldSimple>
        </w:p>
      </w:tc>
    </w:tr>
  </w:tbl>
  <w:p w:rsidR="004B6B50" w:rsidRDefault="004B6B5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B6B50">
      <w:trPr>
        <w:cantSplit/>
      </w:trPr>
      <w:tc>
        <w:tcPr>
          <w:tcW w:w="7312" w:type="dxa"/>
          <w:gridSpan w:val="2"/>
        </w:tcPr>
        <w:p w:rsidR="004B6B50" w:rsidRDefault="003C7CC9">
          <w:pPr>
            <w:pStyle w:val="HeaderActNameRight"/>
          </w:pPr>
          <w:fldSimple w:instr=" Styleref &quot;Name of Act/Reg&quot; ">
            <w:r w:rsidR="006D71BB">
              <w:rPr>
                <w:noProof/>
              </w:rPr>
              <w:t>Law Reform Commission Act 1972</w:t>
            </w:r>
          </w:fldSimple>
        </w:p>
      </w:tc>
    </w:tr>
    <w:tr w:rsidR="004B6B50">
      <w:tc>
        <w:tcPr>
          <w:tcW w:w="5985" w:type="dxa"/>
        </w:tcPr>
        <w:p w:rsidR="004B6B50" w:rsidRDefault="003C7CC9">
          <w:pPr>
            <w:pStyle w:val="HeaderTextRight"/>
          </w:pPr>
          <w:r>
            <w:fldChar w:fldCharType="begin"/>
          </w:r>
          <w:r>
            <w:instrText xml:space="preserve"> styleref CharPartText </w:instrText>
          </w:r>
          <w:r>
            <w:fldChar w:fldCharType="end"/>
          </w:r>
        </w:p>
      </w:tc>
      <w:tc>
        <w:tcPr>
          <w:tcW w:w="1327" w:type="dxa"/>
        </w:tcPr>
        <w:p w:rsidR="004B6B50" w:rsidRDefault="003C7CC9">
          <w:pPr>
            <w:pStyle w:val="HeaderNumberRight"/>
          </w:pPr>
          <w:r>
            <w:fldChar w:fldCharType="begin"/>
          </w:r>
          <w:r>
            <w:instrText xml:space="preserve"> styleref CharPartNo </w:instrText>
          </w:r>
          <w:r>
            <w:fldChar w:fldCharType="end"/>
          </w:r>
        </w:p>
      </w:tc>
    </w:tr>
    <w:tr w:rsidR="004B6B50">
      <w:tc>
        <w:tcPr>
          <w:tcW w:w="5985" w:type="dxa"/>
        </w:tcPr>
        <w:p w:rsidR="004B6B50" w:rsidRDefault="003C7CC9">
          <w:pPr>
            <w:pStyle w:val="HeaderTextRight"/>
          </w:pPr>
          <w:r>
            <w:fldChar w:fldCharType="begin"/>
          </w:r>
          <w:r>
            <w:instrText xml:space="preserve"> styleref CharDivText </w:instrText>
          </w:r>
          <w:r>
            <w:fldChar w:fldCharType="end"/>
          </w:r>
        </w:p>
      </w:tc>
      <w:tc>
        <w:tcPr>
          <w:tcW w:w="1327" w:type="dxa"/>
        </w:tcPr>
        <w:p w:rsidR="004B6B50" w:rsidRDefault="003C7CC9">
          <w:pPr>
            <w:pStyle w:val="HeaderNumberRight"/>
          </w:pPr>
          <w:r>
            <w:fldChar w:fldCharType="begin"/>
          </w:r>
          <w:r>
            <w:instrText xml:space="preserve"> styleref CharDivNo </w:instrText>
          </w:r>
          <w:r>
            <w:fldChar w:fldCharType="end"/>
          </w:r>
        </w:p>
      </w:tc>
    </w:tr>
    <w:tr w:rsidR="004B6B50">
      <w:trPr>
        <w:cantSplit/>
      </w:trPr>
      <w:tc>
        <w:tcPr>
          <w:tcW w:w="7312" w:type="dxa"/>
          <w:gridSpan w:val="2"/>
        </w:tcPr>
        <w:p w:rsidR="004B6B50" w:rsidRDefault="003C7CC9">
          <w:pPr>
            <w:pStyle w:val="HeaderSectionRight"/>
          </w:pPr>
          <w:r>
            <w:t xml:space="preserve">s. </w:t>
          </w:r>
          <w:fldSimple w:instr=" styleref CharSectno ">
            <w:r w:rsidR="006D71BB">
              <w:rPr>
                <w:noProof/>
              </w:rPr>
              <w:t>1</w:t>
            </w:r>
          </w:fldSimple>
        </w:p>
      </w:tc>
    </w:tr>
  </w:tbl>
  <w:p w:rsidR="004B6B50" w:rsidRDefault="004B6B5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4B6B5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B6B50">
      <w:trPr>
        <w:cantSplit/>
      </w:trPr>
      <w:tc>
        <w:tcPr>
          <w:tcW w:w="7312" w:type="dxa"/>
          <w:gridSpan w:val="2"/>
        </w:tcPr>
        <w:p w:rsidR="004B6B50" w:rsidRDefault="003C7CC9">
          <w:pPr>
            <w:pStyle w:val="HeaderActNameLeft"/>
          </w:pPr>
          <w:fldSimple w:instr=" Styleref &quot;Name of Act/Reg&quot; ">
            <w:r w:rsidR="006D71BB">
              <w:rPr>
                <w:noProof/>
              </w:rPr>
              <w:t>Law Reform Commission Act 1972</w:t>
            </w:r>
          </w:fldSimple>
        </w:p>
      </w:tc>
    </w:tr>
    <w:tr w:rsidR="004B6B50">
      <w:tc>
        <w:tcPr>
          <w:tcW w:w="1305" w:type="dxa"/>
        </w:tcPr>
        <w:p w:rsidR="004B6B50" w:rsidRDefault="003C7CC9">
          <w:pPr>
            <w:pStyle w:val="HeaderNumberLeft"/>
          </w:pPr>
          <w:r>
            <w:fldChar w:fldCharType="begin"/>
          </w:r>
          <w:r>
            <w:instrText xml:space="preserve"> styleref CharPartNo </w:instrText>
          </w:r>
          <w:r>
            <w:fldChar w:fldCharType="end"/>
          </w:r>
        </w:p>
      </w:tc>
      <w:tc>
        <w:tcPr>
          <w:tcW w:w="6007" w:type="dxa"/>
        </w:tcPr>
        <w:p w:rsidR="004B6B50" w:rsidRDefault="003C7CC9">
          <w:pPr>
            <w:pStyle w:val="HeaderTextLeft"/>
          </w:pPr>
          <w:r>
            <w:fldChar w:fldCharType="begin"/>
          </w:r>
          <w:r>
            <w:instrText xml:space="preserve"> styleref CharPartText </w:instrText>
          </w:r>
          <w:r>
            <w:fldChar w:fldCharType="end"/>
          </w:r>
        </w:p>
      </w:tc>
    </w:tr>
    <w:tr w:rsidR="004B6B50">
      <w:tc>
        <w:tcPr>
          <w:tcW w:w="1305" w:type="dxa"/>
        </w:tcPr>
        <w:p w:rsidR="004B6B50" w:rsidRDefault="003C7CC9">
          <w:pPr>
            <w:pStyle w:val="HeaderNumberLeft"/>
          </w:pPr>
          <w:r>
            <w:fldChar w:fldCharType="begin"/>
          </w:r>
          <w:r>
            <w:instrText xml:space="preserve"> styleref CharDivNo </w:instrText>
          </w:r>
          <w:r>
            <w:fldChar w:fldCharType="end"/>
          </w:r>
        </w:p>
      </w:tc>
      <w:tc>
        <w:tcPr>
          <w:tcW w:w="6007" w:type="dxa"/>
        </w:tcPr>
        <w:p w:rsidR="004B6B50" w:rsidRDefault="003C7CC9">
          <w:pPr>
            <w:pStyle w:val="HeaderTextLeft"/>
          </w:pPr>
          <w:r>
            <w:fldChar w:fldCharType="begin"/>
          </w:r>
          <w:r>
            <w:instrText xml:space="preserve"> styleref CharDivText </w:instrText>
          </w:r>
          <w:r>
            <w:fldChar w:fldCharType="end"/>
          </w:r>
        </w:p>
      </w:tc>
    </w:tr>
    <w:tr w:rsidR="004B6B50">
      <w:trPr>
        <w:cantSplit/>
      </w:trPr>
      <w:tc>
        <w:tcPr>
          <w:tcW w:w="7312" w:type="dxa"/>
          <w:gridSpan w:val="2"/>
        </w:tcPr>
        <w:p w:rsidR="004B6B50" w:rsidRDefault="004B6B50">
          <w:pPr>
            <w:pStyle w:val="HeaderSectionLeft"/>
          </w:pPr>
        </w:p>
      </w:tc>
    </w:tr>
  </w:tbl>
  <w:p w:rsidR="004B6B50" w:rsidRDefault="004B6B5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B6B50">
      <w:trPr>
        <w:cantSplit/>
      </w:trPr>
      <w:tc>
        <w:tcPr>
          <w:tcW w:w="7312" w:type="dxa"/>
          <w:gridSpan w:val="2"/>
        </w:tcPr>
        <w:p w:rsidR="004B6B50" w:rsidRDefault="003C7CC9">
          <w:pPr>
            <w:pStyle w:val="HeaderActNameRight"/>
          </w:pPr>
          <w:fldSimple w:instr=" Styleref &quot;Name of Act/Reg&quot; ">
            <w:r w:rsidR="006D71BB">
              <w:rPr>
                <w:noProof/>
              </w:rPr>
              <w:t>Law Reform Commission Act 1972</w:t>
            </w:r>
          </w:fldSimple>
        </w:p>
      </w:tc>
    </w:tr>
    <w:tr w:rsidR="004B6B50">
      <w:tc>
        <w:tcPr>
          <w:tcW w:w="5985" w:type="dxa"/>
        </w:tcPr>
        <w:p w:rsidR="004B6B50" w:rsidRDefault="003C7CC9">
          <w:pPr>
            <w:pStyle w:val="HeaderTextRight"/>
          </w:pPr>
          <w:r>
            <w:fldChar w:fldCharType="begin"/>
          </w:r>
          <w:r>
            <w:instrText xml:space="preserve"> styleref CharPartText </w:instrText>
          </w:r>
          <w:r>
            <w:fldChar w:fldCharType="end"/>
          </w:r>
        </w:p>
      </w:tc>
      <w:tc>
        <w:tcPr>
          <w:tcW w:w="1327" w:type="dxa"/>
        </w:tcPr>
        <w:p w:rsidR="004B6B50" w:rsidRDefault="003C7CC9">
          <w:pPr>
            <w:pStyle w:val="HeaderNumberRight"/>
          </w:pPr>
          <w:r>
            <w:fldChar w:fldCharType="begin"/>
          </w:r>
          <w:r>
            <w:instrText xml:space="preserve"> styleref CharPartNo </w:instrText>
          </w:r>
          <w:r>
            <w:fldChar w:fldCharType="end"/>
          </w:r>
        </w:p>
      </w:tc>
    </w:tr>
    <w:tr w:rsidR="004B6B50">
      <w:tc>
        <w:tcPr>
          <w:tcW w:w="5985" w:type="dxa"/>
        </w:tcPr>
        <w:p w:rsidR="004B6B50" w:rsidRDefault="003C7CC9">
          <w:pPr>
            <w:pStyle w:val="HeaderTextRight"/>
          </w:pPr>
          <w:r>
            <w:fldChar w:fldCharType="begin"/>
          </w:r>
          <w:r>
            <w:instrText xml:space="preserve"> styleref CharDivText </w:instrText>
          </w:r>
          <w:r>
            <w:fldChar w:fldCharType="end"/>
          </w:r>
        </w:p>
      </w:tc>
      <w:tc>
        <w:tcPr>
          <w:tcW w:w="1327" w:type="dxa"/>
        </w:tcPr>
        <w:p w:rsidR="004B6B50" w:rsidRDefault="003C7CC9">
          <w:pPr>
            <w:pStyle w:val="HeaderNumberRight"/>
          </w:pPr>
          <w:r>
            <w:fldChar w:fldCharType="begin"/>
          </w:r>
          <w:r>
            <w:instrText xml:space="preserve"> styleref CharDivNo </w:instrText>
          </w:r>
          <w:r>
            <w:fldChar w:fldCharType="end"/>
          </w:r>
        </w:p>
      </w:tc>
    </w:tr>
    <w:tr w:rsidR="004B6B50">
      <w:trPr>
        <w:cantSplit/>
      </w:trPr>
      <w:tc>
        <w:tcPr>
          <w:tcW w:w="7312" w:type="dxa"/>
          <w:gridSpan w:val="2"/>
        </w:tcPr>
        <w:p w:rsidR="004B6B50" w:rsidRDefault="004B6B50">
          <w:pPr>
            <w:pStyle w:val="HeaderSectionRight"/>
          </w:pPr>
        </w:p>
      </w:tc>
    </w:tr>
  </w:tbl>
  <w:p w:rsidR="004B6B50" w:rsidRDefault="004B6B5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3C7CC9">
    <w:pPr>
      <w:pStyle w:val="headerpartodd"/>
      <w:ind w:left="0" w:firstLine="0"/>
      <w:rPr>
        <w:i/>
      </w:rPr>
    </w:pPr>
    <w:r>
      <w:rPr>
        <w:i/>
      </w:rPr>
      <w:fldChar w:fldCharType="begin"/>
    </w:r>
    <w:r>
      <w:rPr>
        <w:i/>
      </w:rPr>
      <w:instrText xml:space="preserve"> Styleref "Name of Act/Reg" </w:instrText>
    </w:r>
    <w:r>
      <w:rPr>
        <w:i/>
      </w:rPr>
      <w:fldChar w:fldCharType="separate"/>
    </w:r>
    <w:r w:rsidR="006D71BB">
      <w:rPr>
        <w:i/>
        <w:noProof/>
      </w:rPr>
      <w:t>Law Reform Commission Act 1972</w:t>
    </w:r>
    <w:r>
      <w:rPr>
        <w:i/>
      </w:rPr>
      <w:fldChar w:fldCharType="end"/>
    </w:r>
  </w:p>
  <w:p w:rsidR="004B6B50" w:rsidRDefault="004B6B50">
    <w:pPr>
      <w:pStyle w:val="headerpartodd"/>
      <w:ind w:left="0" w:firstLine="0"/>
      <w:rPr>
        <w:b w:val="0"/>
        <w:i/>
      </w:rPr>
    </w:pPr>
  </w:p>
  <w:p w:rsidR="004B6B50" w:rsidRDefault="004B6B50">
    <w:pPr>
      <w:pStyle w:val="headerpart"/>
    </w:pPr>
  </w:p>
  <w:p w:rsidR="004B6B50" w:rsidRDefault="004B6B50">
    <w:pPr>
      <w:pStyle w:val="headerpart"/>
    </w:pPr>
  </w:p>
  <w:p w:rsidR="004B6B50" w:rsidRDefault="004B6B50">
    <w:pPr>
      <w:pBdr>
        <w:bottom w:val="single" w:sz="6" w:space="1" w:color="auto"/>
      </w:pBdr>
      <w:rPr>
        <w:b/>
      </w:rPr>
    </w:pPr>
  </w:p>
  <w:p w:rsidR="004B6B50" w:rsidRDefault="004B6B5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B50" w:rsidRDefault="003C7CC9">
    <w:pPr>
      <w:pStyle w:val="headerpartodd"/>
      <w:ind w:left="0" w:firstLine="0"/>
      <w:jc w:val="right"/>
      <w:rPr>
        <w:i/>
      </w:rPr>
    </w:pPr>
    <w:r>
      <w:rPr>
        <w:i/>
      </w:rPr>
      <w:fldChar w:fldCharType="begin"/>
    </w:r>
    <w:r>
      <w:rPr>
        <w:i/>
      </w:rPr>
      <w:instrText xml:space="preserve"> Styleref "Name of Act/Reg" </w:instrText>
    </w:r>
    <w:r>
      <w:rPr>
        <w:i/>
      </w:rPr>
      <w:fldChar w:fldCharType="separate"/>
    </w:r>
    <w:r w:rsidR="006D71BB">
      <w:rPr>
        <w:i/>
        <w:noProof/>
      </w:rPr>
      <w:t>Law Reform Commission Act 1972</w:t>
    </w:r>
    <w:r>
      <w:rPr>
        <w:i/>
      </w:rPr>
      <w:fldChar w:fldCharType="end"/>
    </w:r>
  </w:p>
  <w:p w:rsidR="004B6B50" w:rsidRDefault="004B6B50">
    <w:pPr>
      <w:pStyle w:val="headerpartodd"/>
      <w:ind w:left="0" w:firstLine="0"/>
      <w:jc w:val="right"/>
      <w:rPr>
        <w:b w:val="0"/>
        <w:i/>
      </w:rPr>
    </w:pPr>
  </w:p>
  <w:p w:rsidR="004B6B50" w:rsidRDefault="004B6B50">
    <w:pPr>
      <w:pStyle w:val="headerpart"/>
      <w:jc w:val="right"/>
    </w:pPr>
  </w:p>
  <w:p w:rsidR="004B6B50" w:rsidRDefault="004B6B50">
    <w:pPr>
      <w:pStyle w:val="headerpart"/>
      <w:jc w:val="right"/>
    </w:pPr>
  </w:p>
  <w:p w:rsidR="004B6B50" w:rsidRDefault="004B6B50">
    <w:pPr>
      <w:pBdr>
        <w:bottom w:val="single" w:sz="6" w:space="1" w:color="auto"/>
      </w:pBdr>
      <w:jc w:val="right"/>
      <w:rPr>
        <w:b/>
      </w:rPr>
    </w:pPr>
  </w:p>
  <w:p w:rsidR="004B6B50" w:rsidRDefault="004B6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3864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1AC8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40C7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6E8E7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33046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52C4B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EC3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3699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C49DAA"/>
    <w:lvl w:ilvl="0">
      <w:start w:val="1"/>
      <w:numFmt w:val="decimal"/>
      <w:pStyle w:val="ListNumber"/>
      <w:lvlText w:val="%1."/>
      <w:lvlJc w:val="left"/>
      <w:pPr>
        <w:tabs>
          <w:tab w:val="num" w:pos="360"/>
        </w:tabs>
        <w:ind w:left="360" w:hanging="360"/>
      </w:pPr>
    </w:lvl>
  </w:abstractNum>
  <w:abstractNum w:abstractNumId="9">
    <w:nsid w:val="FFFFFF89"/>
    <w:multiLevelType w:val="singleLevel"/>
    <w:tmpl w:val="AC2239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AF0F4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9236BF7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7CC9"/>
    <w:rsid w:val="003C7CC9"/>
    <w:rsid w:val="004B6B50"/>
    <w:rsid w:val="006A70F8"/>
    <w:rsid w:val="006D71BB"/>
    <w:rsid w:val="007B41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25"/>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3284</Words>
  <Characters>15210</Characters>
  <Application>Microsoft Office Word</Application>
  <DocSecurity>0</DocSecurity>
  <Lines>490</Lines>
  <Paragraphs>298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18196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1972 - 01-g0-01</dc:title>
  <dc:subject/>
  <dc:creator>Matthew Pether</dc:creator>
  <cp:keywords/>
  <cp:lastModifiedBy>svcMRProcess</cp:lastModifiedBy>
  <cp:revision>4</cp:revision>
  <cp:lastPrinted>2001-10-29T03:03:00Z</cp:lastPrinted>
  <dcterms:created xsi:type="dcterms:W3CDTF">2013-02-17T14:21:00Z</dcterms:created>
  <dcterms:modified xsi:type="dcterms:W3CDTF">2013-02-17T14:21:00Z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437</vt:i4>
  </property>
  <property fmtid="{D5CDD505-2E9C-101B-9397-08002B2CF9AE}" pid="6" name="AsAtDate">
    <vt:lpwstr>05 Nov 2010</vt:lpwstr>
  </property>
  <property fmtid="{D5CDD505-2E9C-101B-9397-08002B2CF9AE}" pid="7" name="Suffix">
    <vt:lpwstr>01-g0-01</vt:lpwstr>
  </property>
</Properties>
</file>