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Poisons Act 1964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Poisons Regulations 1965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smartTag w:uri="urn:schemas-microsoft-com:office:smarttags" w:element="State">
        <w:smartTag w:uri="urn:schemas-microsoft-com:office:smarttags" w:element="place">
          <w:r>
            <w:lastRenderedPageBreak/>
            <w:t>Western Australia</w:t>
          </w:r>
        </w:smartTag>
      </w:smartTag>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_Toc389746557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_Toc389746558 \h </w:instrText>
      </w:r>
      <w:r>
        <w:fldChar w:fldCharType="separate"/>
      </w:r>
      <w:r>
        <w:t>1</w:t>
      </w:r>
      <w:r>
        <w:fldChar w:fldCharType="end"/>
      </w:r>
    </w:p>
    <w:p>
      <w:pPr>
        <w:pStyle w:val="TOC8"/>
        <w:rPr>
          <w:rFonts w:asciiTheme="minorHAnsi" w:eastAsiaTheme="minorEastAsia" w:hAnsiTheme="minorHAnsi" w:cstheme="minorBidi"/>
          <w:szCs w:val="22"/>
        </w:rPr>
      </w:pPr>
      <w:r>
        <w:t>2AAA.</w:t>
      </w:r>
      <w:r>
        <w:tab/>
        <w:t>Notes not part of regulations</w:t>
      </w:r>
      <w:r>
        <w:tab/>
      </w:r>
      <w:r>
        <w:fldChar w:fldCharType="begin"/>
      </w:r>
      <w:r>
        <w:instrText xml:space="preserve"> PAGEREF _Toc389746559 \h </w:instrText>
      </w:r>
      <w:r>
        <w:fldChar w:fldCharType="separate"/>
      </w:r>
      <w:r>
        <w:t>6</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Prescribed office (section 64B)</w:t>
      </w:r>
      <w:r>
        <w:tab/>
      </w:r>
      <w:r>
        <w:fldChar w:fldCharType="begin"/>
      </w:r>
      <w:r>
        <w:instrText xml:space="preserve"> PAGEREF _Toc389746560 \h </w:instrText>
      </w:r>
      <w:r>
        <w:fldChar w:fldCharType="separate"/>
      </w:r>
      <w:r>
        <w:t>6</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Exemptions</w:t>
      </w:r>
      <w:r>
        <w:tab/>
      </w:r>
      <w:r>
        <w:fldChar w:fldCharType="begin"/>
      </w:r>
      <w:r>
        <w:instrText xml:space="preserve"> PAGEREF _Toc389746561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Endorsed health practitioners</w:t>
      </w:r>
    </w:p>
    <w:p>
      <w:pPr>
        <w:pStyle w:val="TOC8"/>
        <w:rPr>
          <w:rFonts w:asciiTheme="minorHAnsi" w:eastAsiaTheme="minorEastAsia" w:hAnsiTheme="minorHAnsi" w:cstheme="minorBidi"/>
          <w:szCs w:val="22"/>
        </w:rPr>
      </w:pPr>
      <w:r>
        <w:t>3A.</w:t>
      </w:r>
      <w:r>
        <w:tab/>
        <w:t>Optometrists</w:t>
      </w:r>
      <w:r>
        <w:tab/>
      </w:r>
      <w:r>
        <w:fldChar w:fldCharType="begin"/>
      </w:r>
      <w:r>
        <w:instrText xml:space="preserve"> PAGEREF _Toc389746563 \h </w:instrText>
      </w:r>
      <w:r>
        <w:fldChar w:fldCharType="separate"/>
      </w:r>
      <w:r>
        <w:t>8</w:t>
      </w:r>
      <w:r>
        <w:fldChar w:fldCharType="end"/>
      </w:r>
    </w:p>
    <w:p>
      <w:pPr>
        <w:pStyle w:val="TOC8"/>
        <w:rPr>
          <w:rFonts w:asciiTheme="minorHAnsi" w:eastAsiaTheme="minorEastAsia" w:hAnsiTheme="minorHAnsi" w:cstheme="minorBidi"/>
          <w:szCs w:val="22"/>
        </w:rPr>
      </w:pPr>
      <w:r>
        <w:t>3B.</w:t>
      </w:r>
      <w:r>
        <w:tab/>
        <w:t>Supply</w:t>
      </w:r>
      <w:r>
        <w:tab/>
      </w:r>
      <w:r>
        <w:fldChar w:fldCharType="begin"/>
      </w:r>
      <w:r>
        <w:instrText xml:space="preserve"> PAGEREF _Toc389746564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2 — Licences and permits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and permits</w:t>
      </w:r>
      <w:r>
        <w:tab/>
      </w:r>
      <w:r>
        <w:fldChar w:fldCharType="begin"/>
      </w:r>
      <w:r>
        <w:instrText xml:space="preserve"> PAGEREF _Toc389746567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Pharmacist’s licence to sell poisons</w:t>
      </w:r>
      <w:r>
        <w:tab/>
      </w:r>
      <w:r>
        <w:fldChar w:fldCharType="begin"/>
      </w:r>
      <w:r>
        <w:instrText xml:space="preserve"> PAGEREF _Toc389746568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poisons specified in Schedule 2 to the Act</w:t>
      </w:r>
      <w:r>
        <w:tab/>
      </w:r>
      <w:r>
        <w:fldChar w:fldCharType="begin"/>
      </w:r>
      <w:r>
        <w:instrText xml:space="preserve"> PAGEREF _Toc389746569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poisons included in Schedule 7 to the Act</w:t>
      </w:r>
      <w:r>
        <w:tab/>
      </w:r>
      <w:r>
        <w:fldChar w:fldCharType="begin"/>
      </w:r>
      <w:r>
        <w:instrText xml:space="preserve"> PAGEREF _Toc389746570 \h </w:instrText>
      </w:r>
      <w:r>
        <w:fldChar w:fldCharType="separate"/>
      </w:r>
      <w:r>
        <w:t>11</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w:t>
      </w:r>
      <w:r>
        <w:tab/>
      </w:r>
      <w:r>
        <w:fldChar w:fldCharType="begin"/>
      </w:r>
      <w:r>
        <w:instrText xml:space="preserve"> PAGEREF _Toc389746571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w:t>
      </w:r>
      <w:r>
        <w:tab/>
      </w:r>
      <w:r>
        <w:fldChar w:fldCharType="begin"/>
      </w:r>
      <w:r>
        <w:instrText xml:space="preserve"> PAGEREF _Toc389746572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w:t>
      </w:r>
      <w:r>
        <w:tab/>
      </w:r>
      <w:r>
        <w:fldChar w:fldCharType="begin"/>
      </w:r>
      <w:r>
        <w:instrText xml:space="preserve"> PAGEREF _Toc389746573 \h </w:instrText>
      </w:r>
      <w:r>
        <w:fldChar w:fldCharType="separate"/>
      </w:r>
      <w:r>
        <w:t>15</w:t>
      </w:r>
      <w:r>
        <w:fldChar w:fldCharType="end"/>
      </w:r>
    </w:p>
    <w:p>
      <w:pPr>
        <w:pStyle w:val="TOC8"/>
        <w:rPr>
          <w:rFonts w:asciiTheme="minorHAnsi" w:eastAsiaTheme="minorEastAsia" w:hAnsiTheme="minorHAnsi" w:cstheme="minorBidi"/>
          <w:szCs w:val="22"/>
        </w:rPr>
      </w:pPr>
      <w:r>
        <w:t>10AA.</w:t>
      </w:r>
      <w:r>
        <w:tab/>
        <w:t>Poisons permit (health services)</w:t>
      </w:r>
      <w:r>
        <w:tab/>
      </w:r>
      <w:r>
        <w:fldChar w:fldCharType="begin"/>
      </w:r>
      <w:r>
        <w:instrText xml:space="preserve"> PAGEREF _Toc389746574 \h </w:instrText>
      </w:r>
      <w:r>
        <w:fldChar w:fldCharType="separate"/>
      </w:r>
      <w:r>
        <w:t>15</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w:t>
      </w:r>
      <w:r>
        <w:tab/>
      </w:r>
      <w:r>
        <w:fldChar w:fldCharType="begin"/>
      </w:r>
      <w:r>
        <w:instrText xml:space="preserve"> PAGEREF _Toc389746575 \h </w:instrText>
      </w:r>
      <w:r>
        <w:fldChar w:fldCharType="separate"/>
      </w:r>
      <w:r>
        <w:t>16</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w:t>
      </w:r>
      <w:r>
        <w:tab/>
      </w:r>
      <w:r>
        <w:fldChar w:fldCharType="begin"/>
      </w:r>
      <w:r>
        <w:instrText xml:space="preserve"> PAGEREF _Toc389746576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CEO</w:t>
      </w:r>
      <w:r>
        <w:rPr>
          <w:snapToGrid w:val="0"/>
        </w:rPr>
        <w:t xml:space="preserve"> may designate remote area nursing posts</w:t>
      </w:r>
      <w:r>
        <w:tab/>
      </w:r>
      <w:r>
        <w:fldChar w:fldCharType="begin"/>
      </w:r>
      <w:r>
        <w:instrText xml:space="preserve"> PAGEREF _Toc389746577 \h </w:instrText>
      </w:r>
      <w:r>
        <w:fldChar w:fldCharType="separate"/>
      </w:r>
      <w:r>
        <w:t>16</w:t>
      </w:r>
      <w:r>
        <w:fldChar w:fldCharType="end"/>
      </w:r>
    </w:p>
    <w:p>
      <w:pPr>
        <w:pStyle w:val="TOC8"/>
        <w:rPr>
          <w:rFonts w:asciiTheme="minorHAnsi" w:eastAsiaTheme="minorEastAsia" w:hAnsiTheme="minorHAnsi" w:cstheme="minorBidi"/>
          <w:szCs w:val="22"/>
        </w:rPr>
      </w:pPr>
      <w:r>
        <w:t>11A.</w:t>
      </w:r>
      <w:r>
        <w:tab/>
        <w:t>CEO may designate areas for the purposes of section 23 of the Act</w:t>
      </w:r>
      <w:r>
        <w:tab/>
      </w:r>
      <w:r>
        <w:fldChar w:fldCharType="begin"/>
      </w:r>
      <w:r>
        <w:instrText xml:space="preserve"> PAGEREF _Toc389746578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for licence or permit (sections 24 and 25)</w:t>
      </w:r>
      <w:r>
        <w:tab/>
      </w:r>
      <w:r>
        <w:fldChar w:fldCharType="begin"/>
      </w:r>
      <w:r>
        <w:instrText xml:space="preserve"> PAGEREF _Toc389746579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needle and syringe programme</w:t>
      </w:r>
      <w:r>
        <w:tab/>
      </w:r>
      <w:r>
        <w:fldChar w:fldCharType="begin"/>
      </w:r>
      <w:r>
        <w:instrText xml:space="preserve"> PAGEREF _Toc389746581 \h </w:instrText>
      </w:r>
      <w:r>
        <w:fldChar w:fldCharType="separate"/>
      </w:r>
      <w:r>
        <w:t>18</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w:t>
      </w:r>
      <w:r>
        <w:tab/>
      </w:r>
      <w:r>
        <w:fldChar w:fldCharType="begin"/>
      </w:r>
      <w:r>
        <w:instrText xml:space="preserve"> PAGEREF _Toc389746582 \h </w:instrText>
      </w:r>
      <w:r>
        <w:fldChar w:fldCharType="separate"/>
      </w:r>
      <w:r>
        <w:t>19</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Duties of coordinator</w:t>
      </w:r>
      <w:r>
        <w:tab/>
      </w:r>
      <w:r>
        <w:fldChar w:fldCharType="begin"/>
      </w:r>
      <w:r>
        <w:instrText xml:space="preserve"> PAGEREF _Toc389746583 \h </w:instrText>
      </w:r>
      <w:r>
        <w:fldChar w:fldCharType="separate"/>
      </w:r>
      <w:r>
        <w:t>19</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_Toc389746584 \h </w:instrText>
      </w:r>
      <w:r>
        <w:fldChar w:fldCharType="separate"/>
      </w:r>
      <w:r>
        <w:t>20</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 not to participate in programme</w:t>
      </w:r>
      <w:r>
        <w:tab/>
      </w:r>
      <w:r>
        <w:fldChar w:fldCharType="begin"/>
      </w:r>
      <w:r>
        <w:instrText xml:space="preserve"> PAGEREF _Toc389746585 \h </w:instrText>
      </w:r>
      <w:r>
        <w:fldChar w:fldCharType="separate"/>
      </w:r>
      <w:r>
        <w:t>20</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Requirements relating to used hypodermic needles and syringes</w:t>
      </w:r>
      <w:r>
        <w:tab/>
      </w:r>
      <w:r>
        <w:fldChar w:fldCharType="begin"/>
      </w:r>
      <w:r>
        <w:instrText xml:space="preserve"> PAGEREF _Toc389746586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Restriction to issue of licence or permit</w:t>
      </w:r>
      <w:r>
        <w:tab/>
      </w:r>
      <w:r>
        <w:fldChar w:fldCharType="begin"/>
      </w:r>
      <w:r>
        <w:instrText xml:space="preserve"> PAGEREF _Toc389746588 \h </w:instrText>
      </w:r>
      <w:r>
        <w:fldChar w:fldCharType="separate"/>
      </w:r>
      <w:r>
        <w:t>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only by licensee</w:t>
      </w:r>
      <w:r>
        <w:tab/>
      </w:r>
      <w:r>
        <w:fldChar w:fldCharType="begin"/>
      </w:r>
      <w:r>
        <w:instrText xml:space="preserve"> PAGEREF _Toc389746589 \h </w:instrText>
      </w:r>
      <w:r>
        <w:fldChar w:fldCharType="separate"/>
      </w:r>
      <w:r>
        <w:t>22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_Toc389746590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_Toc389746591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3 — Containers and labels</w:t>
      </w:r>
    </w:p>
    <w:p>
      <w:pPr>
        <w:pStyle w:val="TOC4"/>
        <w:tabs>
          <w:tab w:val="right" w:leader="dot" w:pos="7086"/>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Adoption of SUSMP for containers and labels</w:t>
      </w:r>
      <w:r>
        <w:tab/>
      </w:r>
      <w:r>
        <w:fldChar w:fldCharType="begin"/>
      </w:r>
      <w:r>
        <w:instrText xml:space="preserve"> PAGEREF _Toc389746594 \h </w:instrText>
      </w:r>
      <w:r>
        <w:fldChar w:fldCharType="separate"/>
      </w:r>
      <w:r>
        <w:t>24</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Certain containers prohibited</w:t>
      </w:r>
      <w:r>
        <w:tab/>
      </w:r>
      <w:r>
        <w:fldChar w:fldCharType="begin"/>
      </w:r>
      <w:r>
        <w:instrText xml:space="preserve"> PAGEREF _Toc389746595 \h </w:instrText>
      </w:r>
      <w:r>
        <w:fldChar w:fldCharType="separate"/>
      </w:r>
      <w:r>
        <w:t>24</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_Toc389746596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w:t>
      </w:r>
      <w:r>
        <w:tab/>
      </w:r>
      <w:r>
        <w:fldChar w:fldCharType="begin"/>
      </w:r>
      <w:r>
        <w:instrText xml:space="preserve"> PAGEREF _Toc389746598 \h </w:instrText>
      </w:r>
      <w:r>
        <w:fldChar w:fldCharType="separate"/>
      </w:r>
      <w:r>
        <w:t>25</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container must have appropriate label</w:t>
      </w:r>
      <w:r>
        <w:tab/>
      </w:r>
      <w:r>
        <w:fldChar w:fldCharType="begin"/>
      </w:r>
      <w:r>
        <w:instrText xml:space="preserve"> PAGEREF _Toc389746599 \h </w:instrText>
      </w:r>
      <w:r>
        <w:fldChar w:fldCharType="separate"/>
      </w:r>
      <w:r>
        <w:t>28</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_Toc389746600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r>
      <w:r>
        <w:t>CEO</w:t>
      </w:r>
      <w:r>
        <w:rPr>
          <w:snapToGrid w:val="0"/>
        </w:rPr>
        <w:t xml:space="preserve"> may approve container or label</w:t>
      </w:r>
      <w:r>
        <w:tab/>
      </w:r>
      <w:r>
        <w:fldChar w:fldCharType="begin"/>
      </w:r>
      <w:r>
        <w:instrText xml:space="preserve"> PAGEREF _Toc389746602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t>CEO</w:t>
      </w:r>
      <w:r>
        <w:rPr>
          <w:snapToGrid w:val="0"/>
          <w:spacing w:val="-4"/>
        </w:rPr>
        <w:t xml:space="preserve"> may suspend use of container or label</w:t>
      </w:r>
      <w:r>
        <w:tab/>
      </w:r>
      <w:r>
        <w:fldChar w:fldCharType="begin"/>
      </w:r>
      <w:r>
        <w:instrText xml:space="preserve"> PAGEREF _Toc389746603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substances other than those specified in regulation 56</w:t>
      </w:r>
      <w:r>
        <w:tab/>
      </w:r>
      <w:r>
        <w:fldChar w:fldCharType="begin"/>
      </w:r>
      <w:r>
        <w:instrText xml:space="preserve"> PAGEREF _Toc389746605 \h </w:instrText>
      </w:r>
      <w:r>
        <w:fldChar w:fldCharType="separate"/>
      </w:r>
      <w:r>
        <w:t>31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_Toc389746606 \h </w:instrText>
      </w:r>
      <w:r>
        <w:fldChar w:fldCharType="separate"/>
      </w:r>
      <w:r>
        <w:t>31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loss or theft of poison</w:t>
      </w:r>
      <w:r>
        <w:tab/>
      </w:r>
      <w:r>
        <w:fldChar w:fldCharType="begin"/>
      </w:r>
      <w:r>
        <w:instrText xml:space="preserve"> PAGEREF _Toc389746607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Electronic prescribing systems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_Toc389746609 \h </w:instrText>
      </w:r>
      <w:r>
        <w:fldChar w:fldCharType="separate"/>
      </w:r>
      <w:r>
        <w:t>32</w:t>
      </w:r>
      <w:r>
        <w:fldChar w:fldCharType="end"/>
      </w:r>
    </w:p>
    <w:p>
      <w:pPr>
        <w:pStyle w:val="TOC8"/>
        <w:rPr>
          <w:rFonts w:asciiTheme="minorHAnsi" w:eastAsiaTheme="minorEastAsia" w:hAnsiTheme="minorHAnsi" w:cstheme="minorBidi"/>
          <w:szCs w:val="22"/>
        </w:rPr>
      </w:pPr>
      <w:r>
        <w:t>32B.</w:t>
      </w:r>
      <w:r>
        <w:tab/>
        <w:t>Approval of electronic prescribing systems</w:t>
      </w:r>
      <w:r>
        <w:tab/>
      </w:r>
      <w:r>
        <w:fldChar w:fldCharType="begin"/>
      </w:r>
      <w:r>
        <w:instrText xml:space="preserve"> PAGEREF _Toc389746610 \h </w:instrText>
      </w:r>
      <w:r>
        <w:fldChar w:fldCharType="separate"/>
      </w:r>
      <w:r>
        <w:t>32</w:t>
      </w:r>
      <w:r>
        <w:fldChar w:fldCharType="end"/>
      </w:r>
    </w:p>
    <w:p>
      <w:pPr>
        <w:pStyle w:val="TOC8"/>
        <w:rPr>
          <w:rFonts w:asciiTheme="minorHAnsi" w:eastAsiaTheme="minorEastAsia" w:hAnsiTheme="minorHAnsi" w:cstheme="minorBidi"/>
          <w:szCs w:val="22"/>
        </w:rPr>
      </w:pPr>
      <w:r>
        <w:t>32C.</w:t>
      </w:r>
      <w:r>
        <w:tab/>
        <w:t>System administrators</w:t>
      </w:r>
      <w:r>
        <w:tab/>
      </w:r>
      <w:r>
        <w:fldChar w:fldCharType="begin"/>
      </w:r>
      <w:r>
        <w:instrText xml:space="preserve"> PAGEREF _Toc389746611 \h </w:instrText>
      </w:r>
      <w:r>
        <w:fldChar w:fldCharType="separate"/>
      </w:r>
      <w:r>
        <w:t>34</w:t>
      </w:r>
      <w:r>
        <w:fldChar w:fldCharType="end"/>
      </w:r>
    </w:p>
    <w:p>
      <w:pPr>
        <w:pStyle w:val="TOC8"/>
        <w:rPr>
          <w:rFonts w:asciiTheme="minorHAnsi" w:eastAsiaTheme="minorEastAsia" w:hAnsiTheme="minorHAnsi" w:cstheme="minorBidi"/>
          <w:szCs w:val="22"/>
        </w:rPr>
      </w:pPr>
      <w:r>
        <w:t>32D.</w:t>
      </w:r>
      <w:r>
        <w:tab/>
        <w:t>Offence provisions</w:t>
      </w:r>
      <w:r>
        <w:tab/>
      </w:r>
      <w:r>
        <w:fldChar w:fldCharType="begin"/>
      </w:r>
      <w:r>
        <w:instrText xml:space="preserve"> PAGEREF _Toc389746612 \h </w:instrText>
      </w:r>
      <w:r>
        <w:fldChar w:fldCharType="separate"/>
      </w:r>
      <w:r>
        <w:t>34</w:t>
      </w:r>
      <w:r>
        <w:fldChar w:fldCharType="end"/>
      </w:r>
    </w:p>
    <w:p>
      <w:pPr>
        <w:pStyle w:val="TOC8"/>
        <w:rPr>
          <w:rFonts w:asciiTheme="minorHAnsi" w:eastAsiaTheme="minorEastAsia" w:hAnsiTheme="minorHAnsi" w:cstheme="minorBidi"/>
          <w:szCs w:val="22"/>
        </w:rPr>
      </w:pPr>
      <w:r>
        <w:t>32E.</w:t>
      </w:r>
      <w:r>
        <w:tab/>
        <w:t>Miscellaneous rules</w:t>
      </w:r>
      <w:r>
        <w:tab/>
      </w:r>
      <w:r>
        <w:fldChar w:fldCharType="begin"/>
      </w:r>
      <w:r>
        <w:instrText xml:space="preserve"> PAGEREF _Toc389746613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5 — Sale, supply and use of poisons</w:t>
      </w:r>
    </w:p>
    <w:p>
      <w:pPr>
        <w:pStyle w:val="TOC4"/>
        <w:tabs>
          <w:tab w:val="right" w:leader="dot" w:pos="7086"/>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w:t>
      </w:r>
      <w:r>
        <w:tab/>
      </w:r>
      <w:r>
        <w:fldChar w:fldCharType="begin"/>
      </w:r>
      <w:r>
        <w:instrText xml:space="preserve"> PAGEREF _Toc389746616 \h </w:instrText>
      </w:r>
      <w:r>
        <w:fldChar w:fldCharType="separate"/>
      </w:r>
      <w:r>
        <w:t>36</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Restrictions applying to veterinary preparations</w:t>
      </w:r>
      <w:r>
        <w:tab/>
      </w:r>
      <w:r>
        <w:fldChar w:fldCharType="begin"/>
      </w:r>
      <w:r>
        <w:instrText xml:space="preserve"> PAGEREF _Toc389746617 \h </w:instrText>
      </w:r>
      <w:r>
        <w:fldChar w:fldCharType="separate"/>
      </w:r>
      <w:r>
        <w:t>36</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Adoption of SUSMP for certain paints</w:t>
      </w:r>
      <w:r>
        <w:tab/>
      </w:r>
      <w:r>
        <w:fldChar w:fldCharType="begin"/>
      </w:r>
      <w:r>
        <w:instrText xml:space="preserve"> PAGEREF _Toc389746618 \h </w:instrText>
      </w:r>
      <w:r>
        <w:fldChar w:fldCharType="separate"/>
      </w:r>
      <w:r>
        <w:t>36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Restrictions on retail sale of substances included in Schedule 2</w:t>
      </w:r>
      <w:r>
        <w:tab/>
      </w:r>
      <w:r>
        <w:fldChar w:fldCharType="begin"/>
      </w:r>
      <w:r>
        <w:instrText xml:space="preserve"> PAGEREF _Toc389746619 \h </w:instrText>
      </w:r>
      <w:r>
        <w:fldChar w:fldCharType="separate"/>
      </w:r>
      <w:r>
        <w:t>37</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Restrictions on retail sale of substances included in Schedule 3</w:t>
      </w:r>
      <w:r>
        <w:tab/>
      </w:r>
      <w:r>
        <w:fldChar w:fldCharType="begin"/>
      </w:r>
      <w:r>
        <w:instrText xml:space="preserve"> PAGEREF _Toc389746620 \h </w:instrText>
      </w:r>
      <w:r>
        <w:fldChar w:fldCharType="separate"/>
      </w:r>
      <w:r>
        <w:t>37</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Storage of substances included in Schedule 3</w:t>
      </w:r>
      <w:r>
        <w:tab/>
      </w:r>
      <w:r>
        <w:fldChar w:fldCharType="begin"/>
      </w:r>
      <w:r>
        <w:instrText xml:space="preserve"> PAGEREF _Toc389746621 \h </w:instrText>
      </w:r>
      <w:r>
        <w:fldChar w:fldCharType="separate"/>
      </w:r>
      <w:r>
        <w:t>39</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Advertising of substances included in Schedule 3</w:t>
      </w:r>
      <w:r>
        <w:tab/>
      </w:r>
      <w:r>
        <w:fldChar w:fldCharType="begin"/>
      </w:r>
      <w:r>
        <w:instrText xml:space="preserve"> PAGEREF _Toc389746622 \h </w:instrText>
      </w:r>
      <w:r>
        <w:fldChar w:fldCharType="separate"/>
      </w:r>
      <w:r>
        <w:t>39</w:t>
      </w:r>
      <w:r>
        <w:fldChar w:fldCharType="end"/>
      </w:r>
    </w:p>
    <w:p>
      <w:pPr>
        <w:pStyle w:val="TOC8"/>
        <w:rPr>
          <w:rFonts w:asciiTheme="minorHAnsi" w:eastAsiaTheme="minorEastAsia" w:hAnsiTheme="minorHAnsi" w:cstheme="minorBidi"/>
          <w:szCs w:val="22"/>
        </w:rPr>
      </w:pPr>
      <w:r>
        <w:t>35D.</w:t>
      </w:r>
      <w:r>
        <w:tab/>
        <w:t>Advertising of substances included in Schedule 4</w:t>
      </w:r>
      <w:r>
        <w:tab/>
      </w:r>
      <w:r>
        <w:fldChar w:fldCharType="begin"/>
      </w:r>
      <w:r>
        <w:instrText xml:space="preserve"> PAGEREF _Toc389746623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Supply of poisons included in Schedule 4</w:t>
      </w:r>
      <w:r>
        <w:tab/>
      </w:r>
      <w:r>
        <w:fldChar w:fldCharType="begin"/>
      </w:r>
      <w:r>
        <w:instrText xml:space="preserve"> PAGEREF _Toc389746625 \h </w:instrText>
      </w:r>
      <w:r>
        <w:fldChar w:fldCharType="separate"/>
      </w:r>
      <w:r>
        <w:t>41</w:t>
      </w:r>
      <w:r>
        <w:fldChar w:fldCharType="end"/>
      </w:r>
    </w:p>
    <w:p>
      <w:pPr>
        <w:pStyle w:val="TOC8"/>
        <w:rPr>
          <w:rFonts w:asciiTheme="minorHAnsi" w:eastAsiaTheme="minorEastAsia" w:hAnsiTheme="minorHAnsi" w:cstheme="minorBidi"/>
          <w:szCs w:val="22"/>
        </w:rPr>
      </w:pPr>
      <w:r>
        <w:t>36AA.</w:t>
      </w:r>
      <w:r>
        <w:tab/>
        <w:t>Provision of approved starter packs by registered nurses</w:t>
      </w:r>
      <w:r>
        <w:tab/>
      </w:r>
      <w:r>
        <w:fldChar w:fldCharType="begin"/>
      </w:r>
      <w:r>
        <w:instrText xml:space="preserve"> PAGEREF _Toc389746626 \h </w:instrText>
      </w:r>
      <w:r>
        <w:fldChar w:fldCharType="separate"/>
      </w:r>
      <w:r>
        <w:t>45</w:t>
      </w:r>
      <w:r>
        <w:fldChar w:fldCharType="end"/>
      </w:r>
    </w:p>
    <w:p>
      <w:pPr>
        <w:pStyle w:val="TOC8"/>
        <w:rPr>
          <w:rFonts w:asciiTheme="minorHAnsi" w:eastAsiaTheme="minorEastAsia" w:hAnsiTheme="minorHAnsi" w:cstheme="minorBidi"/>
          <w:szCs w:val="22"/>
        </w:rPr>
      </w:pPr>
      <w:r>
        <w:t>36AAB.</w:t>
      </w:r>
      <w:r>
        <w:tab/>
        <w:t>Provision of psychiatric emergency packs by certain registered nurses</w:t>
      </w:r>
      <w:r>
        <w:tab/>
      </w:r>
      <w:r>
        <w:fldChar w:fldCharType="begin"/>
      </w:r>
      <w:r>
        <w:instrText xml:space="preserve"> PAGEREF _Toc389746627 \h </w:instrText>
      </w:r>
      <w:r>
        <w:fldChar w:fldCharType="separate"/>
      </w:r>
      <w:r>
        <w:t>49</w:t>
      </w:r>
      <w:r>
        <w:fldChar w:fldCharType="end"/>
      </w:r>
    </w:p>
    <w:p>
      <w:pPr>
        <w:pStyle w:val="TOC8"/>
        <w:rPr>
          <w:rFonts w:asciiTheme="minorHAnsi" w:eastAsiaTheme="minorEastAsia" w:hAnsiTheme="minorHAnsi" w:cstheme="minorBidi"/>
          <w:szCs w:val="22"/>
        </w:rPr>
      </w:pPr>
      <w:r>
        <w:t>36A.</w:t>
      </w:r>
      <w:r>
        <w:tab/>
        <w:t>Storage of substances included in Schedule 4</w:t>
      </w:r>
      <w:r>
        <w:tab/>
      </w:r>
      <w:r>
        <w:fldChar w:fldCharType="begin"/>
      </w:r>
      <w:r>
        <w:instrText xml:space="preserve"> PAGEREF _Toc389746628 \h </w:instrText>
      </w:r>
      <w:r>
        <w:fldChar w:fldCharType="separate"/>
      </w:r>
      <w:r>
        <w:t>53</w:t>
      </w:r>
      <w:r>
        <w:fldChar w:fldCharType="end"/>
      </w:r>
    </w:p>
    <w:p>
      <w:pPr>
        <w:pStyle w:val="TOC8"/>
        <w:rPr>
          <w:rFonts w:asciiTheme="minorHAnsi" w:eastAsiaTheme="minorEastAsia" w:hAnsiTheme="minorHAnsi" w:cstheme="minorBidi"/>
          <w:szCs w:val="22"/>
        </w:rPr>
      </w:pPr>
      <w:r>
        <w:t>36B.</w:t>
      </w:r>
      <w:r>
        <w:tab/>
        <w:t>Record of supply or administration of substances included in Schedule 4</w:t>
      </w:r>
      <w:r>
        <w:tab/>
      </w:r>
      <w:r>
        <w:fldChar w:fldCharType="begin"/>
      </w:r>
      <w:r>
        <w:instrText xml:space="preserve"> PAGEREF _Toc389746629 \h </w:instrText>
      </w:r>
      <w:r>
        <w:fldChar w:fldCharType="separate"/>
      </w:r>
      <w:r>
        <w:t>55</w:t>
      </w:r>
      <w:r>
        <w:fldChar w:fldCharType="end"/>
      </w:r>
    </w:p>
    <w:p>
      <w:pPr>
        <w:pStyle w:val="TOC8"/>
        <w:rPr>
          <w:rFonts w:asciiTheme="minorHAnsi" w:eastAsiaTheme="minorEastAsia" w:hAnsiTheme="minorHAnsi" w:cstheme="minorBidi"/>
          <w:szCs w:val="22"/>
        </w:rPr>
      </w:pPr>
      <w:r>
        <w:t>37A.</w:t>
      </w:r>
      <w:r>
        <w:tab/>
        <w:t>H1N1 Pandemic Influenza Vaccine — exemption from specified provisions of the Act</w:t>
      </w:r>
      <w:r>
        <w:tab/>
      </w:r>
      <w:r>
        <w:fldChar w:fldCharType="begin"/>
      </w:r>
      <w:r>
        <w:instrText xml:space="preserve"> PAGEREF _Toc389746630 \h </w:instrText>
      </w:r>
      <w:r>
        <w:fldChar w:fldCharType="separate"/>
      </w:r>
      <w:r>
        <w:t>55</w:t>
      </w:r>
      <w:r>
        <w:fldChar w:fldCharType="end"/>
      </w:r>
    </w:p>
    <w:p>
      <w:pPr>
        <w:pStyle w:val="TOC8"/>
        <w:rPr>
          <w:rFonts w:asciiTheme="minorHAnsi" w:eastAsiaTheme="minorEastAsia" w:hAnsiTheme="minorHAnsi" w:cstheme="minorBidi"/>
          <w:szCs w:val="22"/>
        </w:rPr>
      </w:pPr>
      <w:r>
        <w:t>37B.</w:t>
      </w:r>
      <w:r>
        <w:tab/>
        <w:t>Vaccines — exemption from specified provisions of the Act</w:t>
      </w:r>
      <w:r>
        <w:tab/>
      </w:r>
      <w:r>
        <w:fldChar w:fldCharType="begin"/>
      </w:r>
      <w:r>
        <w:instrText xml:space="preserve"> PAGEREF _Toc389746631 \h </w:instrText>
      </w:r>
      <w:r>
        <w:fldChar w:fldCharType="separate"/>
      </w:r>
      <w:r>
        <w:t>56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Conditions for prescription of a poison included in Schedule 4</w:t>
      </w:r>
      <w:r>
        <w:tab/>
      </w:r>
      <w:r>
        <w:fldChar w:fldCharType="begin"/>
      </w:r>
      <w:r>
        <w:instrText xml:space="preserve"> PAGEREF _Toc389746632 \h </w:instrText>
      </w:r>
      <w:r>
        <w:fldChar w:fldCharType="separate"/>
      </w:r>
      <w:r>
        <w:t>57</w:t>
      </w:r>
      <w:r>
        <w:fldChar w:fldCharType="end"/>
      </w:r>
    </w:p>
    <w:p>
      <w:pPr>
        <w:pStyle w:val="TOC8"/>
        <w:rPr>
          <w:rFonts w:asciiTheme="minorHAnsi" w:eastAsiaTheme="minorEastAsia" w:hAnsiTheme="minorHAnsi" w:cstheme="minorBidi"/>
          <w:szCs w:val="22"/>
        </w:rPr>
      </w:pPr>
      <w:r>
        <w:t>38A.</w:t>
      </w:r>
      <w:r>
        <w:tab/>
        <w:t>Prescriptions for poisons included in Schedule 4 for patient discharged from public hospital</w:t>
      </w:r>
      <w:r>
        <w:tab/>
      </w:r>
      <w:r>
        <w:fldChar w:fldCharType="begin"/>
      </w:r>
      <w:r>
        <w:instrText xml:space="preserve"> PAGEREF _Toc389746633 \h </w:instrText>
      </w:r>
      <w:r>
        <w:fldChar w:fldCharType="separate"/>
      </w:r>
      <w:r>
        <w:t>59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poisons included in Schedule 4 in emergency cases</w:t>
      </w:r>
      <w:r>
        <w:tab/>
      </w:r>
      <w:r>
        <w:fldChar w:fldCharType="begin"/>
      </w:r>
      <w:r>
        <w:instrText xml:space="preserve"> PAGEREF _Toc389746634 \h </w:instrText>
      </w:r>
      <w:r>
        <w:fldChar w:fldCharType="separate"/>
      </w:r>
      <w:r>
        <w:t>60</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Administration of poisons included in Schedule 4 in hospital</w:t>
      </w:r>
      <w:r>
        <w:tab/>
      </w:r>
      <w:r>
        <w:fldChar w:fldCharType="begin"/>
      </w:r>
      <w:r>
        <w:instrText xml:space="preserve"> PAGEREF _Toc389746635 \h </w:instrText>
      </w:r>
      <w:r>
        <w:fldChar w:fldCharType="separate"/>
      </w:r>
      <w:r>
        <w:t>60</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w:t>
      </w:r>
      <w:r>
        <w:tab/>
      </w:r>
      <w:r>
        <w:fldChar w:fldCharType="begin"/>
      </w:r>
      <w:r>
        <w:instrText xml:space="preserve"> PAGEREF _Toc389746636 \h </w:instrText>
      </w:r>
      <w:r>
        <w:fldChar w:fldCharType="separate"/>
      </w:r>
      <w:r>
        <w:t>61</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w:t>
      </w:r>
      <w:r>
        <w:tab/>
      </w:r>
      <w:r>
        <w:fldChar w:fldCharType="begin"/>
      </w:r>
      <w:r>
        <w:instrText xml:space="preserve"> PAGEREF _Toc389746637 \h </w:instrText>
      </w:r>
      <w:r>
        <w:fldChar w:fldCharType="separate"/>
      </w:r>
      <w:r>
        <w:t>61</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w:t>
      </w:r>
      <w:r>
        <w:tab/>
      </w:r>
      <w:r>
        <w:fldChar w:fldCharType="begin"/>
      </w:r>
      <w:r>
        <w:instrText xml:space="preserve"> PAGEREF _Toc389746638 \h </w:instrText>
      </w:r>
      <w:r>
        <w:fldChar w:fldCharType="separate"/>
      </w:r>
      <w:r>
        <w:t>62</w:t>
      </w:r>
      <w:r>
        <w:fldChar w:fldCharType="end"/>
      </w:r>
    </w:p>
    <w:p>
      <w:pPr>
        <w:pStyle w:val="TOC8"/>
        <w:rPr>
          <w:rFonts w:asciiTheme="minorHAnsi" w:eastAsiaTheme="minorEastAsia" w:hAnsiTheme="minorHAnsi" w:cstheme="minorBidi"/>
          <w:szCs w:val="22"/>
        </w:rPr>
      </w:pPr>
      <w:r>
        <w:t>38F.</w:t>
      </w:r>
      <w:r>
        <w:tab/>
        <w:t>Isotr</w:t>
      </w:r>
      <w:r>
        <w:rPr>
          <w:snapToGrid w:val="0"/>
        </w:rPr>
        <w:t>e</w:t>
      </w:r>
      <w:r>
        <w:t>tinoin</w:t>
      </w:r>
      <w:r>
        <w:tab/>
      </w:r>
      <w:r>
        <w:fldChar w:fldCharType="begin"/>
      </w:r>
      <w:r>
        <w:instrText xml:space="preserve"> PAGEREF _Toc389746639 \h </w:instrText>
      </w:r>
      <w:r>
        <w:fldChar w:fldCharType="separate"/>
      </w:r>
      <w:r>
        <w:t>63</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Thalidomide for human use</w:t>
      </w:r>
      <w:r>
        <w:tab/>
      </w:r>
      <w:r>
        <w:fldChar w:fldCharType="begin"/>
      </w:r>
      <w:r>
        <w:instrText xml:space="preserve"> PAGEREF _Toc389746640 \h </w:instrText>
      </w:r>
      <w:r>
        <w:fldChar w:fldCharType="separate"/>
      </w:r>
      <w:r>
        <w:t>63</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w:t>
      </w:r>
      <w:r>
        <w:tab/>
      </w:r>
      <w:r>
        <w:fldChar w:fldCharType="begin"/>
      </w:r>
      <w:r>
        <w:instrText xml:space="preserve"> PAGEREF _Toc389746641 \h </w:instrText>
      </w:r>
      <w:r>
        <w:fldChar w:fldCharType="separate"/>
      </w:r>
      <w:r>
        <w:t>64</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w:t>
      </w:r>
      <w:r>
        <w:tab/>
      </w:r>
      <w:r>
        <w:fldChar w:fldCharType="begin"/>
      </w:r>
      <w:r>
        <w:instrText xml:space="preserve"> PAGEREF _Toc389746642 \h </w:instrText>
      </w:r>
      <w:r>
        <w:fldChar w:fldCharType="separate"/>
      </w:r>
      <w:r>
        <w:t>64</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w:t>
      </w:r>
      <w:r>
        <w:tab/>
      </w:r>
      <w:r>
        <w:fldChar w:fldCharType="begin"/>
      </w:r>
      <w:r>
        <w:instrText xml:space="preserve"> PAGEREF _Toc389746643 \h </w:instrText>
      </w:r>
      <w:r>
        <w:fldChar w:fldCharType="separate"/>
      </w:r>
      <w:r>
        <w:t>65</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w:t>
      </w:r>
      <w:r>
        <w:tab/>
      </w:r>
      <w:r>
        <w:fldChar w:fldCharType="begin"/>
      </w:r>
      <w:r>
        <w:instrText xml:space="preserve"> PAGEREF _Toc389746644 \h </w:instrText>
      </w:r>
      <w:r>
        <w:fldChar w:fldCharType="separate"/>
      </w:r>
      <w:r>
        <w:t>65</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w:t>
      </w:r>
      <w:r>
        <w:tab/>
      </w:r>
      <w:r>
        <w:fldChar w:fldCharType="begin"/>
      </w:r>
      <w:r>
        <w:instrText xml:space="preserve"> PAGEREF _Toc389746645 \h </w:instrText>
      </w:r>
      <w:r>
        <w:fldChar w:fldCharType="separate"/>
      </w:r>
      <w:r>
        <w:t>65</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Nitrofuran derivatives</w:t>
      </w:r>
      <w:r>
        <w:tab/>
      </w:r>
      <w:r>
        <w:fldChar w:fldCharType="begin"/>
      </w:r>
      <w:r>
        <w:instrText xml:space="preserve"> PAGEREF _Toc389746646 \h </w:instrText>
      </w:r>
      <w:r>
        <w:fldChar w:fldCharType="separate"/>
      </w:r>
      <w:r>
        <w:t>65</w:t>
      </w:r>
      <w:r>
        <w:fldChar w:fldCharType="end"/>
      </w:r>
    </w:p>
    <w:p>
      <w:pPr>
        <w:pStyle w:val="TOC8"/>
        <w:rPr>
          <w:rFonts w:asciiTheme="minorHAnsi" w:eastAsiaTheme="minorEastAsia" w:hAnsiTheme="minorHAnsi" w:cstheme="minorBidi"/>
          <w:szCs w:val="22"/>
        </w:rPr>
      </w:pPr>
      <w:r>
        <w:t>38O.</w:t>
      </w:r>
      <w:r>
        <w:tab/>
        <w:t>Bosentan for human use</w:t>
      </w:r>
      <w:r>
        <w:tab/>
      </w:r>
      <w:r>
        <w:fldChar w:fldCharType="begin"/>
      </w:r>
      <w:r>
        <w:instrText xml:space="preserve"> PAGEREF _Toc389746647 \h </w:instrText>
      </w:r>
      <w:r>
        <w:fldChar w:fldCharType="separate"/>
      </w:r>
      <w:r>
        <w:t>66</w:t>
      </w:r>
      <w:r>
        <w:fldChar w:fldCharType="end"/>
      </w:r>
    </w:p>
    <w:p>
      <w:pPr>
        <w:pStyle w:val="TOC8"/>
        <w:rPr>
          <w:rFonts w:asciiTheme="minorHAnsi" w:eastAsiaTheme="minorEastAsia" w:hAnsiTheme="minorHAnsi" w:cstheme="minorBidi"/>
          <w:szCs w:val="22"/>
        </w:rPr>
      </w:pPr>
      <w:r>
        <w:t>38P.</w:t>
      </w:r>
      <w:r>
        <w:tab/>
        <w:t>Teriparatide for human use</w:t>
      </w:r>
      <w:r>
        <w:tab/>
      </w:r>
      <w:r>
        <w:fldChar w:fldCharType="begin"/>
      </w:r>
      <w:r>
        <w:instrText xml:space="preserve"> PAGEREF _Toc389746648 \h </w:instrText>
      </w:r>
      <w:r>
        <w:fldChar w:fldCharType="separate"/>
      </w:r>
      <w:r>
        <w:t>67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Veterinary use of poisons included in Schedule 4</w:t>
      </w:r>
      <w:r>
        <w:tab/>
      </w:r>
      <w:r>
        <w:fldChar w:fldCharType="begin"/>
      </w:r>
      <w:r>
        <w:instrText xml:space="preserve"> PAGEREF _Toc389746649 \h </w:instrText>
      </w:r>
      <w:r>
        <w:fldChar w:fldCharType="separate"/>
      </w:r>
      <w:r>
        <w:t>67</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Stockfeed manufacturers may sell poisons included in Schedule 4</w:t>
      </w:r>
      <w:r>
        <w:tab/>
      </w:r>
      <w:r>
        <w:fldChar w:fldCharType="begin"/>
      </w:r>
      <w:r>
        <w:instrText xml:space="preserve"> PAGEREF _Toc389746650 \h </w:instrText>
      </w:r>
      <w:r>
        <w:fldChar w:fldCharType="separate"/>
      </w:r>
      <w:r>
        <w:t>68</w:t>
      </w:r>
      <w:r>
        <w:fldChar w:fldCharType="end"/>
      </w:r>
    </w:p>
    <w:p>
      <w:pPr>
        <w:pStyle w:val="TOC8"/>
        <w:rPr>
          <w:rFonts w:asciiTheme="minorHAnsi" w:eastAsiaTheme="minorEastAsia" w:hAnsiTheme="minorHAnsi" w:cstheme="minorBidi"/>
          <w:szCs w:val="22"/>
        </w:rPr>
      </w:pPr>
      <w:r>
        <w:t>39BA.</w:t>
      </w:r>
      <w:r>
        <w:tab/>
        <w:t>Use of poisons included in Schedule 4 on certificated commercial vessels</w:t>
      </w:r>
      <w:r>
        <w:tab/>
      </w:r>
      <w:r>
        <w:fldChar w:fldCharType="begin"/>
      </w:r>
      <w:r>
        <w:instrText xml:space="preserve"> PAGEREF _Toc389746651 \h </w:instrText>
      </w:r>
      <w:r>
        <w:fldChar w:fldCharType="separate"/>
      </w:r>
      <w:r>
        <w:t>69</w:t>
      </w:r>
      <w:r>
        <w:fldChar w:fldCharType="end"/>
      </w:r>
    </w:p>
    <w:p>
      <w:pPr>
        <w:pStyle w:val="TOC8"/>
        <w:rPr>
          <w:rFonts w:asciiTheme="minorHAnsi" w:eastAsiaTheme="minorEastAsia" w:hAnsiTheme="minorHAnsi" w:cstheme="minorBidi"/>
          <w:szCs w:val="22"/>
        </w:rPr>
      </w:pPr>
      <w:r>
        <w:t>39BB.</w:t>
      </w:r>
      <w:r>
        <w:tab/>
        <w:t>Use of poisons included in Schedule 4 on racing yachts</w:t>
      </w:r>
      <w:r>
        <w:tab/>
      </w:r>
      <w:r>
        <w:fldChar w:fldCharType="begin"/>
      </w:r>
      <w:r>
        <w:instrText xml:space="preserve"> PAGEREF _Toc389746652 \h </w:instrText>
      </w:r>
      <w:r>
        <w:fldChar w:fldCharType="separate"/>
      </w:r>
      <w:r>
        <w:t>70</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Use of poisons included in Schedule 4 on ships and aircraft</w:t>
      </w:r>
      <w:r>
        <w:tab/>
      </w:r>
      <w:r>
        <w:fldChar w:fldCharType="begin"/>
      </w:r>
      <w:r>
        <w:instrText xml:space="preserve"> PAGEREF _Toc389746653 \h </w:instrText>
      </w:r>
      <w:r>
        <w:fldChar w:fldCharType="separate"/>
      </w:r>
      <w:r>
        <w:t>71</w:t>
      </w:r>
      <w:r>
        <w:fldChar w:fldCharType="end"/>
      </w:r>
    </w:p>
    <w:p>
      <w:pPr>
        <w:pStyle w:val="TOC8"/>
        <w:rPr>
          <w:rFonts w:asciiTheme="minorHAnsi" w:eastAsiaTheme="minorEastAsia" w:hAnsiTheme="minorHAnsi" w:cstheme="minorBidi"/>
          <w:szCs w:val="22"/>
        </w:rPr>
      </w:pPr>
      <w:r>
        <w:t>39C.</w:t>
      </w:r>
      <w:r>
        <w:tab/>
        <w:t>Use of poisons included in Schedule 4 on ships carrying livestock</w:t>
      </w:r>
      <w:r>
        <w:tab/>
      </w:r>
      <w:r>
        <w:fldChar w:fldCharType="begin"/>
      </w:r>
      <w:r>
        <w:instrText xml:space="preserve"> PAGEREF _Toc389746654 \h </w:instrText>
      </w:r>
      <w:r>
        <w:fldChar w:fldCharType="separate"/>
      </w:r>
      <w:r>
        <w:t>72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Special authority to purchase poisons included in Schedule 4</w:t>
      </w:r>
      <w:r>
        <w:tab/>
      </w:r>
      <w:r>
        <w:fldChar w:fldCharType="begin"/>
      </w:r>
      <w:r>
        <w:instrText xml:space="preserve"> PAGEREF _Toc389746655 \h </w:instrText>
      </w:r>
      <w:r>
        <w:fldChar w:fldCharType="separate"/>
      </w:r>
      <w:r>
        <w:t>73</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Delivery of a poison included in Schedule 4 on order</w:t>
      </w:r>
      <w:r>
        <w:tab/>
      </w:r>
      <w:r>
        <w:fldChar w:fldCharType="begin"/>
      </w:r>
      <w:r>
        <w:instrText xml:space="preserve"> PAGEREF _Toc389746656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Revocation notice in relation to poisons included in Schedule 6</w:t>
      </w:r>
      <w:r>
        <w:tab/>
      </w:r>
      <w:r>
        <w:fldChar w:fldCharType="begin"/>
      </w:r>
      <w:r>
        <w:instrText xml:space="preserve"> PAGEREF _Toc389746658 \h </w:instrText>
      </w:r>
      <w:r>
        <w:fldChar w:fldCharType="separate"/>
      </w:r>
      <w:r>
        <w:t>76</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Sale of poisons included in Schedule 7</w:t>
      </w:r>
      <w:r>
        <w:tab/>
      </w:r>
      <w:r>
        <w:fldChar w:fldCharType="begin"/>
      </w:r>
      <w:r>
        <w:instrText xml:space="preserve"> PAGEREF _Toc389746659 \h </w:instrText>
      </w:r>
      <w:r>
        <w:fldChar w:fldCharType="separate"/>
      </w:r>
      <w:r>
        <w:t>76</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Standard for intramammary antibiotic preparations</w:t>
      </w:r>
      <w:r>
        <w:tab/>
      </w:r>
      <w:r>
        <w:fldChar w:fldCharType="begin"/>
      </w:r>
      <w:r>
        <w:instrText xml:space="preserve"> PAGEREF _Toc389746660 \h </w:instrText>
      </w:r>
      <w:r>
        <w:fldChar w:fldCharType="separate"/>
      </w:r>
      <w:r>
        <w:t>77</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w:t>
      </w:r>
      <w:r>
        <w:tab/>
      </w:r>
      <w:r>
        <w:fldChar w:fldCharType="begin"/>
      </w:r>
      <w:r>
        <w:instrText xml:space="preserve"> PAGEREF _Toc389746661 \h </w:instrText>
      </w:r>
      <w:r>
        <w:fldChar w:fldCharType="separate"/>
      </w:r>
      <w:r>
        <w:t>77</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Record of poisons included in Schedule 3, 4 or 7</w:t>
      </w:r>
      <w:r>
        <w:tab/>
      </w:r>
      <w:r>
        <w:fldChar w:fldCharType="begin"/>
      </w:r>
      <w:r>
        <w:instrText xml:space="preserve"> PAGEREF _Toc389746662 \h </w:instrText>
      </w:r>
      <w:r>
        <w:fldChar w:fldCharType="separate"/>
      </w:r>
      <w:r>
        <w:t>78</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Access to poisons included in Schedule 7</w:t>
      </w:r>
      <w:r>
        <w:tab/>
      </w:r>
      <w:r>
        <w:fldChar w:fldCharType="begin"/>
      </w:r>
      <w:r>
        <w:instrText xml:space="preserve"> PAGEREF _Toc389746663 \h </w:instrText>
      </w:r>
      <w:r>
        <w:fldChar w:fldCharType="separate"/>
      </w:r>
      <w:r>
        <w:t>78</w:t>
      </w:r>
      <w:r>
        <w:fldChar w:fldCharType="end"/>
      </w:r>
    </w:p>
    <w:p>
      <w:pPr>
        <w:pStyle w:val="TOC8"/>
        <w:rPr>
          <w:rFonts w:asciiTheme="minorHAnsi" w:eastAsiaTheme="minorEastAsia" w:hAnsiTheme="minorHAnsi" w:cstheme="minorBidi"/>
          <w:szCs w:val="22"/>
        </w:rPr>
      </w:pPr>
      <w:r>
        <w:t>41D.</w:t>
      </w:r>
      <w:r>
        <w:tab/>
        <w:t>Emergency supply of adrenaline in schools and child care centres</w:t>
      </w:r>
      <w:r>
        <w:tab/>
      </w:r>
      <w:r>
        <w:fldChar w:fldCharType="begin"/>
      </w:r>
      <w:r>
        <w:instrText xml:space="preserve"> PAGEREF _Toc389746664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rPr>
      </w:pPr>
      <w:r>
        <w:t>Part 6 — Drugs of addiction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_Toc389746667 \h </w:instrText>
      </w:r>
      <w:r>
        <w:fldChar w:fldCharType="separate"/>
      </w:r>
      <w:r>
        <w:t>81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Authority for prescribed persons to procure and have poisons included in Schedule 8</w:t>
      </w:r>
      <w:r>
        <w:tab/>
      </w:r>
      <w:r>
        <w:fldChar w:fldCharType="begin"/>
      </w:r>
      <w:r>
        <w:instrText xml:space="preserve"> PAGEREF _Toc389746668 \h </w:instrText>
      </w:r>
      <w:r>
        <w:fldChar w:fldCharType="separate"/>
      </w:r>
      <w:r>
        <w:t>81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Authority for pharmacists to retail, compound and dispense poisons included in Schedule 8</w:t>
      </w:r>
      <w:r>
        <w:tab/>
      </w:r>
      <w:r>
        <w:fldChar w:fldCharType="begin"/>
      </w:r>
      <w:r>
        <w:instrText xml:space="preserve"> PAGEREF _Toc389746669 \h </w:instrText>
      </w:r>
      <w:r>
        <w:fldChar w:fldCharType="separate"/>
      </w:r>
      <w:r>
        <w:t>83</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Revocation notice in relation to poisons included in Schedule 8 and specified drugs</w:t>
      </w:r>
      <w:r>
        <w:tab/>
      </w:r>
      <w:r>
        <w:fldChar w:fldCharType="begin"/>
      </w:r>
      <w:r>
        <w:instrText xml:space="preserve"> PAGEREF _Toc389746670 \h </w:instrText>
      </w:r>
      <w:r>
        <w:fldChar w:fldCharType="separate"/>
      </w:r>
      <w:r>
        <w:t>83</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Prescribed purposes (section 41(1))</w:t>
      </w:r>
      <w:r>
        <w:tab/>
      </w:r>
      <w:r>
        <w:fldChar w:fldCharType="begin"/>
      </w:r>
      <w:r>
        <w:instrText xml:space="preserve"> PAGEREF _Toc389746671 \h </w:instrText>
      </w:r>
      <w:r>
        <w:fldChar w:fldCharType="separate"/>
      </w:r>
      <w:r>
        <w:t>84</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of substances included in Schedule 8</w:t>
      </w:r>
      <w:r>
        <w:tab/>
      </w:r>
      <w:r>
        <w:fldChar w:fldCharType="begin"/>
      </w:r>
      <w:r>
        <w:instrText xml:space="preserve"> PAGEREF _Toc389746672 \h </w:instrText>
      </w:r>
      <w:r>
        <w:fldChar w:fldCharType="separate"/>
      </w:r>
      <w:r>
        <w:t>84</w:t>
      </w:r>
      <w:r>
        <w:fldChar w:fldCharType="end"/>
      </w:r>
    </w:p>
    <w:p>
      <w:pPr>
        <w:pStyle w:val="TOC8"/>
        <w:rPr>
          <w:rFonts w:asciiTheme="minorHAnsi" w:eastAsiaTheme="minorEastAsia" w:hAnsiTheme="minorHAnsi" w:cstheme="minorBidi"/>
          <w:szCs w:val="22"/>
        </w:rPr>
      </w:pPr>
      <w:r>
        <w:t>44.</w:t>
      </w:r>
      <w:r>
        <w:tab/>
        <w:t>Register of drugs of addiction</w:t>
      </w:r>
      <w:r>
        <w:tab/>
      </w:r>
      <w:r>
        <w:fldChar w:fldCharType="begin"/>
      </w:r>
      <w:r>
        <w:instrText xml:space="preserve"> PAGEREF _Toc389746673 \h </w:instrText>
      </w:r>
      <w:r>
        <w:fldChar w:fldCharType="separate"/>
      </w:r>
      <w:r>
        <w:t>85</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Destruction of drugs of addiction and poisons included in Schedule 8</w:t>
      </w:r>
      <w:r>
        <w:tab/>
      </w:r>
      <w:r>
        <w:fldChar w:fldCharType="begin"/>
      </w:r>
      <w:r>
        <w:instrText xml:space="preserve"> PAGEREF _Toc389746674 \h </w:instrText>
      </w:r>
      <w:r>
        <w:fldChar w:fldCharType="separate"/>
      </w:r>
      <w:r>
        <w:t>86</w:t>
      </w:r>
      <w:r>
        <w:fldChar w:fldCharType="end"/>
      </w:r>
    </w:p>
    <w:p>
      <w:pPr>
        <w:pStyle w:val="TOC8"/>
        <w:rPr>
          <w:rFonts w:asciiTheme="minorHAnsi" w:eastAsiaTheme="minorEastAsia" w:hAnsiTheme="minorHAnsi" w:cstheme="minorBidi"/>
          <w:szCs w:val="22"/>
        </w:rPr>
      </w:pPr>
      <w:r>
        <w:t>44B.</w:t>
      </w:r>
      <w:r>
        <w:tab/>
        <w:t>Form of registers</w:t>
      </w:r>
      <w:r>
        <w:tab/>
      </w:r>
      <w:r>
        <w:fldChar w:fldCharType="begin"/>
      </w:r>
      <w:r>
        <w:instrText xml:space="preserve"> PAGEREF _Toc389746675 \h </w:instrText>
      </w:r>
      <w:r>
        <w:fldChar w:fldCharType="separate"/>
      </w:r>
      <w:r>
        <w:t>88</w:t>
      </w:r>
      <w:r>
        <w:fldChar w:fldCharType="end"/>
      </w:r>
    </w:p>
    <w:p>
      <w:pPr>
        <w:pStyle w:val="TOC8"/>
        <w:rPr>
          <w:rFonts w:asciiTheme="minorHAnsi" w:eastAsiaTheme="minorEastAsia" w:hAnsiTheme="minorHAnsi" w:cstheme="minorBidi"/>
          <w:szCs w:val="22"/>
        </w:rPr>
      </w:pPr>
      <w:r>
        <w:t>44C.</w:t>
      </w:r>
      <w:r>
        <w:tab/>
        <w:t>Control of access to electronic registers</w:t>
      </w:r>
      <w:r>
        <w:tab/>
      </w:r>
      <w:r>
        <w:fldChar w:fldCharType="begin"/>
      </w:r>
      <w:r>
        <w:instrText xml:space="preserve"> PAGEREF _Toc389746676 \h </w:instrText>
      </w:r>
      <w:r>
        <w:fldChar w:fldCharType="separate"/>
      </w:r>
      <w:r>
        <w:t>89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w:t>
      </w:r>
      <w:r>
        <w:tab/>
      </w:r>
      <w:r>
        <w:fldChar w:fldCharType="begin"/>
      </w:r>
      <w:r>
        <w:instrText xml:space="preserve"> PAGEREF _Toc389746677 \h </w:instrText>
      </w:r>
      <w:r>
        <w:fldChar w:fldCharType="separate"/>
      </w:r>
      <w:r>
        <w:t>90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retained for 7 years and available on demand</w:t>
      </w:r>
      <w:r>
        <w:tab/>
      </w:r>
      <w:r>
        <w:fldChar w:fldCharType="begin"/>
      </w:r>
      <w:r>
        <w:instrText xml:space="preserve"> PAGEREF _Toc389746678 \h </w:instrText>
      </w:r>
      <w:r>
        <w:fldChar w:fldCharType="separate"/>
      </w:r>
      <w:r>
        <w:t>91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Returns from manufacturers and wholesalers</w:t>
      </w:r>
      <w:r>
        <w:tab/>
      </w:r>
      <w:r>
        <w:fldChar w:fldCharType="begin"/>
      </w:r>
      <w:r>
        <w:instrText xml:space="preserve"> PAGEREF _Toc389746679 \h </w:instrText>
      </w:r>
      <w:r>
        <w:fldChar w:fldCharType="separate"/>
      </w:r>
      <w:r>
        <w:t>92</w:t>
      </w:r>
      <w:r>
        <w:fldChar w:fldCharType="end"/>
      </w:r>
    </w:p>
    <w:p>
      <w:pPr>
        <w:pStyle w:val="TOC8"/>
        <w:rPr>
          <w:rFonts w:asciiTheme="minorHAnsi" w:eastAsiaTheme="minorEastAsia" w:hAnsiTheme="minorHAnsi" w:cstheme="minorBidi"/>
          <w:szCs w:val="22"/>
        </w:rPr>
      </w:pPr>
      <w:r>
        <w:t>49A.</w:t>
      </w:r>
      <w:r>
        <w:tab/>
        <w:t>Use of poisons included in Schedule 8 on certificated commercial vessels</w:t>
      </w:r>
      <w:r>
        <w:tab/>
      </w:r>
      <w:r>
        <w:fldChar w:fldCharType="begin"/>
      </w:r>
      <w:r>
        <w:instrText xml:space="preserve"> PAGEREF _Toc389746680 \h </w:instrText>
      </w:r>
      <w:r>
        <w:fldChar w:fldCharType="separate"/>
      </w:r>
      <w:r>
        <w:t>92</w:t>
      </w:r>
      <w:r>
        <w:fldChar w:fldCharType="end"/>
      </w:r>
    </w:p>
    <w:p>
      <w:pPr>
        <w:pStyle w:val="TOC8"/>
        <w:rPr>
          <w:rFonts w:asciiTheme="minorHAnsi" w:eastAsiaTheme="minorEastAsia" w:hAnsiTheme="minorHAnsi" w:cstheme="minorBidi"/>
          <w:szCs w:val="22"/>
        </w:rPr>
      </w:pPr>
      <w:r>
        <w:t>49B.</w:t>
      </w:r>
      <w:r>
        <w:tab/>
        <w:t>Use of poisons included in Schedule 8 on racing yachts</w:t>
      </w:r>
      <w:r>
        <w:tab/>
      </w:r>
      <w:r>
        <w:fldChar w:fldCharType="begin"/>
      </w:r>
      <w:r>
        <w:instrText xml:space="preserve"> PAGEREF _Toc389746681 \h </w:instrText>
      </w:r>
      <w:r>
        <w:fldChar w:fldCharType="separate"/>
      </w:r>
      <w:r>
        <w:t>94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Use of poisons included in Schedule 8 on ships and aircraft</w:t>
      </w:r>
      <w:r>
        <w:tab/>
      </w:r>
      <w:r>
        <w:fldChar w:fldCharType="begin"/>
      </w:r>
      <w:r>
        <w:instrText xml:space="preserve"> PAGEREF _Toc389746682 \h </w:instrText>
      </w:r>
      <w:r>
        <w:fldChar w:fldCharType="separate"/>
      </w:r>
      <w:r>
        <w:t>95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Used poisons included in Schedule 8 at hospitals</w:t>
      </w:r>
      <w:r>
        <w:tab/>
      </w:r>
      <w:r>
        <w:fldChar w:fldCharType="begin"/>
      </w:r>
      <w:r>
        <w:instrText xml:space="preserve"> PAGEREF _Toc389746683 \h </w:instrText>
      </w:r>
      <w:r>
        <w:fldChar w:fldCharType="separate"/>
      </w:r>
      <w:r>
        <w:t>96</w:t>
      </w:r>
      <w:r>
        <w:fldChar w:fldCharType="end"/>
      </w:r>
    </w:p>
    <w:p>
      <w:pPr>
        <w:pStyle w:val="TOC4"/>
        <w:tabs>
          <w:tab w:val="right" w:leader="dot" w:pos="7086"/>
        </w:tabs>
        <w:rPr>
          <w:rFonts w:asciiTheme="minorHAnsi" w:eastAsiaTheme="minorEastAsia" w:hAnsiTheme="minorHAnsi" w:cstheme="minorBidi"/>
          <w:b w:val="0"/>
          <w:szCs w:val="22"/>
        </w:rPr>
      </w:pPr>
      <w:r>
        <w:t>Division 2 — Supply and prescription</w:t>
      </w:r>
    </w:p>
    <w:p>
      <w:pPr>
        <w:pStyle w:val="TOC6"/>
        <w:tabs>
          <w:tab w:val="right" w:leader="dot" w:pos="7086"/>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w:t>
      </w:r>
      <w:r>
        <w:tab/>
      </w:r>
      <w:r>
        <w:fldChar w:fldCharType="begin"/>
      </w:r>
      <w:r>
        <w:instrText xml:space="preserve"> PAGEREF _Toc389746686 \h </w:instrText>
      </w:r>
      <w:r>
        <w:fldChar w:fldCharType="separate"/>
      </w:r>
      <w:r>
        <w:t>97</w:t>
      </w:r>
      <w:r>
        <w:fldChar w:fldCharType="end"/>
      </w:r>
    </w:p>
    <w:p>
      <w:pPr>
        <w:pStyle w:val="TOC8"/>
        <w:rPr>
          <w:rFonts w:asciiTheme="minorHAnsi" w:eastAsiaTheme="minorEastAsia" w:hAnsiTheme="minorHAnsi" w:cstheme="minorBidi"/>
          <w:szCs w:val="22"/>
        </w:rPr>
      </w:pPr>
      <w:r>
        <w:t>51AAA.</w:t>
      </w:r>
      <w:r>
        <w:tab/>
        <w:t>Prescriptions for poisons included in Schedule 8 for patient discharged from public hospital</w:t>
      </w:r>
      <w:r>
        <w:tab/>
      </w:r>
      <w:r>
        <w:fldChar w:fldCharType="begin"/>
      </w:r>
      <w:r>
        <w:instrText xml:space="preserve"> PAGEREF _Toc389746687 \h </w:instrText>
      </w:r>
      <w:r>
        <w:fldChar w:fldCharType="separate"/>
      </w:r>
      <w:r>
        <w:t>100</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_Toc389746689 \h </w:instrText>
      </w:r>
      <w:r>
        <w:fldChar w:fldCharType="separate"/>
      </w:r>
      <w:r>
        <w:t>100</w:t>
      </w:r>
      <w:r>
        <w:fldChar w:fldCharType="end"/>
      </w:r>
    </w:p>
    <w:p>
      <w:pPr>
        <w:pStyle w:val="TOC8"/>
        <w:rPr>
          <w:rFonts w:asciiTheme="minorHAnsi" w:eastAsiaTheme="minorEastAsia" w:hAnsiTheme="minorHAnsi" w:cstheme="minorBidi"/>
          <w:szCs w:val="22"/>
        </w:rPr>
      </w:pPr>
      <w:r>
        <w:t>51AA.</w:t>
      </w:r>
      <w:r>
        <w:tab/>
        <w:t>Disclosure by drug addict to medical practitioner</w:t>
      </w:r>
      <w:r>
        <w:tab/>
      </w:r>
      <w:r>
        <w:fldChar w:fldCharType="begin"/>
      </w:r>
      <w:r>
        <w:instrText xml:space="preserve"> PAGEREF _Toc389746690 \h </w:instrText>
      </w:r>
      <w:r>
        <w:fldChar w:fldCharType="separate"/>
      </w:r>
      <w:r>
        <w:t>101</w:t>
      </w:r>
      <w:r>
        <w:fldChar w:fldCharType="end"/>
      </w:r>
    </w:p>
    <w:p>
      <w:pPr>
        <w:pStyle w:val="TOC8"/>
        <w:rPr>
          <w:rFonts w:asciiTheme="minorHAnsi" w:eastAsiaTheme="minorEastAsia" w:hAnsiTheme="minorHAnsi" w:cstheme="minorBidi"/>
          <w:szCs w:val="22"/>
        </w:rPr>
      </w:pPr>
      <w:r>
        <w:t>51B.</w:t>
      </w:r>
      <w:r>
        <w:tab/>
        <w:t>Prescription and supply in accordance with this Subdivision — general provision</w:t>
      </w:r>
      <w:r>
        <w:tab/>
      </w:r>
      <w:r>
        <w:fldChar w:fldCharType="begin"/>
      </w:r>
      <w:r>
        <w:instrText xml:space="preserve"> PAGEREF _Toc389746691 \h </w:instrText>
      </w:r>
      <w:r>
        <w:fldChar w:fldCharType="separate"/>
      </w:r>
      <w:r>
        <w:t>102</w:t>
      </w:r>
      <w:r>
        <w:fldChar w:fldCharType="end"/>
      </w:r>
    </w:p>
    <w:p>
      <w:pPr>
        <w:pStyle w:val="TOC8"/>
        <w:rPr>
          <w:rFonts w:asciiTheme="minorHAnsi" w:eastAsiaTheme="minorEastAsia" w:hAnsiTheme="minorHAnsi" w:cstheme="minorBidi"/>
          <w:szCs w:val="22"/>
        </w:rPr>
      </w:pPr>
      <w:r>
        <w:t>51BA.</w:t>
      </w:r>
      <w:r>
        <w:tab/>
        <w:t>P</w:t>
      </w:r>
      <w:r>
        <w:rPr>
          <w:snapToGrid w:val="0"/>
        </w:rPr>
        <w:t>rescribing drugs of addiction for drug addicts other than for the treatment of drug addiction</w:t>
      </w:r>
      <w:r>
        <w:tab/>
      </w:r>
      <w:r>
        <w:fldChar w:fldCharType="begin"/>
      </w:r>
      <w:r>
        <w:instrText xml:space="preserve"> PAGEREF _Toc389746692 \h </w:instrText>
      </w:r>
      <w:r>
        <w:fldChar w:fldCharType="separate"/>
      </w:r>
      <w:r>
        <w:t>102</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Designation of authorised prescribers and specialist prescribers</w:t>
      </w:r>
      <w:r>
        <w:tab/>
      </w:r>
      <w:r>
        <w:fldChar w:fldCharType="begin"/>
      </w:r>
      <w:r>
        <w:instrText xml:space="preserve"> PAGEREF _Toc389746693 \h </w:instrText>
      </w:r>
      <w:r>
        <w:fldChar w:fldCharType="separate"/>
      </w:r>
      <w:r>
        <w:t>103</w:t>
      </w:r>
      <w:r>
        <w:fldChar w:fldCharType="end"/>
      </w:r>
    </w:p>
    <w:p>
      <w:pPr>
        <w:pStyle w:val="TOC8"/>
        <w:rPr>
          <w:rFonts w:asciiTheme="minorHAnsi" w:eastAsiaTheme="minorEastAsia" w:hAnsiTheme="minorHAnsi" w:cstheme="minorBidi"/>
          <w:szCs w:val="22"/>
        </w:rPr>
      </w:pPr>
      <w:r>
        <w:t>51CA.</w:t>
      </w:r>
      <w:r>
        <w:tab/>
        <w:t>Appointment</w:t>
      </w:r>
      <w:r>
        <w:rPr>
          <w:snapToGrid w:val="0"/>
        </w:rPr>
        <w:t xml:space="preserve"> of medical practitioner as authorised prescriber for a drug addict</w:t>
      </w:r>
      <w:r>
        <w:tab/>
      </w:r>
      <w:r>
        <w:fldChar w:fldCharType="begin"/>
      </w:r>
      <w:r>
        <w:instrText xml:space="preserve"> PAGEREF _Toc389746694 \h </w:instrText>
      </w:r>
      <w:r>
        <w:fldChar w:fldCharType="separate"/>
      </w:r>
      <w:r>
        <w:t>103</w:t>
      </w:r>
      <w:r>
        <w:fldChar w:fldCharType="end"/>
      </w:r>
    </w:p>
    <w:p>
      <w:pPr>
        <w:pStyle w:val="TOC8"/>
        <w:rPr>
          <w:rFonts w:asciiTheme="minorHAnsi" w:eastAsiaTheme="minorEastAsia" w:hAnsiTheme="minorHAnsi" w:cstheme="minorBidi"/>
          <w:szCs w:val="22"/>
        </w:rPr>
      </w:pPr>
      <w:r>
        <w:t>51CB.</w:t>
      </w:r>
      <w:r>
        <w:tab/>
        <w:t>Appointment of co</w:t>
      </w:r>
      <w:r>
        <w:noBreakHyphen/>
        <w:t xml:space="preserve">prescriber </w:t>
      </w:r>
      <w:r>
        <w:rPr>
          <w:snapToGrid w:val="0"/>
        </w:rPr>
        <w:t>for a drug addict</w:t>
      </w:r>
      <w:r>
        <w:tab/>
      </w:r>
      <w:r>
        <w:fldChar w:fldCharType="begin"/>
      </w:r>
      <w:r>
        <w:instrText xml:space="preserve"> PAGEREF _Toc389746695 \h </w:instrText>
      </w:r>
      <w:r>
        <w:fldChar w:fldCharType="separate"/>
      </w:r>
      <w:r>
        <w:t>103</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 general rules</w:t>
      </w:r>
      <w:r>
        <w:tab/>
      </w:r>
      <w:r>
        <w:fldChar w:fldCharType="begin"/>
      </w:r>
      <w:r>
        <w:instrText xml:space="preserve"> PAGEREF _Toc389746696 \h </w:instrText>
      </w:r>
      <w:r>
        <w:fldChar w:fldCharType="separate"/>
      </w:r>
      <w:r>
        <w:t>104</w:t>
      </w:r>
      <w:r>
        <w:fldChar w:fldCharType="end"/>
      </w:r>
    </w:p>
    <w:p>
      <w:pPr>
        <w:pStyle w:val="TOC8"/>
        <w:rPr>
          <w:rFonts w:asciiTheme="minorHAnsi" w:eastAsiaTheme="minorEastAsia" w:hAnsiTheme="minorHAnsi" w:cstheme="minorBidi"/>
          <w:szCs w:val="22"/>
        </w:rPr>
      </w:pPr>
      <w:r>
        <w:t>51D.</w:t>
      </w:r>
      <w:r>
        <w:tab/>
        <w:t>P</w:t>
      </w:r>
      <w:r>
        <w:rPr>
          <w:snapToGrid w:val="0"/>
        </w:rPr>
        <w:t>rescribing pharmacotherapies for the treatment of the drug addiction of a drug addict — general rules</w:t>
      </w:r>
      <w:r>
        <w:tab/>
      </w:r>
      <w:r>
        <w:fldChar w:fldCharType="begin"/>
      </w:r>
      <w:r>
        <w:instrText xml:space="preserve"> PAGEREF _Toc389746697 \h </w:instrText>
      </w:r>
      <w:r>
        <w:fldChar w:fldCharType="separate"/>
      </w:r>
      <w:r>
        <w:t>104</w:t>
      </w:r>
      <w:r>
        <w:fldChar w:fldCharType="end"/>
      </w:r>
    </w:p>
    <w:p>
      <w:pPr>
        <w:pStyle w:val="TOC8"/>
        <w:rPr>
          <w:rFonts w:asciiTheme="minorHAnsi" w:eastAsiaTheme="minorEastAsia" w:hAnsiTheme="minorHAnsi" w:cstheme="minorBidi"/>
          <w:szCs w:val="22"/>
        </w:rPr>
      </w:pPr>
      <w:r>
        <w:t>51DA.</w:t>
      </w:r>
      <w:r>
        <w:tab/>
        <w:t>P</w:t>
      </w:r>
      <w:r>
        <w:rPr>
          <w:snapToGrid w:val="0"/>
        </w:rPr>
        <w:t>rescribing pharmacotherapies for the treatment of the drug addiction of a drug addict — in a hospital</w:t>
      </w:r>
      <w:r>
        <w:tab/>
      </w:r>
      <w:r>
        <w:fldChar w:fldCharType="begin"/>
      </w:r>
      <w:r>
        <w:instrText xml:space="preserve"> PAGEREF _Toc389746698 \h </w:instrText>
      </w:r>
      <w:r>
        <w:fldChar w:fldCharType="separate"/>
      </w:r>
      <w:r>
        <w:t>106</w:t>
      </w:r>
      <w:r>
        <w:fldChar w:fldCharType="end"/>
      </w:r>
    </w:p>
    <w:p>
      <w:pPr>
        <w:pStyle w:val="TOC8"/>
        <w:rPr>
          <w:rFonts w:asciiTheme="minorHAnsi" w:eastAsiaTheme="minorEastAsia" w:hAnsiTheme="minorHAnsi" w:cstheme="minorBidi"/>
          <w:szCs w:val="22"/>
        </w:rPr>
      </w:pPr>
      <w:r>
        <w:t>51DB.</w:t>
      </w:r>
      <w:r>
        <w:tab/>
        <w:t>P</w:t>
      </w:r>
      <w:r>
        <w:rPr>
          <w:snapToGrid w:val="0"/>
        </w:rPr>
        <w:t>rescribing pharmacotherapies for the treatment of the drug addiction of a drug addict — in custody</w:t>
      </w:r>
      <w:r>
        <w:tab/>
      </w:r>
      <w:r>
        <w:fldChar w:fldCharType="begin"/>
      </w:r>
      <w:r>
        <w:instrText xml:space="preserve"> PAGEREF _Toc389746699 \h </w:instrText>
      </w:r>
      <w:r>
        <w:fldChar w:fldCharType="separate"/>
      </w:r>
      <w:r>
        <w:t>106</w:t>
      </w:r>
      <w:r>
        <w:fldChar w:fldCharType="end"/>
      </w:r>
    </w:p>
    <w:p>
      <w:pPr>
        <w:pStyle w:val="TOC8"/>
        <w:rPr>
          <w:rFonts w:asciiTheme="minorHAnsi" w:eastAsiaTheme="minorEastAsia" w:hAnsiTheme="minorHAnsi" w:cstheme="minorBidi"/>
          <w:szCs w:val="22"/>
        </w:rPr>
      </w:pPr>
      <w:r>
        <w:t>51DC.</w:t>
      </w:r>
      <w:r>
        <w:tab/>
        <w:t>P</w:t>
      </w:r>
      <w:r>
        <w:rPr>
          <w:snapToGrid w:val="0"/>
        </w:rPr>
        <w:t>rescribing pharmacotherapies for the treatment of the drug addiction of a drug addict — interim prescriptions</w:t>
      </w:r>
      <w:r>
        <w:tab/>
      </w:r>
      <w:r>
        <w:fldChar w:fldCharType="begin"/>
      </w:r>
      <w:r>
        <w:instrText xml:space="preserve"> PAGEREF _Toc389746700 \h </w:instrText>
      </w:r>
      <w:r>
        <w:fldChar w:fldCharType="separate"/>
      </w:r>
      <w:r>
        <w:t>107</w:t>
      </w:r>
      <w:r>
        <w:fldChar w:fldCharType="end"/>
      </w:r>
    </w:p>
    <w:p>
      <w:pPr>
        <w:pStyle w:val="TOC8"/>
        <w:rPr>
          <w:rFonts w:asciiTheme="minorHAnsi" w:eastAsiaTheme="minorEastAsia" w:hAnsiTheme="minorHAnsi" w:cstheme="minorBidi"/>
          <w:szCs w:val="22"/>
        </w:rPr>
      </w:pPr>
      <w:r>
        <w:t>51E.</w:t>
      </w:r>
      <w:r>
        <w:tab/>
        <w:t>Dispensing drugs of addiction from a pharmacy</w:t>
      </w:r>
      <w:r>
        <w:tab/>
      </w:r>
      <w:r>
        <w:fldChar w:fldCharType="begin"/>
      </w:r>
      <w:r>
        <w:instrText xml:space="preserve"> PAGEREF _Toc389746701 \h </w:instrText>
      </w:r>
      <w:r>
        <w:fldChar w:fldCharType="separate"/>
      </w:r>
      <w:r>
        <w:t>107</w:t>
      </w:r>
      <w:r>
        <w:fldChar w:fldCharType="end"/>
      </w:r>
    </w:p>
    <w:p>
      <w:pPr>
        <w:pStyle w:val="TOC8"/>
        <w:rPr>
          <w:rFonts w:asciiTheme="minorHAnsi" w:eastAsiaTheme="minorEastAsia" w:hAnsiTheme="minorHAnsi" w:cstheme="minorBidi"/>
          <w:szCs w:val="22"/>
        </w:rPr>
      </w:pPr>
      <w:r>
        <w:t>51EA.</w:t>
      </w:r>
      <w:r>
        <w:tab/>
        <w:t>Dispensing pharmacotherapies from a pharmacy</w:t>
      </w:r>
      <w:r>
        <w:tab/>
      </w:r>
      <w:r>
        <w:fldChar w:fldCharType="begin"/>
      </w:r>
      <w:r>
        <w:instrText xml:space="preserve"> PAGEREF _Toc389746702 \h </w:instrText>
      </w:r>
      <w:r>
        <w:fldChar w:fldCharType="separate"/>
      </w:r>
      <w:r>
        <w:t>108</w:t>
      </w:r>
      <w:r>
        <w:fldChar w:fldCharType="end"/>
      </w:r>
    </w:p>
    <w:p>
      <w:pPr>
        <w:pStyle w:val="TOC6"/>
        <w:tabs>
          <w:tab w:val="right" w:leader="dot" w:pos="7086"/>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Treatment not to exceed 60 days unless authorised by </w:t>
      </w:r>
      <w:r>
        <w:t>CEO</w:t>
      </w:r>
      <w:r>
        <w:tab/>
      </w:r>
      <w:r>
        <w:fldChar w:fldCharType="begin"/>
      </w:r>
      <w:r>
        <w:instrText xml:space="preserve"> PAGEREF _Toc389746704 \h </w:instrText>
      </w:r>
      <w:r>
        <w:fldChar w:fldCharType="separate"/>
      </w:r>
      <w:r>
        <w:t>108</w:t>
      </w:r>
      <w:r>
        <w:fldChar w:fldCharType="end"/>
      </w:r>
    </w:p>
    <w:p>
      <w:pPr>
        <w:pStyle w:val="TOC6"/>
        <w:tabs>
          <w:tab w:val="right" w:leader="dot" w:pos="7086"/>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_Toc389746706 \h </w:instrText>
      </w:r>
      <w:r>
        <w:fldChar w:fldCharType="separate"/>
      </w:r>
      <w:r>
        <w:t>111</w:t>
      </w:r>
      <w:r>
        <w:fldChar w:fldCharType="end"/>
      </w:r>
    </w:p>
    <w:p>
      <w:pPr>
        <w:pStyle w:val="TOC8"/>
        <w:rPr>
          <w:rFonts w:asciiTheme="minorHAnsi" w:eastAsiaTheme="minorEastAsia" w:hAnsiTheme="minorHAnsi" w:cstheme="minorBidi"/>
          <w:szCs w:val="22"/>
        </w:rPr>
      </w:pPr>
      <w:r>
        <w:t>51FB.</w:t>
      </w:r>
      <w:r>
        <w:tab/>
        <w:t>Who may supply or prescribe a stimulant</w:t>
      </w:r>
      <w:r>
        <w:tab/>
      </w:r>
      <w:r>
        <w:fldChar w:fldCharType="begin"/>
      </w:r>
      <w:r>
        <w:instrText xml:space="preserve"> PAGEREF _Toc389746707 \h </w:instrText>
      </w:r>
      <w:r>
        <w:fldChar w:fldCharType="separate"/>
      </w:r>
      <w:r>
        <w:t>112</w:t>
      </w:r>
      <w:r>
        <w:fldChar w:fldCharType="end"/>
      </w:r>
    </w:p>
    <w:p>
      <w:pPr>
        <w:pStyle w:val="TOC8"/>
        <w:rPr>
          <w:rFonts w:asciiTheme="minorHAnsi" w:eastAsiaTheme="minorEastAsia" w:hAnsiTheme="minorHAnsi" w:cstheme="minorBidi"/>
          <w:szCs w:val="22"/>
        </w:rPr>
      </w:pPr>
      <w:r>
        <w:t>51FC.</w:t>
      </w:r>
      <w:r>
        <w:tab/>
        <w:t>Stimulant Prescribing Code</w:t>
      </w:r>
      <w:r>
        <w:tab/>
      </w:r>
      <w:r>
        <w:fldChar w:fldCharType="begin"/>
      </w:r>
      <w:r>
        <w:instrText xml:space="preserve"> PAGEREF _Toc389746708 \h </w:instrText>
      </w:r>
      <w:r>
        <w:fldChar w:fldCharType="separate"/>
      </w:r>
      <w:r>
        <w:t>113</w:t>
      </w:r>
      <w:r>
        <w:fldChar w:fldCharType="end"/>
      </w:r>
    </w:p>
    <w:p>
      <w:pPr>
        <w:pStyle w:val="TOC8"/>
        <w:rPr>
          <w:rFonts w:asciiTheme="minorHAnsi" w:eastAsiaTheme="minorEastAsia" w:hAnsiTheme="minorHAnsi" w:cstheme="minorBidi"/>
          <w:szCs w:val="22"/>
        </w:rPr>
      </w:pPr>
      <w:r>
        <w:t>51FD.</w:t>
      </w:r>
      <w:r>
        <w:tab/>
        <w:t>CEO may order treatment to be terminated or varied</w:t>
      </w:r>
      <w:r>
        <w:tab/>
      </w:r>
      <w:r>
        <w:fldChar w:fldCharType="begin"/>
      </w:r>
      <w:r>
        <w:instrText xml:space="preserve"> PAGEREF _Toc389746709 \h </w:instrText>
      </w:r>
      <w:r>
        <w:fldChar w:fldCharType="separate"/>
      </w:r>
      <w:r>
        <w:t>114</w:t>
      </w:r>
      <w:r>
        <w:fldChar w:fldCharType="end"/>
      </w:r>
    </w:p>
    <w:p>
      <w:pPr>
        <w:pStyle w:val="TOC8"/>
        <w:rPr>
          <w:rFonts w:asciiTheme="minorHAnsi" w:eastAsiaTheme="minorEastAsia" w:hAnsiTheme="minorHAnsi" w:cstheme="minorBidi"/>
          <w:szCs w:val="22"/>
        </w:rPr>
      </w:pPr>
      <w:r>
        <w:t>51FE.</w:t>
      </w:r>
      <w:r>
        <w:tab/>
        <w:t>CEO to be notified of supply or prescription</w:t>
      </w:r>
      <w:r>
        <w:tab/>
      </w:r>
      <w:r>
        <w:fldChar w:fldCharType="begin"/>
      </w:r>
      <w:r>
        <w:instrText xml:space="preserve"> PAGEREF _Toc389746710 \h </w:instrText>
      </w:r>
      <w:r>
        <w:fldChar w:fldCharType="separate"/>
      </w:r>
      <w:r>
        <w:t>115</w:t>
      </w:r>
      <w:r>
        <w:fldChar w:fldCharType="end"/>
      </w:r>
    </w:p>
    <w:p>
      <w:pPr>
        <w:pStyle w:val="TOC8"/>
        <w:rPr>
          <w:rFonts w:asciiTheme="minorHAnsi" w:eastAsiaTheme="minorEastAsia" w:hAnsiTheme="minorHAnsi" w:cstheme="minorBidi"/>
          <w:szCs w:val="22"/>
        </w:rPr>
      </w:pPr>
      <w:r>
        <w:t>51FF.</w:t>
      </w:r>
      <w:r>
        <w:tab/>
        <w:t>Current prescriber and current clinic</w:t>
      </w:r>
      <w:r>
        <w:tab/>
      </w:r>
      <w:r>
        <w:fldChar w:fldCharType="begin"/>
      </w:r>
      <w:r>
        <w:instrText xml:space="preserve"> PAGEREF _Toc389746711 \h </w:instrText>
      </w:r>
      <w:r>
        <w:fldChar w:fldCharType="separate"/>
      </w:r>
      <w:r>
        <w:t>116</w:t>
      </w:r>
      <w:r>
        <w:fldChar w:fldCharType="end"/>
      </w:r>
    </w:p>
    <w:p>
      <w:pPr>
        <w:pStyle w:val="TOC8"/>
        <w:rPr>
          <w:rFonts w:asciiTheme="minorHAnsi" w:eastAsiaTheme="minorEastAsia" w:hAnsiTheme="minorHAnsi" w:cstheme="minorBidi"/>
          <w:szCs w:val="22"/>
        </w:rPr>
      </w:pPr>
      <w:r>
        <w:t>51FG.</w:t>
      </w:r>
      <w:r>
        <w:tab/>
        <w:t>Authorisation of practitioners</w:t>
      </w:r>
      <w:r>
        <w:tab/>
      </w:r>
      <w:r>
        <w:fldChar w:fldCharType="begin"/>
      </w:r>
      <w:r>
        <w:instrText xml:space="preserve"> PAGEREF _Toc389746712 \h </w:instrText>
      </w:r>
      <w:r>
        <w:fldChar w:fldCharType="separate"/>
      </w:r>
      <w:r>
        <w:t>118</w:t>
      </w:r>
      <w:r>
        <w:fldChar w:fldCharType="end"/>
      </w:r>
    </w:p>
    <w:p>
      <w:pPr>
        <w:pStyle w:val="TOC8"/>
        <w:rPr>
          <w:rFonts w:asciiTheme="minorHAnsi" w:eastAsiaTheme="minorEastAsia" w:hAnsiTheme="minorHAnsi" w:cstheme="minorBidi"/>
          <w:szCs w:val="22"/>
        </w:rPr>
      </w:pPr>
      <w:r>
        <w:t>51FH.</w:t>
      </w:r>
      <w:r>
        <w:tab/>
        <w:t>Co</w:t>
      </w:r>
      <w:r>
        <w:noBreakHyphen/>
        <w:t>prescribers</w:t>
      </w:r>
      <w:r>
        <w:tab/>
      </w:r>
      <w:r>
        <w:fldChar w:fldCharType="begin"/>
      </w:r>
      <w:r>
        <w:instrText xml:space="preserve"> PAGEREF _Toc389746713 \h </w:instrText>
      </w:r>
      <w:r>
        <w:fldChar w:fldCharType="separate"/>
      </w:r>
      <w:r>
        <w:t>118</w:t>
      </w:r>
      <w:r>
        <w:fldChar w:fldCharType="end"/>
      </w:r>
    </w:p>
    <w:p>
      <w:pPr>
        <w:pStyle w:val="TOC8"/>
        <w:rPr>
          <w:rFonts w:asciiTheme="minorHAnsi" w:eastAsiaTheme="minorEastAsia" w:hAnsiTheme="minorHAnsi" w:cstheme="minorBidi"/>
          <w:szCs w:val="22"/>
        </w:rPr>
      </w:pPr>
      <w:r>
        <w:t>51FJ.</w:t>
      </w:r>
      <w:r>
        <w:tab/>
        <w:t>Approval of public sector clinics</w:t>
      </w:r>
      <w:r>
        <w:tab/>
      </w:r>
      <w:r>
        <w:fldChar w:fldCharType="begin"/>
      </w:r>
      <w:r>
        <w:instrText xml:space="preserve"> PAGEREF _Toc389746714 \h </w:instrText>
      </w:r>
      <w:r>
        <w:fldChar w:fldCharType="separate"/>
      </w:r>
      <w:r>
        <w:t>120</w:t>
      </w:r>
      <w:r>
        <w:fldChar w:fldCharType="end"/>
      </w:r>
    </w:p>
    <w:p>
      <w:pPr>
        <w:pStyle w:val="TOC8"/>
        <w:rPr>
          <w:rFonts w:asciiTheme="minorHAnsi" w:eastAsiaTheme="minorEastAsia" w:hAnsiTheme="minorHAnsi" w:cstheme="minorBidi"/>
          <w:szCs w:val="22"/>
        </w:rPr>
      </w:pPr>
      <w:r>
        <w:t>51FK.</w:t>
      </w:r>
      <w:r>
        <w:tab/>
        <w:t>Change of manager</w:t>
      </w:r>
      <w:r>
        <w:tab/>
      </w:r>
      <w:r>
        <w:fldChar w:fldCharType="begin"/>
      </w:r>
      <w:r>
        <w:instrText xml:space="preserve"> PAGEREF _Toc389746715 \h </w:instrText>
      </w:r>
      <w:r>
        <w:fldChar w:fldCharType="separate"/>
      </w:r>
      <w:r>
        <w:t>121</w:t>
      </w:r>
      <w:r>
        <w:fldChar w:fldCharType="end"/>
      </w:r>
    </w:p>
    <w:p>
      <w:pPr>
        <w:pStyle w:val="TOC6"/>
        <w:tabs>
          <w:tab w:val="right" w:leader="dot" w:pos="7086"/>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Supply of dronabinol</w:t>
      </w:r>
      <w:r>
        <w:tab/>
      </w:r>
      <w:r>
        <w:fldChar w:fldCharType="begin"/>
      </w:r>
      <w:r>
        <w:instrText xml:space="preserve"> PAGEREF _Toc389746717 \h </w:instrText>
      </w:r>
      <w:r>
        <w:fldChar w:fldCharType="separate"/>
      </w:r>
      <w:r>
        <w:t>121</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Supply of flunitrazepam</w:t>
      </w:r>
      <w:r>
        <w:tab/>
      </w:r>
      <w:r>
        <w:fldChar w:fldCharType="begin"/>
      </w:r>
      <w:r>
        <w:instrText xml:space="preserve"> PAGEREF _Toc389746718 \h </w:instrText>
      </w:r>
      <w:r>
        <w:fldChar w:fldCharType="separate"/>
      </w:r>
      <w:r>
        <w:t>122</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Dentists not to prescribe or supply certain drugs of addiction</w:t>
      </w:r>
      <w:r>
        <w:tab/>
      </w:r>
      <w:r>
        <w:fldChar w:fldCharType="begin"/>
      </w:r>
      <w:r>
        <w:instrText xml:space="preserve"> PAGEREF _Toc389746719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drugs of addiction</w:t>
      </w:r>
      <w:r>
        <w:tab/>
      </w:r>
      <w:r>
        <w:fldChar w:fldCharType="begin"/>
      </w:r>
      <w:r>
        <w:instrText xml:space="preserve"> PAGEREF _Toc389746721 \h </w:instrText>
      </w:r>
      <w:r>
        <w:fldChar w:fldCharType="separate"/>
      </w:r>
      <w:r>
        <w:t>124</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Movement of drugs of addiction in other circumstances</w:t>
      </w:r>
      <w:r>
        <w:tab/>
      </w:r>
      <w:r>
        <w:fldChar w:fldCharType="begin"/>
      </w:r>
      <w:r>
        <w:instrText xml:space="preserve"> PAGEREF _Toc389746722 \h </w:instrText>
      </w:r>
      <w:r>
        <w:fldChar w:fldCharType="separate"/>
      </w:r>
      <w:r>
        <w:t>131</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Manner of recording details</w:t>
      </w:r>
      <w:r>
        <w:tab/>
      </w:r>
      <w:r>
        <w:fldChar w:fldCharType="begin"/>
      </w:r>
      <w:r>
        <w:instrText xml:space="preserve"> PAGEREF _Toc389746723 \h </w:instrText>
      </w:r>
      <w:r>
        <w:fldChar w:fldCharType="separate"/>
      </w:r>
      <w:r>
        <w:t>131</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Returns to department</w:t>
      </w:r>
      <w:r>
        <w:tab/>
      </w:r>
      <w:r>
        <w:fldChar w:fldCharType="begin"/>
      </w:r>
      <w:r>
        <w:instrText xml:space="preserve"> PAGEREF _Toc389746724 \h </w:instrText>
      </w:r>
      <w:r>
        <w:fldChar w:fldCharType="separate"/>
      </w:r>
      <w:r>
        <w:t>131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poisons included in Schedule 8 in case of emergency</w:t>
      </w:r>
      <w:r>
        <w:tab/>
      </w:r>
      <w:r>
        <w:fldChar w:fldCharType="begin"/>
      </w:r>
      <w:r>
        <w:instrText xml:space="preserve"> PAGEREF _Toc389746725 \h </w:instrText>
      </w:r>
      <w:r>
        <w:fldChar w:fldCharType="separate"/>
      </w:r>
      <w:r>
        <w:t>132</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poisons included in Schedule 8</w:t>
      </w:r>
      <w:r>
        <w:tab/>
      </w:r>
      <w:r>
        <w:fldChar w:fldCharType="begin"/>
      </w:r>
      <w:r>
        <w:instrText xml:space="preserve"> PAGEREF _Toc389746726 \h </w:instrText>
      </w:r>
      <w:r>
        <w:fldChar w:fldCharType="separate"/>
      </w:r>
      <w:r>
        <w:t>133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poisons included in Schedule 8 on order</w:t>
      </w:r>
      <w:r>
        <w:tab/>
      </w:r>
      <w:r>
        <w:fldChar w:fldCharType="begin"/>
      </w:r>
      <w:r>
        <w:instrText xml:space="preserve"> PAGEREF _Toc389746727 \h </w:instrText>
      </w:r>
      <w:r>
        <w:fldChar w:fldCharType="separate"/>
      </w:r>
      <w:r>
        <w:t>133</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_Toc389746728 \h </w:instrText>
      </w:r>
      <w:r>
        <w:fldChar w:fldCharType="separate"/>
      </w:r>
      <w:r>
        <w:t>135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 protected</w:t>
      </w:r>
      <w:r>
        <w:tab/>
      </w:r>
      <w:r>
        <w:fldChar w:fldCharType="begin"/>
      </w:r>
      <w:r>
        <w:instrText xml:space="preserve"> PAGEREF _Toc389746729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_Toc389746731 \h </w:instrText>
      </w:r>
      <w:r>
        <w:fldChar w:fldCharType="separate"/>
      </w:r>
      <w:r>
        <w:t>135</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Prescribed amount of poisons included in Schedule 8</w:t>
      </w:r>
      <w:r>
        <w:tab/>
      </w:r>
      <w:r>
        <w:fldChar w:fldCharType="begin"/>
      </w:r>
      <w:r>
        <w:instrText xml:space="preserve"> PAGEREF _Toc389746732 \h </w:instrText>
      </w:r>
      <w:r>
        <w:fldChar w:fldCharType="separate"/>
      </w:r>
      <w:r>
        <w:t>137</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Location of safe in premises</w:t>
      </w:r>
      <w:r>
        <w:tab/>
      </w:r>
      <w:r>
        <w:fldChar w:fldCharType="begin"/>
      </w:r>
      <w:r>
        <w:instrText xml:space="preserve"> PAGEREF _Toc389746733 \h </w:instrText>
      </w:r>
      <w:r>
        <w:fldChar w:fldCharType="separate"/>
      </w:r>
      <w:r>
        <w:t>138</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Authorised persons to keep keys to safes</w:t>
      </w:r>
      <w:r>
        <w:tab/>
      </w:r>
      <w:r>
        <w:fldChar w:fldCharType="begin"/>
      </w:r>
      <w:r>
        <w:instrText xml:space="preserve"> PAGEREF _Toc389746734 \h </w:instrText>
      </w:r>
      <w:r>
        <w:fldChar w:fldCharType="separate"/>
      </w:r>
      <w:r>
        <w:t>138</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to be kept locked</w:t>
      </w:r>
      <w:r>
        <w:tab/>
      </w:r>
      <w:r>
        <w:fldChar w:fldCharType="begin"/>
      </w:r>
      <w:r>
        <w:instrText xml:space="preserve"> PAGEREF _Toc389746735 \h </w:instrText>
      </w:r>
      <w:r>
        <w:fldChar w:fldCharType="separate"/>
      </w:r>
      <w:r>
        <w:t>138</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present on premises</w:t>
      </w:r>
      <w:r>
        <w:tab/>
      </w:r>
      <w:r>
        <w:fldChar w:fldCharType="begin"/>
      </w:r>
      <w:r>
        <w:instrText xml:space="preserve"> PAGEREF _Toc389746736 \h </w:instrText>
      </w:r>
      <w:r>
        <w:fldChar w:fldCharType="separate"/>
      </w:r>
      <w:r>
        <w:t>139</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Keys to, and locking of, poisons cupboards and lockable drawers</w:t>
      </w:r>
      <w:r>
        <w:tab/>
      </w:r>
      <w:r>
        <w:fldChar w:fldCharType="begin"/>
      </w:r>
      <w:r>
        <w:instrText xml:space="preserve"> PAGEREF _Toc389746737 \h </w:instrText>
      </w:r>
      <w:r>
        <w:fldChar w:fldCharType="separate"/>
      </w:r>
      <w:r>
        <w:t>139</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Poisons included in Schedule 8 in hospital ward</w:t>
      </w:r>
      <w:r>
        <w:tab/>
      </w:r>
      <w:r>
        <w:fldChar w:fldCharType="begin"/>
      </w:r>
      <w:r>
        <w:instrText xml:space="preserve"> PAGEREF _Toc389746738 \h </w:instrText>
      </w:r>
      <w:r>
        <w:fldChar w:fldCharType="separate"/>
      </w:r>
      <w:r>
        <w:t>140</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Keys to, and locking of, cupboards in hospital wards</w:t>
      </w:r>
      <w:r>
        <w:tab/>
      </w:r>
      <w:r>
        <w:fldChar w:fldCharType="begin"/>
      </w:r>
      <w:r>
        <w:instrText xml:space="preserve"> PAGEREF _Toc389746739 \h </w:instrText>
      </w:r>
      <w:r>
        <w:fldChar w:fldCharType="separate"/>
      </w:r>
      <w:r>
        <w:t>140</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w:t>
      </w:r>
      <w:r>
        <w:tab/>
      </w:r>
      <w:r>
        <w:fldChar w:fldCharType="begin"/>
      </w:r>
      <w:r>
        <w:instrText xml:space="preserve"> PAGEREF _Toc389746741 \h </w:instrText>
      </w:r>
      <w:r>
        <w:fldChar w:fldCharType="separate"/>
      </w:r>
      <w:r>
        <w:t>141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Improper prescribing or use of drugs of addiction</w:t>
      </w:r>
      <w:r>
        <w:tab/>
      </w:r>
      <w:r>
        <w:fldChar w:fldCharType="begin"/>
      </w:r>
      <w:r>
        <w:instrText xml:space="preserve"> PAGEREF _Toc389746742 \h </w:instrText>
      </w:r>
      <w:r>
        <w:fldChar w:fldCharType="separate"/>
      </w:r>
      <w:r>
        <w:t>141</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Names of persons from whom licence or authority withdrawn to be published</w:t>
      </w:r>
      <w:r>
        <w:tab/>
      </w:r>
      <w:r>
        <w:fldChar w:fldCharType="begin"/>
      </w:r>
      <w:r>
        <w:instrText xml:space="preserve"> PAGEREF _Toc389746744 \h </w:instrText>
      </w:r>
      <w:r>
        <w:fldChar w:fldCharType="separate"/>
      </w:r>
      <w:r>
        <w:t>142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a drug for another</w:t>
      </w:r>
      <w:r>
        <w:tab/>
      </w:r>
      <w:r>
        <w:fldChar w:fldCharType="begin"/>
      </w:r>
      <w:r>
        <w:instrText xml:space="preserve"> PAGEREF _Toc389746745 \h </w:instrText>
      </w:r>
      <w:r>
        <w:fldChar w:fldCharType="separate"/>
      </w:r>
      <w:r>
        <w:t>142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Form of warrant (section 55A)</w:t>
      </w:r>
      <w:r>
        <w:tab/>
      </w:r>
      <w:r>
        <w:fldChar w:fldCharType="begin"/>
      </w:r>
      <w:r>
        <w:instrText xml:space="preserve"> PAGEREF _Toc389746746 \h </w:instrText>
      </w:r>
      <w:r>
        <w:fldChar w:fldCharType="separate"/>
      </w:r>
      <w:r>
        <w:t>143</w:t>
      </w:r>
      <w:r>
        <w:fldChar w:fldCharType="end"/>
      </w:r>
    </w:p>
    <w:p>
      <w:pPr>
        <w:pStyle w:val="TOC2"/>
        <w:tabs>
          <w:tab w:val="right" w:leader="dot" w:pos="7086"/>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4"/>
        <w:tabs>
          <w:tab w:val="right" w:leader="dot" w:pos="7086"/>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_Toc389746749 \h </w:instrText>
      </w:r>
      <w:r>
        <w:fldChar w:fldCharType="separate"/>
      </w:r>
      <w:r>
        <w:t>144</w:t>
      </w:r>
      <w:r>
        <w:fldChar w:fldCharType="end"/>
      </w:r>
    </w:p>
    <w:p>
      <w:pPr>
        <w:pStyle w:val="TOC8"/>
        <w:rPr>
          <w:rFonts w:asciiTheme="minorHAnsi" w:eastAsiaTheme="minorEastAsia" w:hAnsiTheme="minorHAnsi" w:cstheme="minorBidi"/>
          <w:szCs w:val="22"/>
        </w:rPr>
      </w:pPr>
      <w:r>
        <w:t>67.</w:t>
      </w:r>
      <w:r>
        <w:tab/>
        <w:t>Authorisation to prescribe drugs of addiction</w:t>
      </w:r>
      <w:r>
        <w:tab/>
      </w:r>
      <w:r>
        <w:fldChar w:fldCharType="begin"/>
      </w:r>
      <w:r>
        <w:instrText xml:space="preserve"> PAGEREF _Toc389746750 \h </w:instrText>
      </w:r>
      <w:r>
        <w:fldChar w:fldCharType="separate"/>
      </w:r>
      <w:r>
        <w:t>144</w:t>
      </w:r>
      <w:r>
        <w:fldChar w:fldCharType="end"/>
      </w:r>
    </w:p>
    <w:p>
      <w:pPr>
        <w:pStyle w:val="TOC8"/>
        <w:rPr>
          <w:rFonts w:asciiTheme="minorHAnsi" w:eastAsiaTheme="minorEastAsia" w:hAnsiTheme="minorHAnsi" w:cstheme="minorBidi"/>
          <w:szCs w:val="22"/>
        </w:rPr>
      </w:pPr>
      <w:r>
        <w:t>68.</w:t>
      </w:r>
      <w:r>
        <w:tab/>
        <w:t>Authorisation to prescribe pharmacotherapies</w:t>
      </w:r>
      <w:r>
        <w:tab/>
      </w:r>
      <w:r>
        <w:fldChar w:fldCharType="begin"/>
      </w:r>
      <w:r>
        <w:instrText xml:space="preserve"> PAGEREF _Toc389746751 \h </w:instrText>
      </w:r>
      <w:r>
        <w:fldChar w:fldCharType="separate"/>
      </w:r>
      <w:r>
        <w:t>144</w:t>
      </w:r>
      <w:r>
        <w:fldChar w:fldCharType="end"/>
      </w:r>
    </w:p>
    <w:p>
      <w:pPr>
        <w:pStyle w:val="TOC8"/>
        <w:rPr>
          <w:rFonts w:asciiTheme="minorHAnsi" w:eastAsiaTheme="minorEastAsia" w:hAnsiTheme="minorHAnsi" w:cstheme="minorBidi"/>
          <w:szCs w:val="22"/>
        </w:rPr>
      </w:pPr>
      <w:r>
        <w:t>69.</w:t>
      </w:r>
      <w:r>
        <w:tab/>
        <w:t>Prescriptions</w:t>
      </w:r>
      <w:r>
        <w:tab/>
      </w:r>
      <w:r>
        <w:fldChar w:fldCharType="begin"/>
      </w:r>
      <w:r>
        <w:instrText xml:space="preserve"> PAGEREF _Toc389746752 \h </w:instrText>
      </w:r>
      <w:r>
        <w:fldChar w:fldCharType="separate"/>
      </w:r>
      <w:r>
        <w:t>145</w:t>
      </w:r>
      <w:r>
        <w:fldChar w:fldCharType="end"/>
      </w:r>
    </w:p>
    <w:p>
      <w:pPr>
        <w:pStyle w:val="TOC8"/>
        <w:rPr>
          <w:rFonts w:asciiTheme="minorHAnsi" w:eastAsiaTheme="minorEastAsia" w:hAnsiTheme="minorHAnsi" w:cstheme="minorBidi"/>
          <w:szCs w:val="22"/>
        </w:rPr>
      </w:pPr>
      <w:r>
        <w:t>70.</w:t>
      </w:r>
      <w:r>
        <w:tab/>
        <w:t>Dispensing drugs of addiction from a pharmacy</w:t>
      </w:r>
      <w:r>
        <w:tab/>
      </w:r>
      <w:r>
        <w:fldChar w:fldCharType="begin"/>
      </w:r>
      <w:r>
        <w:instrText xml:space="preserve"> PAGEREF _Toc389746753 \h </w:instrText>
      </w:r>
      <w:r>
        <w:fldChar w:fldCharType="separate"/>
      </w:r>
      <w:r>
        <w:t>145</w:t>
      </w:r>
      <w:r>
        <w:fldChar w:fldCharType="end"/>
      </w:r>
    </w:p>
    <w:p>
      <w:pPr>
        <w:pStyle w:val="TOC2"/>
        <w:tabs>
          <w:tab w:val="right" w:leader="dot" w:pos="7086"/>
        </w:tabs>
        <w:rPr>
          <w:rFonts w:asciiTheme="minorHAnsi" w:eastAsiaTheme="minorEastAsia" w:hAnsiTheme="minorHAnsi" w:cstheme="minorBidi"/>
          <w:b w:val="0"/>
          <w:sz w:val="22"/>
          <w:szCs w:val="22"/>
        </w:rPr>
      </w:pPr>
      <w:r>
        <w:t>Appendix A</w:t>
      </w:r>
    </w:p>
    <w:p>
      <w:pPr>
        <w:pStyle w:val="TOC2"/>
        <w:tabs>
          <w:tab w:val="right" w:leader="dot" w:pos="7086"/>
        </w:tabs>
        <w:rPr>
          <w:rFonts w:asciiTheme="minorHAnsi" w:eastAsiaTheme="minorEastAsia" w:hAnsiTheme="minorHAnsi" w:cstheme="minorBidi"/>
          <w:b w:val="0"/>
          <w:sz w:val="22"/>
          <w:szCs w:val="22"/>
        </w:rPr>
      </w:pPr>
      <w:r>
        <w:t>Appendix B — Vaccines exempt from specified provisions of the Act</w:t>
      </w:r>
    </w:p>
    <w:p>
      <w:pPr>
        <w:pStyle w:val="TOC2"/>
        <w:tabs>
          <w:tab w:val="right" w:leader="dot" w:pos="7086"/>
        </w:tabs>
        <w:rPr>
          <w:rFonts w:asciiTheme="minorHAnsi" w:eastAsiaTheme="minorEastAsia" w:hAnsiTheme="minorHAnsi" w:cstheme="minorBidi"/>
          <w:b w:val="0"/>
          <w:sz w:val="22"/>
          <w:szCs w:val="22"/>
        </w:rPr>
      </w:pPr>
      <w:r>
        <w:t>Appendix G</w:t>
      </w:r>
    </w:p>
    <w:p>
      <w:pPr>
        <w:pStyle w:val="TOC2"/>
        <w:tabs>
          <w:tab w:val="right" w:leader="dot" w:pos="7086"/>
        </w:tabs>
        <w:rPr>
          <w:rFonts w:asciiTheme="minorHAnsi" w:eastAsiaTheme="minorEastAsia" w:hAnsiTheme="minorHAnsi" w:cstheme="minorBidi"/>
          <w:b w:val="0"/>
          <w:sz w:val="22"/>
          <w:szCs w:val="22"/>
        </w:rPr>
      </w:pPr>
      <w:r>
        <w:t>Appendix H</w:t>
      </w:r>
    </w:p>
    <w:p>
      <w:pPr>
        <w:pStyle w:val="TOC2"/>
        <w:tabs>
          <w:tab w:val="right" w:leader="dot" w:pos="7086"/>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86"/>
        </w:tabs>
        <w:rPr>
          <w:rFonts w:asciiTheme="minorHAnsi" w:eastAsiaTheme="minorEastAsia" w:hAnsiTheme="minorHAnsi" w:cstheme="minorBidi"/>
          <w:b w:val="0"/>
          <w:sz w:val="22"/>
          <w:szCs w:val="22"/>
        </w:rPr>
      </w:pPr>
      <w:r>
        <w:t>Appendix J</w:t>
      </w:r>
    </w:p>
    <w:p>
      <w:pPr>
        <w:pStyle w:val="TOC2"/>
        <w:tabs>
          <w:tab w:val="right" w:leader="dot" w:pos="7086"/>
        </w:tabs>
        <w:rPr>
          <w:rFonts w:asciiTheme="minorHAnsi" w:eastAsiaTheme="minorEastAsia" w:hAnsiTheme="minorHAnsi" w:cstheme="minorBidi"/>
          <w:b w:val="0"/>
          <w:sz w:val="22"/>
          <w:szCs w:val="22"/>
        </w:rPr>
      </w:pPr>
      <w:r>
        <w:t>Schedule 3 poison sales to be recorded</w:t>
      </w:r>
    </w:p>
    <w:p>
      <w:pPr>
        <w:pStyle w:val="TOC2"/>
        <w:tabs>
          <w:tab w:val="right" w:leader="dot" w:pos="7086"/>
        </w:tabs>
        <w:rPr>
          <w:rFonts w:asciiTheme="minorHAnsi" w:eastAsiaTheme="minorEastAsia" w:hAnsiTheme="minorHAnsi" w:cstheme="minorBidi"/>
          <w:b w:val="0"/>
          <w:sz w:val="22"/>
          <w:szCs w:val="22"/>
        </w:rPr>
      </w:pPr>
      <w:r>
        <w:t>Appendix K</w:t>
      </w:r>
    </w:p>
    <w:p>
      <w:pPr>
        <w:pStyle w:val="TOC2"/>
        <w:tabs>
          <w:tab w:val="right" w:leader="dot" w:pos="7086"/>
        </w:tabs>
        <w:rPr>
          <w:rFonts w:asciiTheme="minorHAnsi" w:eastAsiaTheme="minorEastAsia" w:hAnsiTheme="minorHAnsi" w:cstheme="minorBidi"/>
          <w:b w:val="0"/>
          <w:sz w:val="22"/>
          <w:szCs w:val="22"/>
        </w:rPr>
      </w:pPr>
      <w:r>
        <w:t>Criteria for electronic prescribing systems</w:t>
      </w:r>
    </w:p>
    <w:p>
      <w:pPr>
        <w:pStyle w:val="TOC2"/>
        <w:tabs>
          <w:tab w:val="right" w:leader="dot" w:pos="7086"/>
        </w:tabs>
        <w:rPr>
          <w:rFonts w:asciiTheme="minorHAnsi" w:eastAsiaTheme="minorEastAsia" w:hAnsiTheme="minorHAnsi" w:cstheme="minorBidi"/>
          <w:b w:val="0"/>
          <w:sz w:val="22"/>
          <w:szCs w:val="22"/>
        </w:rPr>
      </w:pPr>
      <w:r>
        <w:t>Appendix L</w:t>
      </w:r>
    </w:p>
    <w:p>
      <w:pPr>
        <w:pStyle w:val="TOC2"/>
        <w:tabs>
          <w:tab w:val="right" w:leader="dot" w:pos="7086"/>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86"/>
        </w:tabs>
        <w:rPr>
          <w:rFonts w:asciiTheme="minorHAnsi" w:eastAsiaTheme="minorEastAsia" w:hAnsiTheme="minorHAnsi" w:cstheme="minorBidi"/>
          <w:b w:val="0"/>
          <w:sz w:val="22"/>
          <w:szCs w:val="22"/>
        </w:rPr>
      </w:pPr>
      <w:r>
        <w:t>Appendix M</w:t>
      </w:r>
    </w:p>
    <w:p>
      <w:pPr>
        <w:pStyle w:val="TOC2"/>
        <w:tabs>
          <w:tab w:val="right" w:leader="dot" w:pos="7086"/>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w:t>
      </w:r>
      <w:r>
        <w:tab/>
      </w:r>
      <w:r>
        <w:fldChar w:fldCharType="begin"/>
      </w:r>
      <w:r>
        <w:instrText xml:space="preserve"> PAGEREF _Toc389746767 \h </w:instrText>
      </w:r>
      <w:r>
        <w:fldChar w:fldCharType="separate"/>
      </w:r>
      <w:r>
        <w:t>170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_Toc389746768 \h </w:instrText>
      </w:r>
      <w:r>
        <w:fldChar w:fldCharType="separate"/>
      </w:r>
      <w:r>
        <w:t>171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_Toc389746770 \h </w:instrText>
      </w:r>
      <w:r>
        <w:fldChar w:fldCharType="separate"/>
      </w:r>
      <w:r>
        <w:t>172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389746556"/>
      <w:r>
        <w:rPr>
          <w:rStyle w:val="CharPartNo"/>
        </w:rPr>
        <w:t>Part 1</w:t>
      </w:r>
      <w:r>
        <w:rPr>
          <w:rStyle w:val="CharDivNo"/>
        </w:rPr>
        <w:t> </w:t>
      </w:r>
      <w:r>
        <w:t>—</w:t>
      </w:r>
      <w:r>
        <w:rPr>
          <w:rStyle w:val="CharDivText"/>
        </w:rPr>
        <w:t> </w:t>
      </w:r>
      <w:r>
        <w:rPr>
          <w:rStyle w:val="CharPartText"/>
        </w:rPr>
        <w:t>Preliminary</w:t>
      </w:r>
      <w:bookmarkEnd w:id="1"/>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2" w:name="_Toc389746557"/>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3" w:name="_Toc389746558"/>
      <w:r>
        <w:rPr>
          <w:rStyle w:val="CharSectno"/>
        </w:rPr>
        <w:t>2</w:t>
      </w:r>
      <w:r>
        <w:rPr>
          <w:snapToGrid w:val="0"/>
        </w:rPr>
        <w:t>.</w:t>
      </w:r>
      <w:r>
        <w:rPr>
          <w:snapToGrid w:val="0"/>
        </w:rPr>
        <w:tab/>
        <w:t>Terms used</w:t>
      </w:r>
      <w:bookmarkEnd w:id="3"/>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spacing w:before="70"/>
      </w:pPr>
      <w:r>
        <w:rPr>
          <w:b/>
        </w:rPr>
        <w:tab/>
      </w:r>
      <w:r>
        <w:rPr>
          <w:rStyle w:val="CharDefText"/>
        </w:rPr>
        <w:t>dermatologist</w:t>
      </w:r>
      <w:r>
        <w:t xml:space="preserve"> means a medical practitioner who has qualifications recognised by the Medical Board as appropriate to a specialist in dermatology;</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 xml:space="preserve"> in the optometry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rPr>
          <w:b/>
        </w:rPr>
        <w:tab/>
      </w:r>
      <w:r>
        <w:rPr>
          <w:rStyle w:val="CharDefText"/>
        </w:rPr>
        <w:t>gynaecologist</w:t>
      </w:r>
      <w:r>
        <w:t xml:space="preserve"> means a medical practitioner who has qualifications recognised by the Medical Board as appropriate to a specialist in gynaecology;</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rPr>
          <w:b/>
        </w:rPr>
        <w:tab/>
      </w:r>
      <w:r>
        <w:rPr>
          <w:rStyle w:val="CharDefText"/>
        </w:rPr>
        <w:t>Medical Board</w:t>
      </w:r>
      <w:r>
        <w:t xml:space="preserve"> means the Medical Board established under section 4 of the </w:t>
      </w:r>
      <w:r>
        <w:rPr>
          <w:i/>
        </w:rPr>
        <w:t>Medical Act 1894</w:t>
      </w:r>
      <w:r>
        <w:t xml:space="preserve"> </w:t>
      </w:r>
      <w:r>
        <w:rPr>
          <w:vertAlign w:val="superscript"/>
        </w:rPr>
        <w:t>2</w:t>
      </w:r>
      <w:r>
        <w:t>;</w:t>
      </w:r>
    </w:p>
    <w:p>
      <w:pPr>
        <w:pStyle w:val="Defstart"/>
      </w:pPr>
      <w:r>
        <w:rPr>
          <w:b/>
        </w:rPr>
        <w:tab/>
      </w:r>
      <w:r>
        <w:rPr>
          <w:rStyle w:val="CharDefText"/>
        </w:rPr>
        <w:t>obstetrician</w:t>
      </w:r>
      <w:r>
        <w:t xml:space="preserve"> means a medical practitioner who has qualifications recognised by the Medical Board as appropriate to a specialist in obstetrics;</w:t>
      </w:r>
    </w:p>
    <w:p>
      <w:pPr>
        <w:pStyle w:val="Defstart"/>
      </w:pPr>
      <w:r>
        <w:tab/>
      </w:r>
      <w:r>
        <w:rPr>
          <w:rStyle w:val="CharDefText"/>
        </w:rPr>
        <w:t>optometrist</w:t>
      </w:r>
      <w:r>
        <w:t xml:space="preserve"> means a person registered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 xml:space="preserve">) </w:t>
      </w:r>
      <w:r>
        <w:t>in the optometry profession;</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tab/>
      </w:r>
      <w:r>
        <w:rPr>
          <w:rStyle w:val="CharDefText"/>
        </w:rPr>
        <w:t>pharmacist’s licence</w:t>
      </w:r>
      <w:r>
        <w:t xml:space="preserve"> means a licence to sell or supply poison referred to in regulation 5;</w:t>
      </w:r>
    </w:p>
    <w:p>
      <w:pPr>
        <w:pStyle w:val="Defstart"/>
      </w:pPr>
      <w:r>
        <w:tab/>
      </w:r>
      <w:r>
        <w:rPr>
          <w:rStyle w:val="CharDefText"/>
        </w:rPr>
        <w:t>pharmacy</w:t>
      </w:r>
      <w:r>
        <w:t xml:space="preserve"> means a registered pharmacy as defined in the </w:t>
      </w:r>
      <w:r>
        <w:rPr>
          <w:i/>
          <w:iCs/>
        </w:rPr>
        <w:t xml:space="preserve">Pharmacy Act 2010 </w:t>
      </w:r>
      <w:r>
        <w:t>section 3(1);</w:t>
      </w:r>
    </w:p>
    <w:p>
      <w:pPr>
        <w:pStyle w:val="Defstart"/>
      </w:pPr>
      <w:r>
        <w:rPr>
          <w:b/>
        </w:rPr>
        <w:tab/>
      </w:r>
      <w:r>
        <w:rPr>
          <w:rStyle w:val="CharDefText"/>
        </w:rPr>
        <w:t>physician</w:t>
      </w:r>
      <w:r>
        <w:t xml:space="preserve"> means a medical practitioner who has qualifications recognised by the Medical Board as appropriate to a specialist in general medicine;</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rPr>
          <w:b/>
        </w:rPr>
        <w:tab/>
      </w:r>
      <w:r>
        <w:rPr>
          <w:rStyle w:val="CharDefText"/>
        </w:rPr>
        <w:t>psychiatrist</w:t>
      </w:r>
      <w:r>
        <w:t xml:space="preserve"> means a medical practitioner whose name is contained in a register under section 89(1) of the </w:t>
      </w:r>
      <w:r>
        <w:rPr>
          <w:i/>
        </w:rPr>
        <w:t>Mental Health Act 1962</w:t>
      </w:r>
      <w:r>
        <w:t xml:space="preserve"> </w:t>
      </w:r>
      <w:r>
        <w:rPr>
          <w:vertAlign w:val="superscript"/>
        </w:rPr>
        <w:t>3</w:t>
      </w:r>
      <w:r>
        <w:rPr>
          <w:snapToGrid/>
        </w:rPr>
        <w:t>;</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pharmacist, dentist, veterinary surgeon;</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midwife as defined in the </w:t>
      </w:r>
      <w:r>
        <w:rPr>
          <w:i/>
        </w:rPr>
        <w:t>Nurses and Midwives Act 2006</w:t>
      </w:r>
      <w:r>
        <w:t>;</w:t>
      </w:r>
    </w:p>
    <w:p>
      <w:pPr>
        <w:pStyle w:val="Defstart"/>
      </w:pPr>
      <w:r>
        <w:tab/>
      </w:r>
      <w:r>
        <w:rPr>
          <w:rStyle w:val="CharDefText"/>
        </w:rPr>
        <w:t>registered nurse</w:t>
      </w:r>
      <w:r>
        <w:t xml:space="preserve"> has the meaning given in the </w:t>
      </w:r>
      <w:r>
        <w:rPr>
          <w:i/>
        </w:rPr>
        <w:t>Nurses and Midwives Act 2006</w:t>
      </w:r>
      <w:r>
        <w:t xml:space="preserve"> section 3;</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r>
        <w:rPr>
          <w:rStyle w:val="CharDefText"/>
        </w:rPr>
        <w:t>SUSMP</w:t>
      </w:r>
      <w:r>
        <w:t xml:space="preserve"> has the meaning given in clause 1(1) of Appendix A to the Act;</w:t>
      </w:r>
    </w:p>
    <w:p>
      <w:pPr>
        <w:pStyle w:val="Defstart"/>
        <w:keepNext/>
      </w:pPr>
      <w:r>
        <w:rPr>
          <w:b/>
        </w:rPr>
        <w:tab/>
      </w:r>
      <w:r>
        <w:rPr>
          <w:rStyle w:val="CharDefText"/>
        </w:rPr>
        <w:t>the Act</w:t>
      </w:r>
      <w:r>
        <w:t xml:space="preserve"> means the </w:t>
      </w:r>
      <w:r>
        <w:rPr>
          <w:i/>
        </w:rPr>
        <w:t>Poisons Act 1964</w:t>
      </w:r>
      <w:r>
        <w:t>.</w:t>
      </w:r>
    </w:p>
    <w:p>
      <w:pPr>
        <w:pStyle w:val="Subsection"/>
      </w:pPr>
      <w:r>
        <w:tab/>
        <w:t>(2)</w:t>
      </w:r>
      <w:r>
        <w:tab/>
        <w:t>A prescription is issued electronically if it is issued under regulation 37(1A) or 51(1A).</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 xml:space="preserve">17; 11 Apr 1997 p. 1829; 27 Nov 1998 p. 6343; 12 Aug 2003 p. 3658; 15 Nov 2005 p. 5603; 15 Dec 2006 p. 5630; 7 Nov 2008 p. 4805; 12 Jun 2009 p. 2109; 26 Mar 2010 p. 1146; 27 Apr 2010 p. 1583; 1 Oct 2010 p. 5078 and 5079-80; 22 Oct 2010 p. 5218; 19 Nov 2010 p. 5711; amended by Act No. 9 of 2003 s. 41.] </w:t>
      </w:r>
    </w:p>
    <w:p>
      <w:pPr>
        <w:pStyle w:val="Heading5"/>
      </w:pPr>
      <w:bookmarkStart w:id="4" w:name="_Toc389746559"/>
      <w:r>
        <w:rPr>
          <w:rStyle w:val="CharSectno"/>
        </w:rPr>
        <w:t>2AAA</w:t>
      </w:r>
      <w:r>
        <w:t>.</w:t>
      </w:r>
      <w:r>
        <w:tab/>
        <w:t>Notes not part of regulations</w:t>
      </w:r>
      <w:bookmarkEnd w:id="4"/>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5" w:name="_Toc389746560"/>
      <w:r>
        <w:rPr>
          <w:rStyle w:val="CharSectno"/>
        </w:rPr>
        <w:t>2AA</w:t>
      </w:r>
      <w:r>
        <w:rPr>
          <w:snapToGrid w:val="0"/>
        </w:rPr>
        <w:t>.</w:t>
      </w:r>
      <w:r>
        <w:rPr>
          <w:snapToGrid w:val="0"/>
        </w:rPr>
        <w:tab/>
        <w:t>Prescribed office (section 64B)</w:t>
      </w:r>
      <w:bookmarkEnd w:id="5"/>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6" w:name="_Toc389746561"/>
      <w:r>
        <w:rPr>
          <w:rStyle w:val="CharSectno"/>
        </w:rPr>
        <w:t>2A</w:t>
      </w:r>
      <w:r>
        <w:rPr>
          <w:snapToGrid w:val="0"/>
        </w:rPr>
        <w:t>.</w:t>
      </w:r>
      <w:r>
        <w:rPr>
          <w:snapToGrid w:val="0"/>
        </w:rPr>
        <w:tab/>
        <w:t>Exemptions</w:t>
      </w:r>
      <w:bookmarkEnd w:id="6"/>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w:t>
      </w:r>
      <w:r>
        <w:rPr>
          <w:bCs/>
          <w:iCs/>
        </w:rPr>
        <w:t xml:space="preserve"> SUSMP</w:t>
      </w:r>
      <w:r>
        <w:rPr>
          <w:snapToGrid w:val="0"/>
        </w:rPr>
        <w:t>;</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Ednotedivision"/>
      </w:pPr>
      <w:r>
        <w:t>[Heading deleted in Gazette 12 Aug 2003 p. 3663.]</w:t>
      </w:r>
    </w:p>
    <w:p>
      <w:pPr>
        <w:pStyle w:val="Heading2"/>
      </w:pPr>
      <w:bookmarkStart w:id="7" w:name="_Toc389746562"/>
      <w:r>
        <w:rPr>
          <w:rStyle w:val="CharPartNo"/>
        </w:rPr>
        <w:t>Part 2A</w:t>
      </w:r>
      <w:r>
        <w:rPr>
          <w:b w:val="0"/>
        </w:rPr>
        <w:t> </w:t>
      </w:r>
      <w:r>
        <w:t>—</w:t>
      </w:r>
      <w:r>
        <w:rPr>
          <w:b w:val="0"/>
        </w:rPr>
        <w:t> </w:t>
      </w:r>
      <w:r>
        <w:rPr>
          <w:rStyle w:val="CharPartText"/>
        </w:rPr>
        <w:t>Endorsed health practitioners</w:t>
      </w:r>
      <w:bookmarkEnd w:id="7"/>
    </w:p>
    <w:p>
      <w:pPr>
        <w:pStyle w:val="Footnoteheading"/>
      </w:pPr>
      <w:r>
        <w:tab/>
        <w:t>[Heading inserted in Gazette 19 Nov 2010 p. 5711.]</w:t>
      </w:r>
    </w:p>
    <w:p>
      <w:pPr>
        <w:pStyle w:val="Heading5"/>
      </w:pPr>
      <w:bookmarkStart w:id="8" w:name="_Toc389746563"/>
      <w:r>
        <w:rPr>
          <w:rStyle w:val="CharSectno"/>
        </w:rPr>
        <w:t>3A</w:t>
      </w:r>
      <w:r>
        <w:t>.</w:t>
      </w:r>
      <w:r>
        <w:tab/>
        <w:t>Optometrists</w:t>
      </w:r>
      <w:bookmarkEnd w:id="8"/>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9" w:name="_Toc389746564"/>
      <w:r>
        <w:rPr>
          <w:rStyle w:val="CharSectno"/>
        </w:rPr>
        <w:t>3B</w:t>
      </w:r>
      <w:r>
        <w:t>.</w:t>
      </w:r>
      <w:r>
        <w:tab/>
        <w:t>Supply</w:t>
      </w:r>
      <w:bookmarkEnd w:id="9"/>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2"/>
        <w:rPr>
          <w:i/>
        </w:rPr>
      </w:pPr>
      <w:bookmarkStart w:id="10" w:name="_Toc389746565"/>
      <w:r>
        <w:rPr>
          <w:rStyle w:val="CharPartNo"/>
        </w:rPr>
        <w:t>Part 2</w:t>
      </w:r>
      <w:r>
        <w:t xml:space="preserve"> — </w:t>
      </w:r>
      <w:r>
        <w:rPr>
          <w:rStyle w:val="CharPartText"/>
        </w:rPr>
        <w:t>Licences and permits</w:t>
      </w:r>
      <w:bookmarkEnd w:id="10"/>
      <w:r>
        <w:rPr>
          <w:i/>
        </w:rPr>
        <w:t xml:space="preserve"> </w:t>
      </w:r>
    </w:p>
    <w:p>
      <w:pPr>
        <w:pStyle w:val="Footnoteheading"/>
      </w:pPr>
      <w:r>
        <w:tab/>
        <w:t>[Heading inserted in Gazette 12 Aug 2003 p. 3664.]</w:t>
      </w:r>
    </w:p>
    <w:p>
      <w:pPr>
        <w:pStyle w:val="Heading3"/>
        <w:spacing w:before="220"/>
      </w:pPr>
      <w:bookmarkStart w:id="11" w:name="_Toc389746566"/>
      <w:r>
        <w:rPr>
          <w:rStyle w:val="CharDivNo"/>
        </w:rPr>
        <w:t>Division 1</w:t>
      </w:r>
      <w:r>
        <w:t xml:space="preserve"> — </w:t>
      </w:r>
      <w:r>
        <w:rPr>
          <w:rStyle w:val="CharDivText"/>
        </w:rPr>
        <w:t>General</w:t>
      </w:r>
      <w:bookmarkEnd w:id="11"/>
    </w:p>
    <w:p>
      <w:pPr>
        <w:pStyle w:val="Footnoteheading"/>
      </w:pPr>
      <w:r>
        <w:tab/>
        <w:t>[Heading inserted in Gazette 12 Aug 2003 p. 3664.]</w:t>
      </w:r>
    </w:p>
    <w:p>
      <w:pPr>
        <w:pStyle w:val="Heading5"/>
        <w:spacing w:before="180"/>
      </w:pPr>
      <w:bookmarkStart w:id="12" w:name="_Toc389746567"/>
      <w:r>
        <w:rPr>
          <w:rStyle w:val="CharSectno"/>
        </w:rPr>
        <w:t>3</w:t>
      </w:r>
      <w:r>
        <w:t>.</w:t>
      </w:r>
      <w:r>
        <w:tab/>
        <w:t>Wholesaler’s licences and permits</w:t>
      </w:r>
      <w:bookmarkEnd w:id="12"/>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64"/>
      </w:pPr>
      <w:r>
        <w:tab/>
        <w:t>(a)</w:t>
      </w:r>
      <w:r>
        <w:tab/>
        <w:t>a specified qualified person or a qualified person authorised under subregulation (4); or</w:t>
      </w:r>
    </w:p>
    <w:p>
      <w:pPr>
        <w:pStyle w:val="Indenta"/>
        <w:spacing w:before="64"/>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64"/>
      </w:pPr>
      <w:r>
        <w:tab/>
        <w:t>(a)</w:t>
      </w:r>
      <w:r>
        <w:tab/>
        <w:t>ceases to work for the licensee; or</w:t>
      </w:r>
    </w:p>
    <w:p>
      <w:pPr>
        <w:pStyle w:val="Indenta"/>
        <w:spacing w:before="64"/>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p>
      <w:pPr>
        <w:pStyle w:val="Ednotesection"/>
      </w:pPr>
      <w:r>
        <w:t>[</w:t>
      </w:r>
      <w:r>
        <w:rPr>
          <w:b/>
        </w:rPr>
        <w:t>4.</w:t>
      </w:r>
      <w:r>
        <w:tab/>
        <w:t>Deleted in Gazette 14 Sep 2001 p. 5073.]</w:t>
      </w:r>
    </w:p>
    <w:p>
      <w:pPr>
        <w:pStyle w:val="Ednotedivision"/>
      </w:pPr>
      <w:r>
        <w:t>[Heading deleted in Gazette 12 Aug 2003 p. 3663.]</w:t>
      </w:r>
    </w:p>
    <w:p>
      <w:pPr>
        <w:pStyle w:val="Heading5"/>
        <w:rPr>
          <w:snapToGrid w:val="0"/>
        </w:rPr>
      </w:pPr>
      <w:bookmarkStart w:id="13" w:name="_Toc389746568"/>
      <w:r>
        <w:rPr>
          <w:rStyle w:val="CharSectno"/>
        </w:rPr>
        <w:t>5</w:t>
      </w:r>
      <w:r>
        <w:rPr>
          <w:snapToGrid w:val="0"/>
        </w:rPr>
        <w:t>.</w:t>
      </w:r>
      <w:r>
        <w:rPr>
          <w:snapToGrid w:val="0"/>
        </w:rPr>
        <w:tab/>
        <w:t>Pharmacist’s licence to sell poisons</w:t>
      </w:r>
      <w:bookmarkEnd w:id="13"/>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pPr>
      <w:r>
        <w:tab/>
        <w:t>[Regulation 5 amended in Gazette 1 Oct 2010 p. 5078 and 5079-80]</w:t>
      </w:r>
    </w:p>
    <w:p>
      <w:pPr>
        <w:pStyle w:val="Ednotedivision"/>
      </w:pPr>
      <w:r>
        <w:t>[Heading deleted in Gazette 12 Aug 2003 p. 3663.]</w:t>
      </w:r>
    </w:p>
    <w:p>
      <w:pPr>
        <w:pStyle w:val="Ednotesection"/>
      </w:pPr>
      <w:r>
        <w:t>[</w:t>
      </w:r>
      <w:r>
        <w:rPr>
          <w:b/>
        </w:rPr>
        <w:t>6.</w:t>
      </w:r>
      <w:r>
        <w:rPr>
          <w:b/>
        </w:rPr>
        <w:tab/>
      </w:r>
      <w:r>
        <w:t xml:space="preserve">Deleted in Gazette 19 Mar 1996 p. 1217.] </w:t>
      </w:r>
    </w:p>
    <w:p>
      <w:pPr>
        <w:pStyle w:val="Ednotedivision"/>
      </w:pPr>
      <w:r>
        <w:t>[Heading deleted in Gazette 12 Aug 2003 p. 3663.]</w:t>
      </w:r>
    </w:p>
    <w:p>
      <w:pPr>
        <w:pStyle w:val="Heading5"/>
        <w:rPr>
          <w:snapToGrid w:val="0"/>
        </w:rPr>
      </w:pPr>
      <w:bookmarkStart w:id="14" w:name="_Toc389746569"/>
      <w:r>
        <w:rPr>
          <w:rStyle w:val="CharSectno"/>
        </w:rPr>
        <w:t>7</w:t>
      </w:r>
      <w:r>
        <w:rPr>
          <w:snapToGrid w:val="0"/>
        </w:rPr>
        <w:t>.</w:t>
      </w:r>
      <w:r>
        <w:rPr>
          <w:snapToGrid w:val="0"/>
        </w:rPr>
        <w:tab/>
        <w:t>Retailer’s licence to sell poisons specified in Schedule 2 to the Act</w:t>
      </w:r>
      <w:bookmarkEnd w:id="14"/>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rPr>
          <w:snapToGrid w:val="0"/>
        </w:rPr>
      </w:pPr>
      <w:bookmarkStart w:id="15" w:name="_Toc389746570"/>
      <w:r>
        <w:rPr>
          <w:rStyle w:val="CharSectno"/>
        </w:rPr>
        <w:t>8</w:t>
      </w:r>
      <w:r>
        <w:rPr>
          <w:snapToGrid w:val="0"/>
        </w:rPr>
        <w:t>.</w:t>
      </w:r>
      <w:r>
        <w:rPr>
          <w:snapToGrid w:val="0"/>
        </w:rPr>
        <w:tab/>
        <w:t>Retailer’s licence to sell poisons included in Schedule 7 to the Act</w:t>
      </w:r>
      <w:bookmarkEnd w:id="15"/>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16" w:name="_Toc389746571"/>
      <w:r>
        <w:rPr>
          <w:rStyle w:val="CharSectno"/>
        </w:rPr>
        <w:t>8A</w:t>
      </w:r>
      <w:r>
        <w:rPr>
          <w:snapToGrid w:val="0"/>
        </w:rPr>
        <w:t>.</w:t>
      </w:r>
      <w:r>
        <w:rPr>
          <w:snapToGrid w:val="0"/>
        </w:rPr>
        <w:tab/>
        <w:t>Poisons permit (distribution of samples)</w:t>
      </w:r>
      <w:bookmarkEnd w:id="16"/>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spacing w:before="60"/>
        <w:rPr>
          <w:snapToGrid w:val="0"/>
        </w:rPr>
      </w:pPr>
      <w:r>
        <w:rPr>
          <w:snapToGrid w:val="0"/>
        </w:rPr>
        <w:tab/>
        <w:t>(a)</w:t>
      </w:r>
      <w:r>
        <w:rPr>
          <w:snapToGrid w:val="0"/>
        </w:rPr>
        <w:tab/>
        <w:t>a representative of a person — </w:t>
      </w:r>
    </w:p>
    <w:p>
      <w:pPr>
        <w:pStyle w:val="Indenti"/>
        <w:spacing w:before="60"/>
        <w:rPr>
          <w:snapToGrid w:val="0"/>
        </w:rPr>
      </w:pPr>
      <w:r>
        <w:rPr>
          <w:snapToGrid w:val="0"/>
        </w:rPr>
        <w:tab/>
        <w:t>(i)</w:t>
      </w:r>
      <w:r>
        <w:rPr>
          <w:snapToGrid w:val="0"/>
        </w:rPr>
        <w:tab/>
        <w:t>licensed to manufacture poisons or to supply poisons by wholesale dealing; or</w:t>
      </w:r>
    </w:p>
    <w:p>
      <w:pPr>
        <w:pStyle w:val="Indenti"/>
        <w:spacing w:before="60"/>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spacing w:before="60"/>
        <w:rPr>
          <w:snapToGrid w:val="0"/>
        </w:rPr>
      </w:pPr>
      <w:r>
        <w:rPr>
          <w:snapToGrid w:val="0"/>
        </w:rPr>
        <w:tab/>
        <w:t>(b)</w:t>
      </w:r>
      <w:r>
        <w:rPr>
          <w:snapToGrid w:val="0"/>
        </w:rPr>
        <w:tab/>
        <w:t>not less than 21 years of age; and</w:t>
      </w:r>
    </w:p>
    <w:p>
      <w:pPr>
        <w:pStyle w:val="Indenta"/>
        <w:spacing w:before="60"/>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rPr>
          <w:snapToGrid w:val="0"/>
        </w:rPr>
      </w:pPr>
      <w:r>
        <w:tab/>
        <w:t>(e)</w:t>
      </w:r>
      <w:r>
        <w:tab/>
        <w:t>an endorsed optometrist.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w:t>
      </w:r>
    </w:p>
    <w:p>
      <w:pPr>
        <w:pStyle w:val="Ednotedivision"/>
      </w:pPr>
      <w:r>
        <w:t>[Heading deleted in Gazette 12 Aug 2003 p. 3663.]</w:t>
      </w:r>
    </w:p>
    <w:p>
      <w:pPr>
        <w:pStyle w:val="Heading5"/>
        <w:rPr>
          <w:snapToGrid w:val="0"/>
        </w:rPr>
      </w:pPr>
      <w:bookmarkStart w:id="17" w:name="_Toc389746572"/>
      <w:r>
        <w:rPr>
          <w:rStyle w:val="CharSectno"/>
        </w:rPr>
        <w:t>9</w:t>
      </w:r>
      <w:r>
        <w:rPr>
          <w:snapToGrid w:val="0"/>
        </w:rPr>
        <w:t>.</w:t>
      </w:r>
      <w:r>
        <w:rPr>
          <w:snapToGrid w:val="0"/>
        </w:rPr>
        <w:tab/>
        <w:t>Poisons permit (industrial)</w:t>
      </w:r>
      <w:bookmarkEnd w:id="17"/>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18" w:name="_Toc389746573"/>
      <w:r>
        <w:rPr>
          <w:rStyle w:val="CharSectno"/>
        </w:rPr>
        <w:t>10</w:t>
      </w:r>
      <w:r>
        <w:rPr>
          <w:snapToGrid w:val="0"/>
        </w:rPr>
        <w:t>.</w:t>
      </w:r>
      <w:r>
        <w:rPr>
          <w:snapToGrid w:val="0"/>
        </w:rPr>
        <w:tab/>
        <w:t>Poisons permit (educational, advisory or research)</w:t>
      </w:r>
      <w:bookmarkEnd w:id="18"/>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9" w:name="_Toc389746574"/>
      <w:r>
        <w:rPr>
          <w:rStyle w:val="CharSectno"/>
        </w:rPr>
        <w:t>10AA</w:t>
      </w:r>
      <w:r>
        <w:t>.</w:t>
      </w:r>
      <w:r>
        <w:tab/>
        <w:t>Poisons permit (health services)</w:t>
      </w:r>
      <w:bookmarkEnd w:id="19"/>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20" w:name="_Toc389746575"/>
      <w:r>
        <w:rPr>
          <w:rStyle w:val="CharSectno"/>
        </w:rPr>
        <w:t>10A</w:t>
      </w:r>
      <w:r>
        <w:rPr>
          <w:snapToGrid w:val="0"/>
        </w:rPr>
        <w:t>.</w:t>
      </w:r>
      <w:r>
        <w:rPr>
          <w:snapToGrid w:val="0"/>
        </w:rPr>
        <w:tab/>
        <w:t>Poisons permit (departmental and hospital)</w:t>
      </w:r>
      <w:bookmarkEnd w:id="20"/>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21" w:name="_Toc389746576"/>
      <w:r>
        <w:rPr>
          <w:rStyle w:val="CharSectno"/>
        </w:rPr>
        <w:t>10B</w:t>
      </w:r>
      <w:r>
        <w:rPr>
          <w:snapToGrid w:val="0"/>
        </w:rPr>
        <w:t>.</w:t>
      </w:r>
      <w:r>
        <w:rPr>
          <w:snapToGrid w:val="0"/>
        </w:rPr>
        <w:tab/>
        <w:t>Licence to cultivate prohibited plants</w:t>
      </w:r>
      <w:bookmarkEnd w:id="21"/>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22" w:name="_Toc389746577"/>
      <w:r>
        <w:rPr>
          <w:rStyle w:val="CharSectno"/>
        </w:rPr>
        <w:t>11</w:t>
      </w:r>
      <w:r>
        <w:rPr>
          <w:snapToGrid w:val="0"/>
        </w:rPr>
        <w:t>.</w:t>
      </w:r>
      <w:r>
        <w:rPr>
          <w:snapToGrid w:val="0"/>
        </w:rPr>
        <w:tab/>
      </w:r>
      <w:r>
        <w:t>CEO</w:t>
      </w:r>
      <w:r>
        <w:rPr>
          <w:snapToGrid w:val="0"/>
        </w:rPr>
        <w:t xml:space="preserve"> may designate remote area nursing posts</w:t>
      </w:r>
      <w:bookmarkEnd w:id="22"/>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23" w:name="_Toc389746578"/>
      <w:r>
        <w:rPr>
          <w:rStyle w:val="CharSectno"/>
        </w:rPr>
        <w:t>11A</w:t>
      </w:r>
      <w:r>
        <w:t>.</w:t>
      </w:r>
      <w:r>
        <w:tab/>
        <w:t>CEO may designate areas for the purposes of section 23 of the Act</w:t>
      </w:r>
      <w:bookmarkEnd w:id="23"/>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4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spacing w:before="100"/>
        <w:ind w:left="890" w:hanging="890"/>
      </w:pPr>
      <w:r>
        <w:tab/>
        <w:t>[Regulation 11A inserted by Act No. 9 of 2003 s. 42; amended in Gazette 15 Dec 2006 p. 5630 and 5631.]</w:t>
      </w:r>
    </w:p>
    <w:p>
      <w:pPr>
        <w:pStyle w:val="Ednotedivision"/>
        <w:spacing w:before="180"/>
      </w:pPr>
      <w:r>
        <w:t>[Heading deleted in Gazette 12 Aug 2003 p. 3663.]</w:t>
      </w:r>
    </w:p>
    <w:p>
      <w:pPr>
        <w:pStyle w:val="Heading5"/>
        <w:rPr>
          <w:snapToGrid w:val="0"/>
        </w:rPr>
      </w:pPr>
      <w:bookmarkStart w:id="24" w:name="_Toc389746579"/>
      <w:r>
        <w:rPr>
          <w:rStyle w:val="CharSectno"/>
        </w:rPr>
        <w:t>12</w:t>
      </w:r>
      <w:r>
        <w:rPr>
          <w:snapToGrid w:val="0"/>
        </w:rPr>
        <w:t>.</w:t>
      </w:r>
      <w:r>
        <w:rPr>
          <w:snapToGrid w:val="0"/>
        </w:rPr>
        <w:tab/>
        <w:t>Application for licence or permit (sections 24 and 25)</w:t>
      </w:r>
      <w:bookmarkEnd w:id="24"/>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25" w:name="_Toc389746580"/>
      <w:r>
        <w:rPr>
          <w:rStyle w:val="CharDivNo"/>
        </w:rPr>
        <w:t>Division 2</w:t>
      </w:r>
      <w:r>
        <w:t xml:space="preserve"> — </w:t>
      </w:r>
      <w:r>
        <w:rPr>
          <w:rStyle w:val="CharDivText"/>
        </w:rPr>
        <w:t>Needle and syringe programme</w:t>
      </w:r>
      <w:bookmarkEnd w:id="25"/>
    </w:p>
    <w:p>
      <w:pPr>
        <w:pStyle w:val="Footnoteheading"/>
      </w:pPr>
      <w:r>
        <w:tab/>
        <w:t>[Heading inserted in Gazette 12 Aug 2003 p. 3664.]</w:t>
      </w:r>
    </w:p>
    <w:p>
      <w:pPr>
        <w:pStyle w:val="Heading5"/>
        <w:rPr>
          <w:snapToGrid w:val="0"/>
        </w:rPr>
      </w:pPr>
      <w:bookmarkStart w:id="26" w:name="_Toc389746581"/>
      <w:r>
        <w:rPr>
          <w:rStyle w:val="CharSectno"/>
        </w:rPr>
        <w:t>12A</w:t>
      </w:r>
      <w:r>
        <w:rPr>
          <w:snapToGrid w:val="0"/>
        </w:rPr>
        <w:t>.</w:t>
      </w:r>
      <w:r>
        <w:rPr>
          <w:snapToGrid w:val="0"/>
        </w:rPr>
        <w:tab/>
        <w:t>Approval of needle and syringe programme</w:t>
      </w:r>
      <w:bookmarkEnd w:id="26"/>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27" w:name="_Toc389746582"/>
      <w:r>
        <w:rPr>
          <w:rStyle w:val="CharSectno"/>
        </w:rPr>
        <w:t>12B</w:t>
      </w:r>
      <w:r>
        <w:rPr>
          <w:snapToGrid w:val="0"/>
        </w:rPr>
        <w:t>.</w:t>
      </w:r>
      <w:r>
        <w:rPr>
          <w:snapToGrid w:val="0"/>
        </w:rPr>
        <w:tab/>
        <w:t>Copy of approval to be provided</w:t>
      </w:r>
      <w:bookmarkEnd w:id="27"/>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28" w:name="_Toc389746583"/>
      <w:r>
        <w:rPr>
          <w:rStyle w:val="CharSectno"/>
        </w:rPr>
        <w:t>12C</w:t>
      </w:r>
      <w:r>
        <w:rPr>
          <w:snapToGrid w:val="0"/>
        </w:rPr>
        <w:t>.</w:t>
      </w:r>
      <w:r>
        <w:rPr>
          <w:snapToGrid w:val="0"/>
        </w:rPr>
        <w:tab/>
        <w:t>Duties of coordinator</w:t>
      </w:r>
      <w:bookmarkEnd w:id="28"/>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spacing w:before="180"/>
        <w:rPr>
          <w:snapToGrid w:val="0"/>
        </w:rPr>
      </w:pPr>
      <w:bookmarkStart w:id="29" w:name="_Toc389746584"/>
      <w:r>
        <w:rPr>
          <w:rStyle w:val="CharSectno"/>
        </w:rPr>
        <w:t>12D</w:t>
      </w:r>
      <w:r>
        <w:rPr>
          <w:snapToGrid w:val="0"/>
        </w:rPr>
        <w:t>.</w:t>
      </w:r>
      <w:r>
        <w:rPr>
          <w:snapToGrid w:val="0"/>
        </w:rPr>
        <w:tab/>
        <w:t>Requirements relating to programme</w:t>
      </w:r>
      <w:bookmarkEnd w:id="29"/>
      <w:r>
        <w:rPr>
          <w:snapToGrid w:val="0"/>
        </w:rPr>
        <w:t xml:space="preserve"> </w:t>
      </w:r>
    </w:p>
    <w:p>
      <w:pPr>
        <w:pStyle w:val="Subsection"/>
        <w:spacing w:before="15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spacing w:before="150"/>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100"/>
        <w:ind w:left="890" w:hanging="890"/>
      </w:pPr>
      <w:r>
        <w:tab/>
        <w:t>[Regulation 12D inserted in Gazette 26 May 1994 p. 2199; amended in Gazette 15 Dec 2006 p. 5630.]</w:t>
      </w:r>
    </w:p>
    <w:p>
      <w:pPr>
        <w:pStyle w:val="Heading5"/>
        <w:rPr>
          <w:snapToGrid w:val="0"/>
        </w:rPr>
      </w:pPr>
      <w:bookmarkStart w:id="30" w:name="_Toc389746585"/>
      <w:r>
        <w:rPr>
          <w:rStyle w:val="CharSectno"/>
        </w:rPr>
        <w:t>12E</w:t>
      </w:r>
      <w:r>
        <w:rPr>
          <w:snapToGrid w:val="0"/>
        </w:rPr>
        <w:t>.</w:t>
      </w:r>
      <w:r>
        <w:rPr>
          <w:snapToGrid w:val="0"/>
        </w:rPr>
        <w:tab/>
        <w:t>Direction to person not to participate in programme</w:t>
      </w:r>
      <w:bookmarkEnd w:id="30"/>
    </w:p>
    <w:p>
      <w:pPr>
        <w:pStyle w:val="Subsection"/>
        <w:spacing w:before="150"/>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spacing w:before="150"/>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rPr>
          <w:snapToGrid w:val="0"/>
        </w:rPr>
      </w:pPr>
      <w:bookmarkStart w:id="31" w:name="_Toc389746586"/>
      <w:r>
        <w:rPr>
          <w:rStyle w:val="CharSectno"/>
        </w:rPr>
        <w:t>12F</w:t>
      </w:r>
      <w:r>
        <w:rPr>
          <w:snapToGrid w:val="0"/>
        </w:rPr>
        <w:t>.</w:t>
      </w:r>
      <w:r>
        <w:rPr>
          <w:snapToGrid w:val="0"/>
        </w:rPr>
        <w:tab/>
        <w:t>Requirements relating to used hypodermic needles and syringes</w:t>
      </w:r>
      <w:bookmarkEnd w:id="31"/>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Deleted in Gazette 19 Mar 1996 p. 1219.] </w:t>
      </w:r>
    </w:p>
    <w:p>
      <w:pPr>
        <w:pStyle w:val="Heading3"/>
      </w:pPr>
      <w:bookmarkStart w:id="32" w:name="_Toc389746587"/>
      <w:r>
        <w:rPr>
          <w:rStyle w:val="CharDivNo"/>
        </w:rPr>
        <w:t>Division 3</w:t>
      </w:r>
      <w:r>
        <w:t xml:space="preserve"> — </w:t>
      </w:r>
      <w:r>
        <w:rPr>
          <w:rStyle w:val="CharDivText"/>
        </w:rPr>
        <w:t>Restrictions and obligations</w:t>
      </w:r>
      <w:bookmarkEnd w:id="32"/>
    </w:p>
    <w:p>
      <w:pPr>
        <w:pStyle w:val="Footnoteheading"/>
      </w:pPr>
      <w:r>
        <w:tab/>
        <w:t>[Heading inserted in Gazette 12 Aug 2003 p. 3664.]</w:t>
      </w:r>
    </w:p>
    <w:p>
      <w:pPr>
        <w:pStyle w:val="Heading5"/>
        <w:rPr>
          <w:snapToGrid w:val="0"/>
        </w:rPr>
      </w:pPr>
      <w:bookmarkStart w:id="33" w:name="_Toc389746588"/>
      <w:r>
        <w:rPr>
          <w:rStyle w:val="CharSectno"/>
        </w:rPr>
        <w:t>15</w:t>
      </w:r>
      <w:r>
        <w:rPr>
          <w:snapToGrid w:val="0"/>
        </w:rPr>
        <w:t>.</w:t>
      </w:r>
      <w:r>
        <w:rPr>
          <w:snapToGrid w:val="0"/>
        </w:rPr>
        <w:tab/>
        <w:t>Restriction to issue of licence or permit</w:t>
      </w:r>
      <w:bookmarkEnd w:id="33"/>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34" w:name="_Toc389746589"/>
      <w:r>
        <w:rPr>
          <w:rStyle w:val="CharSectno"/>
        </w:rPr>
        <w:t>16</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poison only by licensee</w:t>
      </w:r>
      <w:bookmarkEnd w:id="34"/>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35" w:name="_Toc389746590"/>
      <w:r>
        <w:rPr>
          <w:rStyle w:val="CharSectno"/>
        </w:rPr>
        <w:t>17</w:t>
      </w:r>
      <w:r>
        <w:rPr>
          <w:snapToGrid w:val="0"/>
        </w:rPr>
        <w:t>.</w:t>
      </w:r>
      <w:r>
        <w:rPr>
          <w:snapToGrid w:val="0"/>
        </w:rPr>
        <w:tab/>
        <w:t>Licence or permit not transferable</w:t>
      </w:r>
      <w:bookmarkEnd w:id="35"/>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36" w:name="_Toc389746591"/>
      <w:r>
        <w:rPr>
          <w:rStyle w:val="CharSectno"/>
        </w:rPr>
        <w:t>18</w:t>
      </w:r>
      <w:r>
        <w:rPr>
          <w:snapToGrid w:val="0"/>
        </w:rPr>
        <w:t>.</w:t>
      </w:r>
      <w:r>
        <w:rPr>
          <w:snapToGrid w:val="0"/>
        </w:rPr>
        <w:tab/>
        <w:t>Licensee to display licence</w:t>
      </w:r>
      <w:bookmarkEnd w:id="36"/>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37" w:name="_Toc389746592"/>
      <w:r>
        <w:rPr>
          <w:rStyle w:val="CharPartNo"/>
        </w:rPr>
        <w:t>Part 3</w:t>
      </w:r>
      <w:r>
        <w:t xml:space="preserve"> — </w:t>
      </w:r>
      <w:r>
        <w:rPr>
          <w:rStyle w:val="CharPartText"/>
        </w:rPr>
        <w:t>Containers and labels</w:t>
      </w:r>
      <w:bookmarkEnd w:id="37"/>
      <w:r>
        <w:rPr>
          <w:i/>
        </w:rPr>
        <w:t xml:space="preserve"> </w:t>
      </w:r>
    </w:p>
    <w:p>
      <w:pPr>
        <w:pStyle w:val="Footnoteheading"/>
      </w:pPr>
      <w:r>
        <w:tab/>
        <w:t>[Heading inserted in Gazette 12 Aug 2003 p. 3664.]</w:t>
      </w:r>
    </w:p>
    <w:p>
      <w:pPr>
        <w:pStyle w:val="Heading3"/>
        <w:keepNext w:val="0"/>
      </w:pPr>
      <w:bookmarkStart w:id="38" w:name="_Toc389746593"/>
      <w:r>
        <w:rPr>
          <w:rStyle w:val="CharDivNo"/>
        </w:rPr>
        <w:t>Division 1</w:t>
      </w:r>
      <w:r>
        <w:t xml:space="preserve"> — </w:t>
      </w:r>
      <w:r>
        <w:rPr>
          <w:rStyle w:val="CharDivText"/>
        </w:rPr>
        <w:t>Containers</w:t>
      </w:r>
      <w:bookmarkEnd w:id="38"/>
    </w:p>
    <w:p>
      <w:pPr>
        <w:pStyle w:val="Footnoteheading"/>
      </w:pPr>
      <w:r>
        <w:tab/>
        <w:t>[Heading inserted in Gazette 12 Aug 2003 p. 3664.]</w:t>
      </w:r>
    </w:p>
    <w:p>
      <w:pPr>
        <w:pStyle w:val="Heading5"/>
        <w:rPr>
          <w:snapToGrid w:val="0"/>
        </w:rPr>
      </w:pPr>
      <w:bookmarkStart w:id="39" w:name="_Toc389746594"/>
      <w:r>
        <w:rPr>
          <w:rStyle w:val="CharSectno"/>
        </w:rPr>
        <w:t>19</w:t>
      </w:r>
      <w:r>
        <w:rPr>
          <w:snapToGrid w:val="0"/>
        </w:rPr>
        <w:t>.</w:t>
      </w:r>
      <w:r>
        <w:rPr>
          <w:snapToGrid w:val="0"/>
        </w:rPr>
        <w:tab/>
        <w:t>Adoption of SUSMP for containers and labels</w:t>
      </w:r>
      <w:bookmarkEnd w:id="39"/>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40" w:name="_Toc389746595"/>
      <w:r>
        <w:rPr>
          <w:rStyle w:val="CharSectno"/>
        </w:rPr>
        <w:t>19AA</w:t>
      </w:r>
      <w:r>
        <w:rPr>
          <w:snapToGrid w:val="0"/>
        </w:rPr>
        <w:t>.</w:t>
      </w:r>
      <w:r>
        <w:rPr>
          <w:snapToGrid w:val="0"/>
        </w:rPr>
        <w:tab/>
        <w:t>Certain containers prohibited</w:t>
      </w:r>
      <w:bookmarkEnd w:id="40"/>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41" w:name="_Toc389746596"/>
      <w:r>
        <w:rPr>
          <w:rStyle w:val="CharSectno"/>
        </w:rPr>
        <w:t>19A</w:t>
      </w:r>
      <w:r>
        <w:rPr>
          <w:snapToGrid w:val="0"/>
        </w:rPr>
        <w:t>.</w:t>
      </w:r>
      <w:r>
        <w:rPr>
          <w:snapToGrid w:val="0"/>
        </w:rPr>
        <w:tab/>
        <w:t>Food etc. containers to be distinguishable from poison containers</w:t>
      </w:r>
      <w:bookmarkEnd w:id="41"/>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42" w:name="_Toc389746597"/>
      <w:r>
        <w:rPr>
          <w:rStyle w:val="CharDivNo"/>
        </w:rPr>
        <w:t>Division 2</w:t>
      </w:r>
      <w:r>
        <w:t xml:space="preserve"> — </w:t>
      </w:r>
      <w:r>
        <w:rPr>
          <w:rStyle w:val="CharDivText"/>
        </w:rPr>
        <w:t>Labels</w:t>
      </w:r>
      <w:bookmarkEnd w:id="42"/>
    </w:p>
    <w:p>
      <w:pPr>
        <w:pStyle w:val="Footnoteheading"/>
        <w:spacing w:before="100"/>
      </w:pPr>
      <w:r>
        <w:tab/>
        <w:t>[Heading inserted in Gazette 12 Aug 2003 p. 3664.]</w:t>
      </w:r>
    </w:p>
    <w:p>
      <w:pPr>
        <w:pStyle w:val="Heading5"/>
        <w:rPr>
          <w:snapToGrid w:val="0"/>
        </w:rPr>
      </w:pPr>
      <w:bookmarkStart w:id="43" w:name="_Toc389746598"/>
      <w:r>
        <w:rPr>
          <w:rStyle w:val="CharSectno"/>
        </w:rPr>
        <w:t>21</w:t>
      </w:r>
      <w:r>
        <w:rPr>
          <w:snapToGrid w:val="0"/>
        </w:rPr>
        <w:t>.</w:t>
      </w:r>
      <w:r>
        <w:rPr>
          <w:snapToGrid w:val="0"/>
        </w:rPr>
        <w:tab/>
        <w:t>Labels on medicines or preparations</w:t>
      </w:r>
      <w:bookmarkEnd w:id="43"/>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endorsed optometrist, </w:t>
      </w:r>
      <w:r>
        <w:rPr>
          <w:snapToGrid w:val="0"/>
        </w:rPr>
        <w:t>for human external use shall comply with that regulation if it is labelled in accordance with paragraph (a), together with the words “Not to be taken”;</w:t>
      </w:r>
    </w:p>
    <w:p>
      <w:pPr>
        <w:pStyle w:val="Indenta"/>
        <w:spacing w:before="7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70"/>
        <w:rPr>
          <w:snapToGrid w:val="0"/>
        </w:rPr>
      </w:pPr>
      <w:r>
        <w:rPr>
          <w:snapToGrid w:val="0"/>
        </w:rPr>
        <w:tab/>
        <w:t>(i)</w:t>
      </w:r>
      <w:r>
        <w:rPr>
          <w:snapToGrid w:val="0"/>
        </w:rPr>
        <w:tab/>
        <w:t>the words “Keep out of reach of children”;</w:t>
      </w:r>
    </w:p>
    <w:p>
      <w:pPr>
        <w:pStyle w:val="Indenti"/>
        <w:spacing w:before="7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spacing w:before="70"/>
        <w:rPr>
          <w:snapToGrid w:val="0"/>
        </w:rPr>
      </w:pPr>
      <w:r>
        <w:rPr>
          <w:snapToGrid w:val="0"/>
        </w:rPr>
        <w:tab/>
        <w:t>(iii)</w:t>
      </w:r>
      <w:r>
        <w:rPr>
          <w:snapToGrid w:val="0"/>
        </w:rPr>
        <w:tab/>
        <w:t>the owner’s surname and the species of animal;</w:t>
      </w:r>
    </w:p>
    <w:p>
      <w:pPr>
        <w:pStyle w:val="Indenti"/>
        <w:spacing w:before="70"/>
        <w:rPr>
          <w:snapToGrid w:val="0"/>
        </w:rPr>
      </w:pPr>
      <w:r>
        <w:rPr>
          <w:snapToGrid w:val="0"/>
        </w:rPr>
        <w:tab/>
        <w:t>(iv)</w:t>
      </w:r>
      <w:r>
        <w:rPr>
          <w:snapToGrid w:val="0"/>
        </w:rPr>
        <w:tab/>
        <w:t>instructions for the use of that medicine or preparation;</w:t>
      </w:r>
    </w:p>
    <w:p>
      <w:pPr>
        <w:pStyle w:val="Indenti"/>
        <w:spacing w:before="7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7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70"/>
        <w:rPr>
          <w:snapToGrid w:val="0"/>
        </w:rPr>
      </w:pPr>
      <w:r>
        <w:rPr>
          <w:snapToGrid w:val="0"/>
        </w:rPr>
        <w:tab/>
        <w:t>(II)</w:t>
      </w:r>
      <w:r>
        <w:rPr>
          <w:snapToGrid w:val="0"/>
        </w:rPr>
        <w:tab/>
        <w:t>the patient’s records, in the case of a veterinary surgeon;</w:t>
      </w:r>
    </w:p>
    <w:p>
      <w:pPr>
        <w:pStyle w:val="Indenti"/>
        <w:spacing w:before="70"/>
        <w:rPr>
          <w:snapToGrid w:val="0"/>
        </w:rPr>
      </w:pPr>
      <w:r>
        <w:rPr>
          <w:snapToGrid w:val="0"/>
        </w:rPr>
        <w:tab/>
        <w:t>(vi)</w:t>
      </w:r>
      <w:r>
        <w:rPr>
          <w:snapToGrid w:val="0"/>
        </w:rPr>
        <w:tab/>
        <w:t>the name and address of the pharmacy, or veterinary practice, from which it is supplied;</w:t>
      </w:r>
    </w:p>
    <w:p>
      <w:pPr>
        <w:pStyle w:val="Indenti"/>
        <w:spacing w:before="7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70"/>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1 Oct 2010 p. 5079-80; amended by Act No. 9 of 2003 s. 43; 19 Nov 2010 p. 5712.]</w:t>
      </w:r>
    </w:p>
    <w:p>
      <w:pPr>
        <w:pStyle w:val="Heading5"/>
        <w:spacing w:before="180"/>
        <w:rPr>
          <w:snapToGrid w:val="0"/>
        </w:rPr>
      </w:pPr>
      <w:bookmarkStart w:id="44" w:name="_Toc389746599"/>
      <w:r>
        <w:rPr>
          <w:rStyle w:val="CharSectno"/>
        </w:rPr>
        <w:t>21A</w:t>
      </w:r>
      <w:r>
        <w:rPr>
          <w:snapToGrid w:val="0"/>
        </w:rPr>
        <w:t>.</w:t>
      </w:r>
      <w:r>
        <w:rPr>
          <w:snapToGrid w:val="0"/>
        </w:rPr>
        <w:tab/>
        <w:t>Appendix K container must have appropriate label</w:t>
      </w:r>
      <w:bookmarkEnd w:id="44"/>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1 Oct 2010 p. 5079-80; 22 Oct 2010 p. 5218.]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45" w:name="_Toc389746600"/>
      <w:r>
        <w:rPr>
          <w:rStyle w:val="CharSectno"/>
        </w:rPr>
        <w:t>24A</w:t>
      </w:r>
      <w:r>
        <w:rPr>
          <w:snapToGrid w:val="0"/>
        </w:rPr>
        <w:t>.</w:t>
      </w:r>
      <w:r>
        <w:rPr>
          <w:snapToGrid w:val="0"/>
        </w:rPr>
        <w:tab/>
        <w:t>Carcinogenicity and teratogenicity warnings to be approved</w:t>
      </w:r>
      <w:bookmarkEnd w:id="45"/>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46" w:name="_Toc389746601"/>
      <w:r>
        <w:rPr>
          <w:rStyle w:val="CharDivNo"/>
        </w:rPr>
        <w:t>Division 3</w:t>
      </w:r>
      <w:r>
        <w:t xml:space="preserve"> — </w:t>
      </w:r>
      <w:r>
        <w:rPr>
          <w:rStyle w:val="CharDivText"/>
        </w:rPr>
        <w:t>General</w:t>
      </w:r>
      <w:bookmarkEnd w:id="46"/>
    </w:p>
    <w:p>
      <w:pPr>
        <w:pStyle w:val="Footnoteheading"/>
      </w:pPr>
      <w:r>
        <w:tab/>
        <w:t>[Heading inserted in Gazette 12 Aug 2003 p. 3664.]</w:t>
      </w:r>
    </w:p>
    <w:p>
      <w:pPr>
        <w:pStyle w:val="Heading5"/>
        <w:keepLines w:val="0"/>
        <w:rPr>
          <w:snapToGrid w:val="0"/>
        </w:rPr>
      </w:pPr>
      <w:bookmarkStart w:id="47" w:name="_Toc389746602"/>
      <w:r>
        <w:rPr>
          <w:rStyle w:val="CharSectno"/>
        </w:rPr>
        <w:t>25</w:t>
      </w:r>
      <w:r>
        <w:rPr>
          <w:snapToGrid w:val="0"/>
        </w:rPr>
        <w:t>.</w:t>
      </w:r>
      <w:r>
        <w:rPr>
          <w:snapToGrid w:val="0"/>
        </w:rPr>
        <w:tab/>
      </w:r>
      <w:r>
        <w:t>CEO</w:t>
      </w:r>
      <w:r>
        <w:rPr>
          <w:snapToGrid w:val="0"/>
        </w:rPr>
        <w:t xml:space="preserve"> may approve container or label</w:t>
      </w:r>
      <w:bookmarkEnd w:id="4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48" w:name="_Toc389746603"/>
      <w:r>
        <w:rPr>
          <w:rStyle w:val="CharSectno"/>
        </w:rPr>
        <w:t>26</w:t>
      </w:r>
      <w:r>
        <w:rPr>
          <w:snapToGrid w:val="0"/>
        </w:rPr>
        <w:t>.</w:t>
      </w:r>
      <w:r>
        <w:rPr>
          <w:snapToGrid w:val="0"/>
        </w:rPr>
        <w:tab/>
      </w:r>
      <w:r>
        <w:t>CEO</w:t>
      </w:r>
      <w:r>
        <w:rPr>
          <w:snapToGrid w:val="0"/>
          <w:spacing w:val="-4"/>
        </w:rPr>
        <w:t xml:space="preserve"> may suspend use of container or label</w:t>
      </w:r>
      <w:bookmarkEnd w:id="4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49" w:name="_Toc389746604"/>
      <w:r>
        <w:rPr>
          <w:rStyle w:val="CharPartNo"/>
        </w:rPr>
        <w:t>Part 4</w:t>
      </w:r>
      <w:r>
        <w:rPr>
          <w:rStyle w:val="CharDivNo"/>
        </w:rPr>
        <w:t> </w:t>
      </w:r>
      <w:r>
        <w:t>—</w:t>
      </w:r>
      <w:r>
        <w:rPr>
          <w:rStyle w:val="CharDivText"/>
        </w:rPr>
        <w:t> </w:t>
      </w:r>
      <w:r>
        <w:rPr>
          <w:rStyle w:val="CharPartText"/>
        </w:rPr>
        <w:t>Storage, disposal and loss or theft of poisons</w:t>
      </w:r>
      <w:bookmarkEnd w:id="49"/>
    </w:p>
    <w:p>
      <w:pPr>
        <w:pStyle w:val="Footnoteheading"/>
      </w:pPr>
      <w:r>
        <w:tab/>
        <w:t>[Heading inserted in Gazette 12 Aug 2003 p. 3664.]</w:t>
      </w:r>
    </w:p>
    <w:p>
      <w:pPr>
        <w:pStyle w:val="Heading5"/>
        <w:rPr>
          <w:snapToGrid w:val="0"/>
        </w:rPr>
      </w:pPr>
      <w:bookmarkStart w:id="50" w:name="_Toc389746605"/>
      <w:r>
        <w:rPr>
          <w:rStyle w:val="CharSectno"/>
        </w:rPr>
        <w:t>30</w:t>
      </w:r>
      <w:r>
        <w:rPr>
          <w:snapToGrid w:val="0"/>
        </w:rPr>
        <w:t>.</w:t>
      </w:r>
      <w:r>
        <w:rPr>
          <w:snapToGrid w:val="0"/>
        </w:rPr>
        <w:tab/>
        <w:t>Storage of substances other than those specified in regulation 56</w:t>
      </w:r>
      <w:bookmarkEnd w:id="50"/>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51" w:name="_Toc389746606"/>
      <w:r>
        <w:rPr>
          <w:rStyle w:val="CharSectno"/>
        </w:rPr>
        <w:t>31</w:t>
      </w:r>
      <w:r>
        <w:rPr>
          <w:snapToGrid w:val="0"/>
        </w:rPr>
        <w:t>.</w:t>
      </w:r>
      <w:r>
        <w:rPr>
          <w:snapToGrid w:val="0"/>
        </w:rPr>
        <w:tab/>
        <w:t>Disposal of poisons</w:t>
      </w:r>
      <w:bookmarkEnd w:id="51"/>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52" w:name="_Toc389746607"/>
      <w:r>
        <w:rPr>
          <w:rStyle w:val="CharSectno"/>
        </w:rPr>
        <w:t>32</w:t>
      </w:r>
      <w:r>
        <w:rPr>
          <w:snapToGrid w:val="0"/>
        </w:rPr>
        <w:t>.</w:t>
      </w:r>
      <w:r>
        <w:rPr>
          <w:snapToGrid w:val="0"/>
        </w:rPr>
        <w:tab/>
        <w:t>Notification of loss or theft of poison</w:t>
      </w:r>
      <w:bookmarkEnd w:id="52"/>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53" w:name="_Toc389746608"/>
      <w:r>
        <w:rPr>
          <w:rStyle w:val="CharPartNo"/>
        </w:rPr>
        <w:t>Part 4A</w:t>
      </w:r>
      <w:r>
        <w:rPr>
          <w:b w:val="0"/>
        </w:rPr>
        <w:t> </w:t>
      </w:r>
      <w:r>
        <w:t>—</w:t>
      </w:r>
      <w:r>
        <w:rPr>
          <w:b w:val="0"/>
        </w:rPr>
        <w:t> </w:t>
      </w:r>
      <w:r>
        <w:rPr>
          <w:rStyle w:val="CharPartText"/>
        </w:rPr>
        <w:t>Electronic prescribing systems</w:t>
      </w:r>
      <w:bookmarkEnd w:id="53"/>
    </w:p>
    <w:p>
      <w:pPr>
        <w:pStyle w:val="Footnoteheading"/>
        <w:spacing w:before="100"/>
      </w:pPr>
      <w:r>
        <w:tab/>
        <w:t>[Heading inserted in Gazette 7 Nov 2008 p. 4806.]</w:t>
      </w:r>
    </w:p>
    <w:p>
      <w:pPr>
        <w:pStyle w:val="Heading5"/>
      </w:pPr>
      <w:bookmarkStart w:id="54" w:name="_Toc389746609"/>
      <w:r>
        <w:rPr>
          <w:rStyle w:val="CharSectno"/>
        </w:rPr>
        <w:t>32A</w:t>
      </w:r>
      <w:r>
        <w:t>.</w:t>
      </w:r>
      <w:r>
        <w:tab/>
        <w:t>Terms used</w:t>
      </w:r>
      <w:bookmarkEnd w:id="54"/>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55" w:name="_Toc389746610"/>
      <w:r>
        <w:rPr>
          <w:rStyle w:val="CharSectno"/>
        </w:rPr>
        <w:t>32B</w:t>
      </w:r>
      <w:r>
        <w:t>.</w:t>
      </w:r>
      <w:r>
        <w:tab/>
        <w:t>Approval of electronic prescribing systems</w:t>
      </w:r>
      <w:bookmarkEnd w:id="55"/>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5079-80.]</w:t>
      </w:r>
    </w:p>
    <w:p>
      <w:pPr>
        <w:pStyle w:val="Heading5"/>
      </w:pPr>
      <w:bookmarkStart w:id="56" w:name="_Toc389746611"/>
      <w:r>
        <w:rPr>
          <w:rStyle w:val="CharSectno"/>
        </w:rPr>
        <w:t>32C</w:t>
      </w:r>
      <w:r>
        <w:t>.</w:t>
      </w:r>
      <w:r>
        <w:tab/>
        <w:t>System administrators</w:t>
      </w:r>
      <w:bookmarkEnd w:id="56"/>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57" w:name="_Toc389746612"/>
      <w:r>
        <w:rPr>
          <w:rStyle w:val="CharSectno"/>
        </w:rPr>
        <w:t>32D</w:t>
      </w:r>
      <w:r>
        <w:t>.</w:t>
      </w:r>
      <w:r>
        <w:tab/>
        <w:t>Offence provisions</w:t>
      </w:r>
      <w:bookmarkEnd w:id="57"/>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spacing w:before="60"/>
      </w:pPr>
      <w:r>
        <w:tab/>
        <w:t>(b)</w:t>
      </w:r>
      <w:r>
        <w:tab/>
        <w:t>otherwise allow another person to have access to the system unless to do so is in accordance with the procedures that control access to the system.</w:t>
      </w:r>
    </w:p>
    <w:p>
      <w:pPr>
        <w:pStyle w:val="Penstart"/>
        <w:spacing w:before="70"/>
      </w:pPr>
      <w:r>
        <w:tab/>
        <w:t>Penalty: a fine of $5 000.</w:t>
      </w:r>
    </w:p>
    <w:p>
      <w:pPr>
        <w:pStyle w:val="Subsection"/>
        <w:spacing w:before="120"/>
      </w:pPr>
      <w:r>
        <w:tab/>
        <w:t>(3)</w:t>
      </w:r>
      <w:r>
        <w:tab/>
        <w:t>A person must not make inappropriate use of an approved electronic prescribing system.</w:t>
      </w:r>
    </w:p>
    <w:p>
      <w:pPr>
        <w:pStyle w:val="Penstart"/>
        <w:spacing w:before="70"/>
      </w:pPr>
      <w:r>
        <w:tab/>
        <w:t>Penalty: a fine of $5 000.</w:t>
      </w:r>
    </w:p>
    <w:p>
      <w:pPr>
        <w:pStyle w:val="Subsection"/>
        <w:spacing w:before="120"/>
      </w:pPr>
      <w:r>
        <w:tab/>
        <w:t>(4)</w:t>
      </w:r>
      <w:r>
        <w:tab/>
        <w:t xml:space="preserve">An administrator of an approved electronic prescribing system must, to the extent practicable, ensure that — </w:t>
      </w:r>
    </w:p>
    <w:p>
      <w:pPr>
        <w:pStyle w:val="Indenta"/>
        <w:spacing w:before="60"/>
      </w:pPr>
      <w:r>
        <w:tab/>
        <w:t>(a)</w:t>
      </w:r>
      <w:r>
        <w:tab/>
        <w:t>a person who is permitted to have access to the system in accordance with the procedures that control access to the system is not given more than one access code; and</w:t>
      </w:r>
    </w:p>
    <w:p>
      <w:pPr>
        <w:pStyle w:val="Indenta"/>
        <w:spacing w:before="60"/>
      </w:pPr>
      <w:r>
        <w:tab/>
        <w:t>(b)</w:t>
      </w:r>
      <w:r>
        <w:tab/>
        <w:t>each person who is responsible to the administrator for the operation and control of the system does not make inappropriate use of the system.</w:t>
      </w:r>
    </w:p>
    <w:p>
      <w:pPr>
        <w:pStyle w:val="Penstart"/>
        <w:spacing w:before="70"/>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58" w:name="_Toc389746613"/>
      <w:r>
        <w:rPr>
          <w:rStyle w:val="CharSectno"/>
        </w:rPr>
        <w:t>32E</w:t>
      </w:r>
      <w:r>
        <w:t>.</w:t>
      </w:r>
      <w:r>
        <w:tab/>
        <w:t>Miscellaneous rules</w:t>
      </w:r>
      <w:bookmarkEnd w:id="58"/>
    </w:p>
    <w:p>
      <w:pPr>
        <w:pStyle w:val="Subsection"/>
        <w:spacing w:before="120"/>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spacing w:before="120"/>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59" w:name="_Toc389746614"/>
      <w:r>
        <w:rPr>
          <w:rStyle w:val="CharPartNo"/>
        </w:rPr>
        <w:t>Part 5</w:t>
      </w:r>
      <w:r>
        <w:t xml:space="preserve"> — </w:t>
      </w:r>
      <w:smartTag w:uri="urn:schemas-microsoft-com:office:smarttags" w:element="City">
        <w:smartTag w:uri="urn:schemas-microsoft-com:office:smarttags" w:element="place">
          <w:r>
            <w:rPr>
              <w:rStyle w:val="CharPartText"/>
            </w:rPr>
            <w:t>Sale</w:t>
          </w:r>
        </w:smartTag>
      </w:smartTag>
      <w:r>
        <w:rPr>
          <w:rStyle w:val="CharPartText"/>
        </w:rPr>
        <w:t>, supply and use of poisons</w:t>
      </w:r>
      <w:bookmarkEnd w:id="59"/>
    </w:p>
    <w:p>
      <w:pPr>
        <w:pStyle w:val="Footnoteheading"/>
      </w:pPr>
      <w:r>
        <w:tab/>
        <w:t>[Heading inserted in Gazette 12 Aug 2003 p. 3664.]</w:t>
      </w:r>
    </w:p>
    <w:p>
      <w:pPr>
        <w:pStyle w:val="Heading3"/>
      </w:pPr>
      <w:bookmarkStart w:id="60" w:name="_Toc389746615"/>
      <w:r>
        <w:rPr>
          <w:rStyle w:val="CharDivNo"/>
        </w:rPr>
        <w:t>Division 1 </w:t>
      </w:r>
      <w:r>
        <w:t xml:space="preserve">— </w:t>
      </w:r>
      <w:r>
        <w:rPr>
          <w:rStyle w:val="CharDivText"/>
        </w:rPr>
        <w:t>Restrictions</w:t>
      </w:r>
      <w:bookmarkEnd w:id="60"/>
    </w:p>
    <w:p>
      <w:pPr>
        <w:pStyle w:val="Footnoteheading"/>
      </w:pPr>
      <w:r>
        <w:tab/>
        <w:t>[Heading inserted in Gazette 12 Aug 2003 p. 3664.]</w:t>
      </w:r>
    </w:p>
    <w:p>
      <w:pPr>
        <w:pStyle w:val="Heading5"/>
        <w:rPr>
          <w:snapToGrid w:val="0"/>
        </w:rPr>
      </w:pPr>
      <w:bookmarkStart w:id="61" w:name="_Toc389746616"/>
      <w:r>
        <w:rPr>
          <w:rStyle w:val="CharSectno"/>
        </w:rPr>
        <w:t>33</w:t>
      </w:r>
      <w:r>
        <w:rPr>
          <w:snapToGrid w:val="0"/>
        </w:rPr>
        <w:t>.</w:t>
      </w:r>
      <w:r>
        <w:rPr>
          <w:snapToGrid w:val="0"/>
        </w:rPr>
        <w:tab/>
        <w:t>Poison not to be sold to persons under 16 years</w:t>
      </w:r>
      <w:bookmarkEnd w:id="61"/>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62" w:name="_Toc389746617"/>
      <w:r>
        <w:rPr>
          <w:rStyle w:val="CharSectno"/>
        </w:rPr>
        <w:t>33A</w:t>
      </w:r>
      <w:r>
        <w:rPr>
          <w:snapToGrid w:val="0"/>
        </w:rPr>
        <w:t>.</w:t>
      </w:r>
      <w:r>
        <w:rPr>
          <w:snapToGrid w:val="0"/>
        </w:rPr>
        <w:tab/>
        <w:t>Restrictions applying to veterinary preparations</w:t>
      </w:r>
      <w:bookmarkEnd w:id="6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63" w:name="_Toc389746618"/>
      <w:r>
        <w:rPr>
          <w:rStyle w:val="CharSectno"/>
        </w:rPr>
        <w:t>33B</w:t>
      </w:r>
      <w:r>
        <w:rPr>
          <w:snapToGrid w:val="0"/>
        </w:rPr>
        <w:t>.</w:t>
      </w:r>
      <w:r>
        <w:rPr>
          <w:snapToGrid w:val="0"/>
        </w:rPr>
        <w:tab/>
        <w:t>Adoption of SUSMP for certain paints</w:t>
      </w:r>
      <w:bookmarkEnd w:id="63"/>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pPr>
      <w:r>
        <w:tab/>
        <w:t>[Regulation 33B inserted in Gazette 12 Apr 1991 p. 1608; amended in Gazette 24 Jun 1994 p. 2866</w:t>
      </w:r>
      <w:r>
        <w:noBreakHyphen/>
        <w:t>7; 16 Sep 1994 p. 4748; 19 Sep 1995 p. 4383; 14 Sep 2001 p. 5074; 22 Oct 2010 p. 5218</w:t>
      </w:r>
      <w:r>
        <w:noBreakHyphen/>
        <w:t>19.]</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64" w:name="_Toc389746619"/>
      <w:r>
        <w:rPr>
          <w:rStyle w:val="CharSectno"/>
        </w:rPr>
        <w:t>35</w:t>
      </w:r>
      <w:r>
        <w:rPr>
          <w:snapToGrid w:val="0"/>
        </w:rPr>
        <w:t>.</w:t>
      </w:r>
      <w:r>
        <w:rPr>
          <w:snapToGrid w:val="0"/>
        </w:rPr>
        <w:tab/>
        <w:t>Restrictions on retail sale of substances included in Schedule 2</w:t>
      </w:r>
      <w:bookmarkEnd w:id="64"/>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65" w:name="_Toc389746620"/>
      <w:r>
        <w:rPr>
          <w:rStyle w:val="CharSectno"/>
        </w:rPr>
        <w:t>35A</w:t>
      </w:r>
      <w:r>
        <w:rPr>
          <w:snapToGrid w:val="0"/>
        </w:rPr>
        <w:t>.</w:t>
      </w:r>
      <w:r>
        <w:rPr>
          <w:snapToGrid w:val="0"/>
        </w:rPr>
        <w:tab/>
        <w:t>Restrictions on retail sale of substances included in Schedule 3</w:t>
      </w:r>
      <w:bookmarkEnd w:id="65"/>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psuedoephedrine,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66" w:name="_Toc389746621"/>
      <w:r>
        <w:rPr>
          <w:rStyle w:val="CharSectno"/>
        </w:rPr>
        <w:t>35B</w:t>
      </w:r>
      <w:r>
        <w:rPr>
          <w:snapToGrid w:val="0"/>
        </w:rPr>
        <w:t>.</w:t>
      </w:r>
      <w:r>
        <w:rPr>
          <w:snapToGrid w:val="0"/>
        </w:rPr>
        <w:tab/>
        <w:t>Storage of substances included in Schedule 3</w:t>
      </w:r>
      <w:bookmarkEnd w:id="66"/>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67" w:name="_Toc389746622"/>
      <w:r>
        <w:rPr>
          <w:rStyle w:val="CharSectno"/>
        </w:rPr>
        <w:t>35C</w:t>
      </w:r>
      <w:r>
        <w:rPr>
          <w:snapToGrid w:val="0"/>
        </w:rPr>
        <w:t>.</w:t>
      </w:r>
      <w:r>
        <w:rPr>
          <w:snapToGrid w:val="0"/>
        </w:rPr>
        <w:tab/>
        <w:t>Advertising of substances included in Schedule 3</w:t>
      </w:r>
      <w:bookmarkEnd w:id="67"/>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22 Oct 2010 p. 5218.] </w:t>
      </w:r>
    </w:p>
    <w:p>
      <w:pPr>
        <w:pStyle w:val="Heading5"/>
      </w:pPr>
      <w:bookmarkStart w:id="68" w:name="_Toc389746623"/>
      <w:r>
        <w:rPr>
          <w:rStyle w:val="CharSectno"/>
        </w:rPr>
        <w:t>35D</w:t>
      </w:r>
      <w:r>
        <w:t>.</w:t>
      </w:r>
      <w:r>
        <w:tab/>
        <w:t>Advertising of substances included in Schedule 4</w:t>
      </w:r>
      <w:bookmarkEnd w:id="68"/>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69" w:name="_Toc389746624"/>
      <w:r>
        <w:rPr>
          <w:rStyle w:val="CharDivNo"/>
        </w:rPr>
        <w:t>Division 2</w:t>
      </w:r>
      <w:r>
        <w:t xml:space="preserve"> — </w:t>
      </w:r>
      <w:r>
        <w:rPr>
          <w:rStyle w:val="CharDivText"/>
        </w:rPr>
        <w:t>Schedule 4 poisons</w:t>
      </w:r>
      <w:bookmarkEnd w:id="69"/>
    </w:p>
    <w:p>
      <w:pPr>
        <w:pStyle w:val="Footnoteheading"/>
      </w:pPr>
      <w:r>
        <w:tab/>
        <w:t>[Heading inserted in Gazette 12 Aug 2003 p. 3664; amended in Gazette 4 Jan 2005 p. 3.]</w:t>
      </w:r>
    </w:p>
    <w:p>
      <w:pPr>
        <w:pStyle w:val="Heading5"/>
        <w:rPr>
          <w:snapToGrid w:val="0"/>
        </w:rPr>
      </w:pPr>
      <w:bookmarkStart w:id="70" w:name="_Toc389746625"/>
      <w:r>
        <w:rPr>
          <w:rStyle w:val="CharSectno"/>
        </w:rPr>
        <w:t>36</w:t>
      </w:r>
      <w:r>
        <w:rPr>
          <w:snapToGrid w:val="0"/>
        </w:rPr>
        <w:t>.</w:t>
      </w:r>
      <w:r>
        <w:rPr>
          <w:snapToGrid w:val="0"/>
        </w:rPr>
        <w:tab/>
        <w:t>Supply of poisons included in Schedule 4</w:t>
      </w:r>
      <w:bookmarkEnd w:id="70"/>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dentist, endorsed optometrist</w:t>
      </w:r>
      <w:r>
        <w:rPr>
          <w:snapToGrid w:val="0"/>
        </w:rPr>
        <w:t xml:space="preserve">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or veterinary surgeon or an assistant under the direct personal supervision of a medical practitioner,</w:t>
      </w:r>
      <w:r>
        <w:t xml:space="preserve"> nurse practitioner,</w:t>
      </w:r>
      <w:r>
        <w:rPr>
          <w:snapToGrid w:val="0"/>
        </w:rPr>
        <w:t xml:space="preserve"> </w:t>
      </w:r>
      <w:r>
        <w:t>pharmacist</w:t>
      </w:r>
      <w:r>
        <w:rPr>
          <w:snapToGrid w:val="0"/>
        </w:rPr>
        <w: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spacing w:before="100"/>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 xml:space="preserve">10; 1 Oct 2010 p. 5079-80; 19 Nov 2010 p. 5713; amended by Act No. 9 of 2003 s. 44.] </w:t>
      </w:r>
    </w:p>
    <w:p>
      <w:pPr>
        <w:pStyle w:val="Heading5"/>
        <w:spacing w:before="260"/>
      </w:pPr>
      <w:bookmarkStart w:id="71" w:name="_Toc389746626"/>
      <w:r>
        <w:rPr>
          <w:rStyle w:val="CharSectno"/>
        </w:rPr>
        <w:t>36AA</w:t>
      </w:r>
      <w:r>
        <w:t>.</w:t>
      </w:r>
      <w:r>
        <w:tab/>
        <w:t>Provision of approved starter packs by registered nurses</w:t>
      </w:r>
      <w:bookmarkEnd w:id="71"/>
    </w:p>
    <w:p>
      <w:pPr>
        <w:pStyle w:val="Subsection"/>
        <w:spacing w:before="200"/>
      </w:pPr>
      <w:r>
        <w:tab/>
        <w:t>(1)</w:t>
      </w:r>
      <w:r>
        <w:tab/>
        <w:t>In this regulation —</w:t>
      </w:r>
    </w:p>
    <w:p>
      <w:pPr>
        <w:pStyle w:val="Defstart"/>
        <w:spacing w:before="70"/>
      </w:pPr>
      <w:r>
        <w:tab/>
      </w:r>
      <w:r>
        <w:rPr>
          <w:rStyle w:val="CharDefText"/>
        </w:rPr>
        <w:t>approved health service</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spacing w:before="70"/>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5</w:t>
      </w:r>
      <w:r>
        <w:t xml:space="preserve">); and </w:t>
      </w:r>
    </w:p>
    <w:p>
      <w:pPr>
        <w:pStyle w:val="Defpara"/>
        <w:spacing w:before="70"/>
      </w:pPr>
      <w:r>
        <w:tab/>
        <w:t>(b)</w:t>
      </w:r>
      <w:r>
        <w:tab/>
        <w:t xml:space="preserve">has been approved by the CEO for the purposes of this regulation; </w:t>
      </w:r>
    </w:p>
    <w:p>
      <w:pPr>
        <w:pStyle w:val="Defstart"/>
        <w:spacing w:before="70"/>
      </w:pPr>
      <w:r>
        <w:tab/>
      </w:r>
      <w:r>
        <w:rPr>
          <w:rStyle w:val="CharDefText"/>
        </w:rPr>
        <w:t>approved name</w:t>
      </w:r>
      <w:r>
        <w:t xml:space="preserve"> has the same meaning as in regulation 35C; </w:t>
      </w:r>
    </w:p>
    <w:p>
      <w:pPr>
        <w:pStyle w:val="Defstart"/>
        <w:spacing w:before="70"/>
      </w:pPr>
      <w:r>
        <w:tab/>
      </w:r>
      <w:r>
        <w:rPr>
          <w:rStyle w:val="CharDefText"/>
        </w:rPr>
        <w:t>approved starter pack</w:t>
      </w:r>
      <w:r>
        <w:t xml:space="preserve"> means a starter pack approved by the CEO for the purposes of this regulation; </w:t>
      </w:r>
    </w:p>
    <w:p>
      <w:pPr>
        <w:pStyle w:val="Defstart"/>
        <w:spacing w:before="70"/>
      </w:pPr>
      <w:r>
        <w:tab/>
      </w:r>
      <w:r>
        <w:rPr>
          <w:rStyle w:val="CharDefText"/>
        </w:rPr>
        <w:t>brand name</w:t>
      </w:r>
      <w:r>
        <w:t xml:space="preserve"> has the same meaning as in regulation 35C; </w:t>
      </w:r>
    </w:p>
    <w:p>
      <w:pPr>
        <w:pStyle w:val="Defstart"/>
        <w:keepNext/>
        <w:spacing w:before="70"/>
      </w:pPr>
      <w:r>
        <w:tab/>
      </w:r>
      <w:r>
        <w:rPr>
          <w:rStyle w:val="CharDefText"/>
        </w:rPr>
        <w:t>starter pack</w:t>
      </w:r>
      <w:r>
        <w:t xml:space="preserve"> means a quantity of a poison included in Schedule 4, prepared by a pharmacist and consisting of —</w:t>
      </w:r>
    </w:p>
    <w:p>
      <w:pPr>
        <w:pStyle w:val="Defpara"/>
        <w:spacing w:before="70"/>
      </w:pPr>
      <w:r>
        <w:tab/>
        <w:t>(a)</w:t>
      </w:r>
      <w:r>
        <w:tab/>
        <w:t xml:space="preserve">if the poison is supplied in prepacked individual packs, one individual standard pack; </w:t>
      </w:r>
    </w:p>
    <w:p>
      <w:pPr>
        <w:pStyle w:val="Defpara"/>
        <w:spacing w:before="70"/>
      </w:pPr>
      <w:r>
        <w:tab/>
        <w:t>(b)</w:t>
      </w:r>
      <w:r>
        <w:tab/>
        <w:t>if the poison is a liquid, the smallest pack of the poison available from the manufacturer; or</w:t>
      </w:r>
    </w:p>
    <w:p>
      <w:pPr>
        <w:pStyle w:val="Defpara"/>
        <w:spacing w:before="70"/>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spacing w:before="70"/>
      </w:pPr>
      <w:r>
        <w:tab/>
        <w:t>(d)</w:t>
      </w:r>
      <w:r>
        <w:tab/>
        <w:t>the date and time when the instruction was given;</w:t>
      </w:r>
    </w:p>
    <w:p>
      <w:pPr>
        <w:pStyle w:val="Indenta"/>
        <w:spacing w:before="70"/>
      </w:pPr>
      <w:r>
        <w:tab/>
        <w:t>(e)</w:t>
      </w:r>
      <w:r>
        <w:tab/>
        <w:t xml:space="preserve">details of the approved starter pack; </w:t>
      </w:r>
    </w:p>
    <w:p>
      <w:pPr>
        <w:pStyle w:val="Indenta"/>
        <w:spacing w:before="70"/>
      </w:pPr>
      <w:r>
        <w:tab/>
        <w:t>(f)</w:t>
      </w:r>
      <w:r>
        <w:tab/>
        <w:t>any relevant directions for use that were to be given to the patient; and</w:t>
      </w:r>
    </w:p>
    <w:p>
      <w:pPr>
        <w:pStyle w:val="Indenta"/>
        <w:spacing w:before="70"/>
      </w:pPr>
      <w:r>
        <w:tab/>
        <w:t>(g)</w:t>
      </w:r>
      <w:r>
        <w:tab/>
        <w:t>any other information that the medical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w:t>
      </w:r>
    </w:p>
    <w:p>
      <w:pPr>
        <w:pStyle w:val="Indenta"/>
        <w:spacing w:before="70"/>
      </w:pPr>
      <w:r>
        <w:tab/>
        <w:t>(b)</w:t>
      </w:r>
      <w:r>
        <w:tab/>
        <w:t>the name of the patient;</w:t>
      </w:r>
    </w:p>
    <w:p>
      <w:pPr>
        <w:pStyle w:val="Indenta"/>
        <w:spacing w:before="70"/>
      </w:pPr>
      <w:r>
        <w:tab/>
        <w:t>(c)</w:t>
      </w:r>
      <w:r>
        <w:tab/>
        <w:t>the name and address of the health service;</w:t>
      </w:r>
    </w:p>
    <w:p>
      <w:pPr>
        <w:pStyle w:val="Indenta"/>
        <w:spacing w:before="70"/>
      </w:pPr>
      <w:r>
        <w:tab/>
        <w:t>(d)</w:t>
      </w:r>
      <w:r>
        <w:tab/>
        <w:t>in relation to each poison in the approved starter pack —</w:t>
      </w:r>
    </w:p>
    <w:p>
      <w:pPr>
        <w:pStyle w:val="Indenti"/>
        <w:spacing w:before="70"/>
      </w:pPr>
      <w:r>
        <w:tab/>
        <w:t>(i)</w:t>
      </w:r>
      <w:r>
        <w:tab/>
        <w:t xml:space="preserve">the approved name and strength or amount of the poison; or </w:t>
      </w:r>
    </w:p>
    <w:p>
      <w:pPr>
        <w:pStyle w:val="Indenti"/>
        <w:spacing w:before="70"/>
      </w:pPr>
      <w:r>
        <w:tab/>
        <w:t>(ii)</w:t>
      </w:r>
      <w:r>
        <w:tab/>
        <w:t>if the brand name uniquely identifies the strength of the poison, that brand name;</w:t>
      </w:r>
    </w:p>
    <w:p>
      <w:pPr>
        <w:pStyle w:val="Indenta"/>
        <w:spacing w:before="70"/>
      </w:pPr>
      <w:r>
        <w:tab/>
        <w:t>(e)</w:t>
      </w:r>
      <w:r>
        <w:tab/>
        <w:t>the total quantity of medication contained in the approved starter pack;</w:t>
      </w:r>
    </w:p>
    <w:p>
      <w:pPr>
        <w:pStyle w:val="Indenta"/>
        <w:spacing w:before="70"/>
      </w:pPr>
      <w:r>
        <w:tab/>
        <w:t>(f)</w:t>
      </w:r>
      <w:r>
        <w:tab/>
        <w:t>the date on which the approved starter pack was given to the patient;</w:t>
      </w:r>
    </w:p>
    <w:p>
      <w:pPr>
        <w:pStyle w:val="Indenta"/>
        <w:spacing w:before="70"/>
      </w:pPr>
      <w:r>
        <w:tab/>
        <w:t>(g)</w:t>
      </w:r>
      <w:r>
        <w:tab/>
        <w:t>any directions for use given by the medical practitioner;</w:t>
      </w:r>
    </w:p>
    <w:p>
      <w:pPr>
        <w:pStyle w:val="Indenta"/>
        <w:spacing w:before="70"/>
      </w:pPr>
      <w:r>
        <w:tab/>
        <w:t>(h)</w:t>
      </w:r>
      <w:r>
        <w:tab/>
        <w:t>the number referred to in subregulation (10)(f) identifying the relevant entry in the health service’s Starter Pack Supply Book; and</w:t>
      </w:r>
    </w:p>
    <w:p>
      <w:pPr>
        <w:pStyle w:val="Indenta"/>
        <w:spacing w:before="70"/>
      </w:pPr>
      <w:r>
        <w:tab/>
        <w:t>(i)</w:t>
      </w:r>
      <w:r>
        <w:tab/>
        <w:t>any relevant cautionary or advisory statements set out in Appendix K to the</w:t>
      </w:r>
      <w:r>
        <w:rPr>
          <w:bCs/>
          <w:iCs/>
        </w:rPr>
        <w:t xml:space="preserve"> SUSMP</w:t>
      </w:r>
      <w:r>
        <w:t>.</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 1 Oct 2010 p. 5079-80; 22 Oct 2010 p. 5218.]</w:t>
      </w:r>
    </w:p>
    <w:p>
      <w:pPr>
        <w:pStyle w:val="Heading5"/>
      </w:pPr>
      <w:bookmarkStart w:id="72" w:name="_Toc389746627"/>
      <w:r>
        <w:rPr>
          <w:rStyle w:val="CharSectno"/>
        </w:rPr>
        <w:t>36AAB</w:t>
      </w:r>
      <w:r>
        <w:t>.</w:t>
      </w:r>
      <w:r>
        <w:tab/>
        <w:t>Provision of psychiatric emergency packs by certain registered nurses</w:t>
      </w:r>
      <w:bookmarkEnd w:id="72"/>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spacing w:before="70"/>
      </w:pPr>
      <w:r>
        <w:tab/>
        <w:t>(a)</w:t>
      </w:r>
      <w:r>
        <w:tab/>
        <w:t>is provided in the metropolitan region; and</w:t>
      </w:r>
    </w:p>
    <w:p>
      <w:pPr>
        <w:pStyle w:val="Defpara"/>
        <w:spacing w:before="70"/>
      </w:pPr>
      <w:r>
        <w:tab/>
        <w:t>(b)</w:t>
      </w:r>
      <w:r>
        <w:tab/>
        <w:t>responds to psychiatric emergencies in the community; and</w:t>
      </w:r>
    </w:p>
    <w:p>
      <w:pPr>
        <w:pStyle w:val="Defpara"/>
        <w:spacing w:before="70"/>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70"/>
      </w:pPr>
      <w:r>
        <w:tab/>
        <w:t>(a)</w:t>
      </w:r>
      <w:r>
        <w:tab/>
        <w:t>if the poison is supplied in prepacked individual packs — is one individual standard pack; or</w:t>
      </w:r>
    </w:p>
    <w:p>
      <w:pPr>
        <w:pStyle w:val="Defpara"/>
        <w:spacing w:before="70"/>
      </w:pPr>
      <w:r>
        <w:tab/>
        <w:t>(b)</w:t>
      </w:r>
      <w:r>
        <w:tab/>
        <w:t>if the poison is a liquid — is the smallest pack of the poison available from the manufacturer; or</w:t>
      </w:r>
    </w:p>
    <w:p>
      <w:pPr>
        <w:pStyle w:val="Defpara"/>
        <w:spacing w:before="70"/>
      </w:pPr>
      <w:r>
        <w:tab/>
        <w:t>(c)</w:t>
      </w:r>
      <w:r>
        <w:tab/>
        <w:t>otherwise — does not exceed 3 days worth of medication of the poison;</w:t>
      </w:r>
    </w:p>
    <w:p>
      <w:pPr>
        <w:pStyle w:val="Defstar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70"/>
      </w:pPr>
      <w:r>
        <w:rPr>
          <w:bCs/>
        </w:rPr>
        <w:tab/>
        <w:t>(a)</w:t>
      </w:r>
      <w:r>
        <w:rPr>
          <w:bCs/>
        </w:rPr>
        <w:tab/>
        <w:t>is provided outside the metropolitan region; and</w:t>
      </w:r>
    </w:p>
    <w:p>
      <w:pPr>
        <w:pStyle w:val="Defpara"/>
        <w:spacing w:before="70"/>
      </w:pPr>
      <w:r>
        <w:tab/>
        <w:t>(b)</w:t>
      </w:r>
      <w:r>
        <w:tab/>
        <w:t>responds to psychiatric emergencies in the community; and</w:t>
      </w:r>
    </w:p>
    <w:p>
      <w:pPr>
        <w:pStyle w:val="Defpara"/>
        <w:spacing w:before="7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4965-8; amended in Gazette 1 Oct 2010 p. 5079-80; 22 Oct 2010 p. 5218.]</w:t>
      </w:r>
    </w:p>
    <w:p>
      <w:pPr>
        <w:pStyle w:val="Heading5"/>
      </w:pPr>
      <w:bookmarkStart w:id="73" w:name="_Toc389746628"/>
      <w:r>
        <w:rPr>
          <w:rStyle w:val="CharSectno"/>
        </w:rPr>
        <w:t>36A</w:t>
      </w:r>
      <w:r>
        <w:t>.</w:t>
      </w:r>
      <w:r>
        <w:tab/>
        <w:t>Storage of substances included in Schedule 4</w:t>
      </w:r>
      <w:bookmarkEnd w:id="73"/>
    </w:p>
    <w:p>
      <w:pPr>
        <w:pStyle w:val="Subsection"/>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endorsed optometrist or veterinary surgeon to whom a substance included in Schedule 4 is supplied shall store it in a container, cupboard or room —</w:t>
      </w:r>
    </w:p>
    <w:p>
      <w:pPr>
        <w:pStyle w:val="Indenta"/>
      </w:pPr>
      <w:r>
        <w:tab/>
        <w:t>(a)</w:t>
      </w:r>
      <w:r>
        <w:tab/>
        <w:t xml:space="preserve">at the medical practitioner’s, dentist’s, endorsed optometrist’s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endorsed optometrist or veterinary surgeon and persons under his or her personal supervision.</w:t>
      </w:r>
    </w:p>
    <w:p>
      <w:pPr>
        <w:pStyle w:val="Subsection"/>
      </w:pPr>
      <w:r>
        <w:tab/>
        <w:t>(3)</w:t>
      </w:r>
      <w:r>
        <w:tab/>
        <w:t>A medical practitioner, dentist, endorsed optometrist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endorsed optometrist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endorsed optometrist or veterinary surgeon — the substances that are ordinarily carried by dentists, endorsed optometrists or veterinary surgeons who are attending patients at places other than at their usual place of practice.</w:t>
      </w:r>
    </w:p>
    <w:p>
      <w:pPr>
        <w:pStyle w:val="Footnotesection"/>
      </w:pPr>
      <w:r>
        <w:tab/>
        <w:t>[Regulation 36A inserted in Gazette 19 Feb 1999 p. 555</w:t>
      </w:r>
      <w:r>
        <w:noBreakHyphen/>
        <w:t>6; amended in Gazette 1 Oct 2010 p. 5079-80; 19 Nov 2010 p. 5713.]</w:t>
      </w:r>
    </w:p>
    <w:p>
      <w:pPr>
        <w:pStyle w:val="Heading5"/>
        <w:spacing w:before="260"/>
      </w:pPr>
      <w:bookmarkStart w:id="74" w:name="_Toc389746629"/>
      <w:r>
        <w:rPr>
          <w:rStyle w:val="CharSectno"/>
        </w:rPr>
        <w:t>36B</w:t>
      </w:r>
      <w:r>
        <w:t>.</w:t>
      </w:r>
      <w:r>
        <w:tab/>
        <w:t>Record of supply or administration of substances included in Schedule 4</w:t>
      </w:r>
      <w:bookmarkEnd w:id="74"/>
    </w:p>
    <w:p>
      <w:pPr>
        <w:pStyle w:val="Subsection"/>
        <w:spacing w:before="200"/>
      </w:pPr>
      <w:r>
        <w:tab/>
        <w:t>(1)</w:t>
      </w:r>
      <w:r>
        <w:tab/>
        <w:t>A medical practitioner, dentist, optometrist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 amended in Gazette 19 Nov 2010 p. 5713.]</w:t>
      </w:r>
    </w:p>
    <w:p>
      <w:pPr>
        <w:pStyle w:val="Heading5"/>
      </w:pPr>
      <w:bookmarkStart w:id="75" w:name="_Toc389746630"/>
      <w:r>
        <w:rPr>
          <w:rStyle w:val="CharSectno"/>
        </w:rPr>
        <w:t>37A</w:t>
      </w:r>
      <w:r>
        <w:t>.</w:t>
      </w:r>
      <w:r>
        <w:tab/>
        <w:t>H1N1 Pandemic Influenza Vaccine — exemption from specified provisions of the Act</w:t>
      </w:r>
      <w:bookmarkEnd w:id="75"/>
    </w:p>
    <w:p>
      <w:pPr>
        <w:pStyle w:val="Subsection"/>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76" w:name="_Toc389746631"/>
      <w:r>
        <w:rPr>
          <w:rStyle w:val="CharSectno"/>
        </w:rPr>
        <w:t>37B</w:t>
      </w:r>
      <w:r>
        <w:t>.</w:t>
      </w:r>
      <w:r>
        <w:tab/>
        <w:t>Vaccines — exemption from specified provisions of the Act</w:t>
      </w:r>
      <w:bookmarkEnd w:id="76"/>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1146-7.]</w:t>
      </w:r>
    </w:p>
    <w:p>
      <w:pPr>
        <w:pStyle w:val="Ednotedivision"/>
      </w:pPr>
      <w:r>
        <w:t>[Heading deleted in Gazette 12 Aug 2003 p. 3663.]</w:t>
      </w:r>
    </w:p>
    <w:p>
      <w:pPr>
        <w:pStyle w:val="Heading5"/>
        <w:rPr>
          <w:snapToGrid w:val="0"/>
        </w:rPr>
      </w:pPr>
      <w:bookmarkStart w:id="77" w:name="_Toc389746632"/>
      <w:r>
        <w:rPr>
          <w:rStyle w:val="CharSectno"/>
        </w:rPr>
        <w:t>37</w:t>
      </w:r>
      <w:r>
        <w:rPr>
          <w:snapToGrid w:val="0"/>
        </w:rPr>
        <w:t>.</w:t>
      </w:r>
      <w:r>
        <w:rPr>
          <w:snapToGrid w:val="0"/>
        </w:rPr>
        <w:tab/>
        <w:t>Conditions for prescription of a poison included in Schedule 4</w:t>
      </w:r>
      <w:bookmarkEnd w:id="77"/>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spacing w:before="120"/>
      </w:pPr>
      <w:r>
        <w:tab/>
        <w:t>(1A)</w:t>
      </w:r>
      <w:r>
        <w:tab/>
        <w:t>A prescription that is issued electronically shall be issued via an approved electronic prescribing system</w:t>
      </w:r>
      <w:r>
        <w:rPr>
          <w:snapToGrid w:val="0"/>
        </w:rPr>
        <w:t>.</w:t>
      </w:r>
    </w:p>
    <w:p>
      <w:pPr>
        <w:pStyle w:val="Subsection"/>
        <w:spacing w:before="120"/>
      </w:pPr>
      <w:r>
        <w:tab/>
        <w:t>(1B)</w:t>
      </w:r>
      <w:r>
        <w:tab/>
        <w:t xml:space="preserve">A prescription that is not issued electronically shall be either — </w:t>
      </w:r>
    </w:p>
    <w:p>
      <w:pPr>
        <w:pStyle w:val="Indenta"/>
        <w:spacing w:before="60"/>
        <w:rPr>
          <w:snapToGrid w:val="0"/>
        </w:rPr>
      </w:pPr>
      <w:r>
        <w:rPr>
          <w:snapToGrid w:val="0"/>
        </w:rPr>
        <w:tab/>
        <w:t>(a)</w:t>
      </w:r>
      <w:r>
        <w:rPr>
          <w:snapToGrid w:val="0"/>
        </w:rPr>
        <w:tab/>
        <w:t>written in ink in the prescriber’s own handwriting; or</w:t>
      </w:r>
    </w:p>
    <w:p>
      <w:pPr>
        <w:pStyle w:val="Indenta"/>
        <w:spacing w:before="60"/>
      </w:pPr>
      <w:r>
        <w:tab/>
        <w:t>(b)</w:t>
      </w:r>
      <w:r>
        <w:tab/>
        <w:t xml:space="preserve">processed on a computer program that — </w:t>
      </w:r>
    </w:p>
    <w:p>
      <w:pPr>
        <w:pStyle w:val="Indenti"/>
        <w:spacing w:before="60"/>
        <w:rPr>
          <w:snapToGrid w:val="0"/>
        </w:rPr>
      </w:pPr>
      <w:r>
        <w:rPr>
          <w:snapToGrid w:val="0"/>
        </w:rPr>
        <w:tab/>
        <w:t>(i)</w:t>
      </w:r>
      <w:r>
        <w:rPr>
          <w:snapToGrid w:val="0"/>
        </w:rPr>
        <w:tab/>
        <w:t>complies with the criteria specified in Appendix L; or</w:t>
      </w:r>
    </w:p>
    <w:p>
      <w:pPr>
        <w:pStyle w:val="Indenti"/>
        <w:spacing w:before="60"/>
        <w:rPr>
          <w:snapToGrid w:val="0"/>
        </w:rPr>
      </w:pPr>
      <w:r>
        <w:rPr>
          <w:snapToGrid w:val="0"/>
        </w:rPr>
        <w:tab/>
        <w:t>(ii)</w:t>
      </w:r>
      <w:r>
        <w:rPr>
          <w:snapToGrid w:val="0"/>
        </w:rPr>
        <w:tab/>
        <w:t>is recommended by the Poisons Advisory Committee and approved in writing by the CEO.</w:t>
      </w:r>
    </w:p>
    <w:p>
      <w:pPr>
        <w:pStyle w:val="Subsection"/>
        <w:spacing w:before="120"/>
      </w:pPr>
      <w:r>
        <w:tab/>
      </w:r>
      <w:r>
        <w:tab/>
        <w:t>The prescription shall be signed by the prescriber in his or her own handwriting.</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dentist, endorsed optometrist</w:t>
      </w:r>
      <w:r>
        <w:rPr>
          <w:snapToGrid w:val="0"/>
        </w:rPr>
        <w:t xml:space="preserve">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amended by Act No. 9 of 2003 s. 45.]</w:t>
      </w:r>
    </w:p>
    <w:p>
      <w:pPr>
        <w:pStyle w:val="Heading5"/>
      </w:pPr>
      <w:bookmarkStart w:id="78" w:name="_Toc389746633"/>
      <w:r>
        <w:rPr>
          <w:rStyle w:val="CharSectno"/>
        </w:rPr>
        <w:t>38A</w:t>
      </w:r>
      <w:r>
        <w:t>.</w:t>
      </w:r>
      <w:r>
        <w:tab/>
        <w:t>Prescriptions for poisons included in Schedule 4 for patient discharged from public hospital</w:t>
      </w:r>
      <w:bookmarkEnd w:id="78"/>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or nurse practitioner has completed, in ink in his or her own hand writing, all the details in respect of the Schedule 4 poison required by the NIMC; and</w:t>
      </w:r>
    </w:p>
    <w:p>
      <w:pPr>
        <w:pStyle w:val="Indenta"/>
      </w:pPr>
      <w:r>
        <w:tab/>
        <w:t>(c)</w:t>
      </w:r>
      <w:r>
        <w:tab/>
        <w:t>a medical practitioner or nurse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w:t>
      </w:r>
    </w:p>
    <w:p>
      <w:pPr>
        <w:pStyle w:val="Ednotedivision"/>
        <w:spacing w:before="100"/>
      </w:pPr>
      <w:r>
        <w:t>[Heading deleted in Gazette 12 Aug 2003 p. 3663.]</w:t>
      </w:r>
    </w:p>
    <w:p>
      <w:pPr>
        <w:pStyle w:val="Heading5"/>
        <w:spacing w:before="180"/>
        <w:rPr>
          <w:snapToGrid w:val="0"/>
        </w:rPr>
      </w:pPr>
      <w:bookmarkStart w:id="79" w:name="_Toc389746634"/>
      <w:r>
        <w:rPr>
          <w:rStyle w:val="CharSectno"/>
        </w:rPr>
        <w:t>38</w:t>
      </w:r>
      <w:r>
        <w:rPr>
          <w:snapToGrid w:val="0"/>
        </w:rPr>
        <w:t>.</w:t>
      </w:r>
      <w:r>
        <w:rPr>
          <w:snapToGrid w:val="0"/>
        </w:rPr>
        <w:tab/>
      </w:r>
      <w:r>
        <w:rPr>
          <w:snapToGrid w:val="0"/>
          <w:spacing w:val="-4"/>
        </w:rPr>
        <w:t>Dispensing poisons included in Schedule 4 in emergency cases</w:t>
      </w:r>
      <w:bookmarkEnd w:id="79"/>
      <w:r>
        <w:rPr>
          <w:snapToGrid w:val="0"/>
        </w:rPr>
        <w:t xml:space="preserve"> </w:t>
      </w:r>
    </w:p>
    <w:p>
      <w:pPr>
        <w:pStyle w:val="Subsection"/>
        <w:spacing w:before="120"/>
        <w:rPr>
          <w:snapToGrid w:val="0"/>
        </w:rPr>
      </w:pPr>
      <w:r>
        <w:rPr>
          <w:snapToGrid w:val="0"/>
        </w:rPr>
        <w:tab/>
      </w:r>
      <w:r>
        <w:rPr>
          <w:snapToGrid w:val="0"/>
        </w:rPr>
        <w:tab/>
        <w:t>Where a medical practitioner,</w:t>
      </w:r>
      <w:r>
        <w:t xml:space="preserve"> nurse practitioner,</w:t>
      </w:r>
      <w:r>
        <w:rPr>
          <w:snapToGrid w:val="0"/>
        </w:rPr>
        <w:t xml:space="preserve"> </w:t>
      </w:r>
      <w:r>
        <w:t>dentist, endorsed optometrist</w:t>
      </w:r>
      <w:r>
        <w:rPr>
          <w:snapToGrid w:val="0"/>
        </w:rPr>
        <w:t xml:space="preserve"> 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19 Nov 2010 p. 5714; amended by Act No. 9 of 2003 s. 46.]</w:t>
      </w:r>
    </w:p>
    <w:p>
      <w:pPr>
        <w:pStyle w:val="Ednotedivision"/>
        <w:spacing w:before="160"/>
      </w:pPr>
      <w:r>
        <w:rPr>
          <w:snapToGrid/>
        </w:rPr>
        <w:t>[Heading deleted in Gazette 12 Aug 2003 p. 3663.]</w:t>
      </w:r>
    </w:p>
    <w:p>
      <w:pPr>
        <w:pStyle w:val="Ednotesection"/>
        <w:spacing w:before="180"/>
      </w:pPr>
      <w:r>
        <w:t>[</w:t>
      </w:r>
      <w:r>
        <w:rPr>
          <w:b/>
        </w:rPr>
        <w:t>38A.</w:t>
      </w:r>
      <w:r>
        <w:rPr>
          <w:b/>
        </w:rPr>
        <w:tab/>
      </w:r>
      <w:r>
        <w:t xml:space="preserve">Deleted in Gazette 17 Mar 1998 p. 1417.] </w:t>
      </w:r>
    </w:p>
    <w:p>
      <w:pPr>
        <w:pStyle w:val="Heading5"/>
        <w:spacing w:before="180"/>
        <w:rPr>
          <w:snapToGrid w:val="0"/>
        </w:rPr>
      </w:pPr>
      <w:bookmarkStart w:id="80" w:name="_Toc389746635"/>
      <w:r>
        <w:rPr>
          <w:rStyle w:val="CharSectno"/>
        </w:rPr>
        <w:t>38AA</w:t>
      </w:r>
      <w:r>
        <w:rPr>
          <w:snapToGrid w:val="0"/>
        </w:rPr>
        <w:t>.</w:t>
      </w:r>
      <w:r>
        <w:rPr>
          <w:snapToGrid w:val="0"/>
        </w:rPr>
        <w:tab/>
        <w:t>Administration of poisons included in Schedule 4 in hospital</w:t>
      </w:r>
      <w:bookmarkEnd w:id="80"/>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xml:space="preserve">, nurse practitioner, dentist or endorsed optometrist,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endorsed optometrist.</w:t>
      </w:r>
    </w:p>
    <w:p>
      <w:pPr>
        <w:pStyle w:val="Subsection"/>
        <w:spacing w:before="120"/>
        <w:rPr>
          <w:snapToGrid w:val="0"/>
        </w:rPr>
      </w:pPr>
      <w:r>
        <w:rPr>
          <w:snapToGrid w:val="0"/>
        </w:rPr>
        <w:tab/>
        <w:t>(2)</w:t>
      </w:r>
      <w:r>
        <w:rPr>
          <w:snapToGrid w:val="0"/>
        </w:rPr>
        <w:tab/>
        <w:t>A medical practitioner</w:t>
      </w:r>
      <w:r>
        <w:t xml:space="preserve">, nurse practitioner, dentist or endorsed optometrist </w:t>
      </w:r>
      <w:r>
        <w:rPr>
          <w:snapToGrid w:val="0"/>
        </w:rPr>
        <w:t>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19 Nov 2010 p. 5714; amended by Act No. 9 of 2003 s. 47.]</w:t>
      </w:r>
    </w:p>
    <w:p>
      <w:pPr>
        <w:pStyle w:val="Ednotedivision"/>
        <w:spacing w:before="160"/>
      </w:pPr>
      <w:r>
        <w:rPr>
          <w:snapToGrid/>
        </w:rPr>
        <w:t>[Heading deleted in Gazette 12 Aug 2003 p. 3663.]</w:t>
      </w:r>
    </w:p>
    <w:p>
      <w:pPr>
        <w:pStyle w:val="Ednotesection"/>
        <w:spacing w:before="180"/>
        <w:ind w:left="890" w:hanging="890"/>
      </w:pPr>
      <w:r>
        <w:t>[</w:t>
      </w:r>
      <w:r>
        <w:rPr>
          <w:b/>
        </w:rPr>
        <w:t>38B.</w:t>
      </w:r>
      <w:r>
        <w:rPr>
          <w:b/>
        </w:rPr>
        <w:tab/>
      </w:r>
      <w:r>
        <w:t xml:space="preserve">Deleted in Gazette 24 Jun 1994 p. 2867.] </w:t>
      </w:r>
    </w:p>
    <w:p>
      <w:pPr>
        <w:pStyle w:val="Ednotedivision"/>
        <w:spacing w:before="160"/>
      </w:pPr>
      <w:r>
        <w:t>[Heading deleted in Gazette 12 Aug 2003 p. 3663.]</w:t>
      </w:r>
    </w:p>
    <w:p>
      <w:pPr>
        <w:pStyle w:val="Heading5"/>
        <w:spacing w:before="180"/>
        <w:rPr>
          <w:snapToGrid w:val="0"/>
        </w:rPr>
      </w:pPr>
      <w:bookmarkStart w:id="81" w:name="_Toc389746636"/>
      <w:r>
        <w:rPr>
          <w:rStyle w:val="CharSectno"/>
        </w:rPr>
        <w:t>38C</w:t>
      </w:r>
      <w:r>
        <w:rPr>
          <w:snapToGrid w:val="0"/>
        </w:rPr>
        <w:t>.</w:t>
      </w:r>
      <w:r>
        <w:rPr>
          <w:snapToGrid w:val="0"/>
        </w:rPr>
        <w:tab/>
        <w:t>Clomiphene and cyclofenil</w:t>
      </w:r>
      <w:bookmarkEnd w:id="81"/>
      <w:r>
        <w:rPr>
          <w:snapToGrid w:val="0"/>
        </w:rPr>
        <w:t xml:space="preserve"> </w:t>
      </w:r>
    </w:p>
    <w:p>
      <w:pPr>
        <w:pStyle w:val="Subsection"/>
        <w:spacing w:before="120"/>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spacing w:before="180"/>
      </w:pPr>
      <w:r>
        <w:t>[Heading deleted in Gazette 12 Aug 2003 p. 3663.]</w:t>
      </w:r>
    </w:p>
    <w:p>
      <w:pPr>
        <w:pStyle w:val="Heading5"/>
        <w:rPr>
          <w:snapToGrid w:val="0"/>
        </w:rPr>
      </w:pPr>
      <w:bookmarkStart w:id="82" w:name="_Toc389746637"/>
      <w:r>
        <w:rPr>
          <w:rStyle w:val="CharSectno"/>
        </w:rPr>
        <w:t>38D</w:t>
      </w:r>
      <w:r>
        <w:rPr>
          <w:snapToGrid w:val="0"/>
        </w:rPr>
        <w:t>.</w:t>
      </w:r>
      <w:r>
        <w:rPr>
          <w:snapToGrid w:val="0"/>
        </w:rPr>
        <w:tab/>
        <w:t>Etretinate or acitretin</w:t>
      </w:r>
      <w:bookmarkEnd w:id="82"/>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r>
        <w:t>[Heading deleted in Gazette 12 Aug 2003 p. 3663.]</w:t>
      </w:r>
    </w:p>
    <w:p>
      <w:pPr>
        <w:pStyle w:val="Heading5"/>
        <w:spacing w:before="260"/>
        <w:rPr>
          <w:snapToGrid w:val="0"/>
        </w:rPr>
      </w:pPr>
      <w:bookmarkStart w:id="83" w:name="_Toc389746638"/>
      <w:r>
        <w:rPr>
          <w:rStyle w:val="CharSectno"/>
        </w:rPr>
        <w:t>38E</w:t>
      </w:r>
      <w:r>
        <w:rPr>
          <w:snapToGrid w:val="0"/>
        </w:rPr>
        <w:t>.</w:t>
      </w:r>
      <w:r>
        <w:rPr>
          <w:snapToGrid w:val="0"/>
        </w:rPr>
        <w:tab/>
        <w:t>Prostaglandins</w:t>
      </w:r>
      <w:bookmarkEnd w:id="83"/>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84" w:name="_Toc389746639"/>
      <w:r>
        <w:rPr>
          <w:rStyle w:val="CharSectno"/>
        </w:rPr>
        <w:t>38F</w:t>
      </w:r>
      <w:r>
        <w:t>.</w:t>
      </w:r>
      <w:r>
        <w:tab/>
        <w:t>Isotr</w:t>
      </w:r>
      <w:r>
        <w:rPr>
          <w:b w:val="0"/>
          <w:snapToGrid w:val="0"/>
        </w:rPr>
        <w:t>e</w:t>
      </w:r>
      <w:r>
        <w:t>tinoin</w:t>
      </w:r>
      <w:bookmarkEnd w:id="84"/>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85" w:name="_Toc389746640"/>
      <w:r>
        <w:rPr>
          <w:rStyle w:val="CharSectno"/>
        </w:rPr>
        <w:t>38G</w:t>
      </w:r>
      <w:r>
        <w:rPr>
          <w:snapToGrid w:val="0"/>
        </w:rPr>
        <w:t>.</w:t>
      </w:r>
      <w:r>
        <w:rPr>
          <w:snapToGrid w:val="0"/>
        </w:rPr>
        <w:tab/>
        <w:t>Thalidomide for human use</w:t>
      </w:r>
      <w:bookmarkEnd w:id="85"/>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outlineLvl w:val="0"/>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86" w:name="_Toc389746641"/>
      <w:r>
        <w:rPr>
          <w:rStyle w:val="CharSectno"/>
        </w:rPr>
        <w:t>38H</w:t>
      </w:r>
      <w:r>
        <w:rPr>
          <w:snapToGrid w:val="0"/>
        </w:rPr>
        <w:t>.</w:t>
      </w:r>
      <w:r>
        <w:rPr>
          <w:snapToGrid w:val="0"/>
        </w:rPr>
        <w:tab/>
        <w:t>Chloramphenicol</w:t>
      </w:r>
      <w:bookmarkEnd w:id="86"/>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87" w:name="_Toc389746642"/>
      <w:r>
        <w:rPr>
          <w:rStyle w:val="CharSectno"/>
        </w:rPr>
        <w:t>38I</w:t>
      </w:r>
      <w:r>
        <w:rPr>
          <w:snapToGrid w:val="0"/>
        </w:rPr>
        <w:t>.</w:t>
      </w:r>
      <w:r>
        <w:rPr>
          <w:snapToGrid w:val="0"/>
        </w:rPr>
        <w:tab/>
        <w:t>Follicular stimulating hormone and luteinising hormone</w:t>
      </w:r>
      <w:bookmarkEnd w:id="87"/>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88" w:name="_Toc389746643"/>
      <w:r>
        <w:rPr>
          <w:rStyle w:val="CharSectno"/>
        </w:rPr>
        <w:t>38K</w:t>
      </w:r>
      <w:r>
        <w:rPr>
          <w:snapToGrid w:val="0"/>
        </w:rPr>
        <w:t>.</w:t>
      </w:r>
      <w:r>
        <w:rPr>
          <w:snapToGrid w:val="0"/>
        </w:rPr>
        <w:tab/>
        <w:t>Carnidazole</w:t>
      </w:r>
      <w:bookmarkEnd w:id="88"/>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89" w:name="_Toc389746644"/>
      <w:r>
        <w:rPr>
          <w:rStyle w:val="CharSectno"/>
        </w:rPr>
        <w:t>38L</w:t>
      </w:r>
      <w:r>
        <w:rPr>
          <w:snapToGrid w:val="0"/>
        </w:rPr>
        <w:t>.</w:t>
      </w:r>
      <w:r>
        <w:rPr>
          <w:snapToGrid w:val="0"/>
        </w:rPr>
        <w:tab/>
        <w:t>Oxolinic acid</w:t>
      </w:r>
      <w:bookmarkEnd w:id="89"/>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90" w:name="_Toc389746645"/>
      <w:r>
        <w:rPr>
          <w:rStyle w:val="CharSectno"/>
        </w:rPr>
        <w:t>38M</w:t>
      </w:r>
      <w:r>
        <w:rPr>
          <w:snapToGrid w:val="0"/>
        </w:rPr>
        <w:t>.</w:t>
      </w:r>
      <w:r>
        <w:rPr>
          <w:snapToGrid w:val="0"/>
        </w:rPr>
        <w:tab/>
        <w:t>Clozapine</w:t>
      </w:r>
      <w:bookmarkEnd w:id="90"/>
      <w:r>
        <w:rPr>
          <w:snapToGrid w:val="0"/>
        </w:rPr>
        <w:t xml:space="preserve"> </w:t>
      </w:r>
    </w:p>
    <w:p>
      <w:pPr>
        <w:pStyle w:val="Subsection"/>
        <w:spacing w:before="120"/>
        <w:rPr>
          <w:snapToGrid w:val="0"/>
        </w:rPr>
      </w:pPr>
      <w:r>
        <w:rPr>
          <w:snapToGrid w:val="0"/>
        </w:rPr>
        <w:tab/>
      </w:r>
      <w:r>
        <w:rPr>
          <w:snapToGrid w:val="0"/>
        </w:rPr>
        <w:tab/>
        <w:t>Clozapine or a substance containing clozapine shall not be prescribed except — </w:t>
      </w:r>
    </w:p>
    <w:p>
      <w:pPr>
        <w:pStyle w:val="Indenta"/>
        <w:spacing w:before="60"/>
        <w:rPr>
          <w:snapToGrid w:val="0"/>
        </w:rPr>
      </w:pPr>
      <w:r>
        <w:rPr>
          <w:snapToGrid w:val="0"/>
        </w:rPr>
        <w:tab/>
        <w:t>(a)</w:t>
      </w:r>
      <w:r>
        <w:rPr>
          <w:snapToGrid w:val="0"/>
        </w:rPr>
        <w:tab/>
        <w:t>by a psychiatrist; or</w:t>
      </w:r>
    </w:p>
    <w:p>
      <w:pPr>
        <w:pStyle w:val="Indenta"/>
        <w:spacing w:before="60"/>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 xml:space="preserve">[Regulation 38M inserted in Gazette 24 Jun 1994 p. 2868; amended in Gazette 19 Mar 1996 p. 1223; 11 Apr 1997 p. 1831; 27 Nov 1998 p. 6344; 15 Dec 2006 p. 5630-1.] </w:t>
      </w:r>
    </w:p>
    <w:p>
      <w:pPr>
        <w:pStyle w:val="Heading5"/>
        <w:spacing w:before="180"/>
        <w:rPr>
          <w:snapToGrid w:val="0"/>
        </w:rPr>
      </w:pPr>
      <w:bookmarkStart w:id="91" w:name="_Toc389746646"/>
      <w:r>
        <w:rPr>
          <w:rStyle w:val="CharSectno"/>
        </w:rPr>
        <w:t>38N</w:t>
      </w:r>
      <w:r>
        <w:rPr>
          <w:snapToGrid w:val="0"/>
        </w:rPr>
        <w:t>.</w:t>
      </w:r>
      <w:r>
        <w:rPr>
          <w:snapToGrid w:val="0"/>
        </w:rPr>
        <w:tab/>
        <w:t>Nitrofuran derivatives</w:t>
      </w:r>
      <w:bookmarkEnd w:id="91"/>
      <w:r>
        <w:rPr>
          <w:snapToGrid w:val="0"/>
        </w:rPr>
        <w:t xml:space="preserve"> </w:t>
      </w:r>
    </w:p>
    <w:p>
      <w:pPr>
        <w:pStyle w:val="Subsection"/>
        <w:spacing w:before="12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by a medical practitioner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spacing w:before="80"/>
        <w:ind w:left="890" w:hanging="890"/>
        <w:rPr>
          <w:spacing w:val="-5"/>
        </w:rPr>
      </w:pPr>
      <w:r>
        <w:tab/>
      </w:r>
      <w:r>
        <w:rPr>
          <w:spacing w:val="-5"/>
        </w:rPr>
        <w:t>[Regulation 38N inserted in Gazette 24 Jun 1994 p. 2868; amended in Gazette 19 Mar 1996 p. 1223; 11 Apr 1997 p. 1831</w:t>
      </w:r>
      <w:r>
        <w:rPr>
          <w:spacing w:val="-5"/>
        </w:rPr>
        <w:noBreakHyphen/>
        <w:t>2.]</w:t>
      </w:r>
    </w:p>
    <w:p>
      <w:pPr>
        <w:pStyle w:val="Heading5"/>
        <w:spacing w:before="260"/>
      </w:pPr>
      <w:bookmarkStart w:id="92" w:name="_Toc389746647"/>
      <w:r>
        <w:rPr>
          <w:rStyle w:val="CharSectno"/>
        </w:rPr>
        <w:t>38O</w:t>
      </w:r>
      <w:r>
        <w:t>.</w:t>
      </w:r>
      <w:r>
        <w:tab/>
        <w:t>Bosentan for human use</w:t>
      </w:r>
      <w:bookmarkEnd w:id="92"/>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93" w:name="_Toc389746648"/>
      <w:r>
        <w:rPr>
          <w:rStyle w:val="CharSectno"/>
        </w:rPr>
        <w:t>38P</w:t>
      </w:r>
      <w:r>
        <w:t>.</w:t>
      </w:r>
      <w:r>
        <w:tab/>
        <w:t>Teriparatide for human use</w:t>
      </w:r>
      <w:bookmarkEnd w:id="93"/>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94" w:name="_Toc389746649"/>
      <w:r>
        <w:rPr>
          <w:rStyle w:val="CharSectno"/>
        </w:rPr>
        <w:t>39</w:t>
      </w:r>
      <w:r>
        <w:rPr>
          <w:snapToGrid w:val="0"/>
        </w:rPr>
        <w:t>.</w:t>
      </w:r>
      <w:r>
        <w:rPr>
          <w:snapToGrid w:val="0"/>
        </w:rPr>
        <w:tab/>
        <w:t>Veterinary use of poisons included in Schedule 4</w:t>
      </w:r>
      <w:bookmarkEnd w:id="94"/>
      <w:r>
        <w:rPr>
          <w:snapToGrid w:val="0"/>
        </w:rPr>
        <w:t xml:space="preserve"> </w:t>
      </w:r>
    </w:p>
    <w:p>
      <w:pPr>
        <w:pStyle w:val="Subsection"/>
        <w:spacing w:before="14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 1 Oct 2010 p. 5079-80.]</w:t>
      </w:r>
    </w:p>
    <w:p>
      <w:pPr>
        <w:pStyle w:val="Heading5"/>
        <w:rPr>
          <w:snapToGrid w:val="0"/>
        </w:rPr>
      </w:pPr>
      <w:bookmarkStart w:id="95" w:name="_Toc389746650"/>
      <w:r>
        <w:rPr>
          <w:rStyle w:val="CharSectno"/>
        </w:rPr>
        <w:t>39A</w:t>
      </w:r>
      <w:r>
        <w:rPr>
          <w:snapToGrid w:val="0"/>
        </w:rPr>
        <w:t>.</w:t>
      </w:r>
      <w:r>
        <w:rPr>
          <w:snapToGrid w:val="0"/>
        </w:rPr>
        <w:tab/>
        <w:t>Stockfeed manufacturers may sell poisons included in Schedule 4</w:t>
      </w:r>
      <w:bookmarkEnd w:id="95"/>
      <w:r>
        <w:rPr>
          <w:snapToGrid w:val="0"/>
        </w:rPr>
        <w:t xml:space="preserve"> </w:t>
      </w:r>
    </w:p>
    <w:p>
      <w:pPr>
        <w:pStyle w:val="Subsection"/>
        <w:spacing w:before="140"/>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spacing w:before="120"/>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2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5630-1.]</w:t>
      </w:r>
    </w:p>
    <w:p>
      <w:pPr>
        <w:pStyle w:val="Heading5"/>
      </w:pPr>
      <w:bookmarkStart w:id="96" w:name="_Toc389746651"/>
      <w:r>
        <w:rPr>
          <w:rStyle w:val="CharSectno"/>
        </w:rPr>
        <w:t>39BA</w:t>
      </w:r>
      <w:r>
        <w:t>.</w:t>
      </w:r>
      <w:r>
        <w:tab/>
        <w:t>Use of poisons included in Schedule 4 on certificated commercial vessels</w:t>
      </w:r>
      <w:bookmarkEnd w:id="96"/>
    </w:p>
    <w:p>
      <w:pPr>
        <w:pStyle w:val="Subsection"/>
        <w:spacing w:before="12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2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2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97" w:name="_Toc389746652"/>
      <w:r>
        <w:rPr>
          <w:rStyle w:val="CharSectno"/>
        </w:rPr>
        <w:t>39BB</w:t>
      </w:r>
      <w:r>
        <w:t>.</w:t>
      </w:r>
      <w:r>
        <w:tab/>
        <w:t>Use of poisons included in Schedule 4 on racing yachts</w:t>
      </w:r>
      <w:bookmarkEnd w:id="97"/>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98" w:name="_Toc389746653"/>
      <w:r>
        <w:rPr>
          <w:rStyle w:val="CharSectno"/>
        </w:rPr>
        <w:t>39B</w:t>
      </w:r>
      <w:r>
        <w:rPr>
          <w:snapToGrid w:val="0"/>
        </w:rPr>
        <w:t>.</w:t>
      </w:r>
      <w:r>
        <w:rPr>
          <w:snapToGrid w:val="0"/>
        </w:rPr>
        <w:tab/>
        <w:t>Use of poisons included in Schedule 4 on ships and aircraft</w:t>
      </w:r>
      <w:bookmarkEnd w:id="98"/>
      <w:r>
        <w:rPr>
          <w:snapToGrid w:val="0"/>
        </w:rPr>
        <w:t xml:space="preserve"> </w:t>
      </w:r>
    </w:p>
    <w:p>
      <w:pPr>
        <w:pStyle w:val="Subsection"/>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country-region">
        <w:r>
          <w:rPr>
            <w:snapToGrid w:val="0"/>
          </w:rPr>
          <w:t>Australia</w:t>
        </w:r>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country-region">
        <w:r>
          <w:rPr>
            <w:snapToGrid w:val="0"/>
          </w:rPr>
          <w:t>Australia</w:t>
        </w:r>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99" w:name="_Toc389746654"/>
      <w:r>
        <w:rPr>
          <w:rStyle w:val="CharSectno"/>
        </w:rPr>
        <w:t>39C</w:t>
      </w:r>
      <w:r>
        <w:t>.</w:t>
      </w:r>
      <w:r>
        <w:tab/>
        <w:t>Use of poisons included in Schedule 4 on ships carrying livestock</w:t>
      </w:r>
      <w:bookmarkEnd w:id="99"/>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100" w:name="_Toc389746655"/>
      <w:r>
        <w:rPr>
          <w:rStyle w:val="CharSectno"/>
        </w:rPr>
        <w:t>40</w:t>
      </w:r>
      <w:r>
        <w:rPr>
          <w:snapToGrid w:val="0"/>
        </w:rPr>
        <w:t>.</w:t>
      </w:r>
      <w:r>
        <w:rPr>
          <w:snapToGrid w:val="0"/>
        </w:rPr>
        <w:tab/>
        <w:t>Special authority to purchase poisons included in Schedule 4</w:t>
      </w:r>
      <w:bookmarkEnd w:id="100"/>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endorsed optometrist;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outlineLvl w:val="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1 Oct 2010 p. 5079-80; 19 Nov 2010 p. 5715; amended by Act No. 9 of 2003 s. 48.]</w:t>
      </w:r>
    </w:p>
    <w:p>
      <w:pPr>
        <w:pStyle w:val="Ednotedivision"/>
      </w:pPr>
      <w:r>
        <w:t>[Heading deleted in Gazette 12 Aug 2003 p. 3663.]</w:t>
      </w:r>
    </w:p>
    <w:p>
      <w:pPr>
        <w:pStyle w:val="Heading5"/>
        <w:rPr>
          <w:snapToGrid w:val="0"/>
        </w:rPr>
      </w:pPr>
      <w:bookmarkStart w:id="101" w:name="_Toc389746656"/>
      <w:r>
        <w:rPr>
          <w:rStyle w:val="CharSectno"/>
        </w:rPr>
        <w:t>40A</w:t>
      </w:r>
      <w:r>
        <w:rPr>
          <w:snapToGrid w:val="0"/>
        </w:rPr>
        <w:t>.</w:t>
      </w:r>
      <w:r>
        <w:rPr>
          <w:snapToGrid w:val="0"/>
        </w:rPr>
        <w:tab/>
        <w:t>Delivery of a poison included in Schedule 4 on order</w:t>
      </w:r>
      <w:bookmarkEnd w:id="101"/>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102" w:name="_Toc389746657"/>
      <w:r>
        <w:rPr>
          <w:rStyle w:val="CharDivNo"/>
        </w:rPr>
        <w:t>Division 3 </w:t>
      </w:r>
      <w:r>
        <w:t xml:space="preserve">— </w:t>
      </w:r>
      <w:r>
        <w:rPr>
          <w:rStyle w:val="CharDivText"/>
        </w:rPr>
        <w:t>General</w:t>
      </w:r>
      <w:bookmarkEnd w:id="102"/>
    </w:p>
    <w:p>
      <w:pPr>
        <w:pStyle w:val="Footnoteheading"/>
        <w:rPr>
          <w:rStyle w:val="CharSectno"/>
        </w:rPr>
      </w:pPr>
      <w:r>
        <w:tab/>
        <w:t>[Heading inserted in Gazette 12 Aug 2003 p. 3664.]</w:t>
      </w:r>
    </w:p>
    <w:p>
      <w:pPr>
        <w:pStyle w:val="Heading5"/>
        <w:spacing w:before="260"/>
        <w:rPr>
          <w:snapToGrid w:val="0"/>
        </w:rPr>
      </w:pPr>
      <w:bookmarkStart w:id="103" w:name="_Toc389746658"/>
      <w:r>
        <w:rPr>
          <w:rStyle w:val="CharSectno"/>
        </w:rPr>
        <w:t>41</w:t>
      </w:r>
      <w:r>
        <w:rPr>
          <w:snapToGrid w:val="0"/>
        </w:rPr>
        <w:t>.</w:t>
      </w:r>
      <w:r>
        <w:rPr>
          <w:snapToGrid w:val="0"/>
        </w:rPr>
        <w:tab/>
        <w:t>Revocation notice in relation to poisons included in Schedule 6</w:t>
      </w:r>
      <w:bookmarkEnd w:id="10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104" w:name="_Toc389746659"/>
      <w:r>
        <w:rPr>
          <w:rStyle w:val="CharSectno"/>
        </w:rPr>
        <w:t>41A</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poisons included in Schedule 7</w:t>
      </w:r>
      <w:bookmarkEnd w:id="104"/>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05" w:name="_Toc389746660"/>
      <w:r>
        <w:rPr>
          <w:rStyle w:val="CharSectno"/>
        </w:rPr>
        <w:t>41AA</w:t>
      </w:r>
      <w:r>
        <w:rPr>
          <w:snapToGrid w:val="0"/>
        </w:rPr>
        <w:t>.</w:t>
      </w:r>
      <w:r>
        <w:rPr>
          <w:snapToGrid w:val="0"/>
        </w:rPr>
        <w:tab/>
        <w:t>Standard for intramammary antibiotic preparations</w:t>
      </w:r>
      <w:bookmarkEnd w:id="105"/>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06" w:name="_Toc389746661"/>
      <w:r>
        <w:rPr>
          <w:rStyle w:val="CharSectno"/>
        </w:rPr>
        <w:t>41AB</w:t>
      </w:r>
      <w:r>
        <w:rPr>
          <w:snapToGrid w:val="0"/>
        </w:rPr>
        <w:t>.</w:t>
      </w:r>
      <w:r>
        <w:rPr>
          <w:snapToGrid w:val="0"/>
        </w:rPr>
        <w:tab/>
        <w:t>Camphor and naphthalene</w:t>
      </w:r>
      <w:bookmarkEnd w:id="106"/>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07" w:name="_Toc389746662"/>
      <w:r>
        <w:rPr>
          <w:rStyle w:val="CharSectno"/>
        </w:rPr>
        <w:t>41B</w:t>
      </w:r>
      <w:r>
        <w:rPr>
          <w:snapToGrid w:val="0"/>
        </w:rPr>
        <w:t>.</w:t>
      </w:r>
      <w:r>
        <w:rPr>
          <w:snapToGrid w:val="0"/>
        </w:rPr>
        <w:tab/>
        <w:t>Record of poisons included in Schedule 3, 4 or 7</w:t>
      </w:r>
      <w:bookmarkEnd w:id="107"/>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108" w:name="_Toc389746663"/>
      <w:r>
        <w:rPr>
          <w:rStyle w:val="CharSectno"/>
        </w:rPr>
        <w:t>41C</w:t>
      </w:r>
      <w:r>
        <w:rPr>
          <w:snapToGrid w:val="0"/>
        </w:rPr>
        <w:t>.</w:t>
      </w:r>
      <w:r>
        <w:rPr>
          <w:snapToGrid w:val="0"/>
        </w:rPr>
        <w:tab/>
        <w:t>Access to poisons included in Schedule 7</w:t>
      </w:r>
      <w:bookmarkEnd w:id="108"/>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Heading5"/>
      </w:pPr>
      <w:bookmarkStart w:id="109" w:name="_Toc389746664"/>
      <w:r>
        <w:rPr>
          <w:rStyle w:val="CharSectno"/>
        </w:rPr>
        <w:t>41D</w:t>
      </w:r>
      <w:r>
        <w:t>.</w:t>
      </w:r>
      <w:r>
        <w:tab/>
        <w:t>Emergency supply of adrenaline in schools and child care centres</w:t>
      </w:r>
      <w:bookmarkEnd w:id="109"/>
    </w:p>
    <w:p>
      <w:pPr>
        <w:pStyle w:val="Subsection"/>
      </w:pPr>
      <w:r>
        <w:tab/>
        <w:t>(1)</w:t>
      </w:r>
      <w:r>
        <w:tab/>
        <w:t xml:space="preserve">In this regulation — </w:t>
      </w:r>
    </w:p>
    <w:p>
      <w:pPr>
        <w:pStyle w:val="Defstart"/>
      </w:pPr>
      <w:r>
        <w:rPr>
          <w:b/>
        </w:rPr>
        <w:tab/>
      </w:r>
      <w:r>
        <w:rPr>
          <w:rStyle w:val="CharDefText"/>
        </w:rPr>
        <w:t>auto</w:t>
      </w:r>
      <w:r>
        <w:rPr>
          <w:rStyle w:val="CharDefText"/>
        </w:rPr>
        <w:noBreakHyphen/>
        <w:t>injector</w:t>
      </w:r>
      <w:r>
        <w:t xml:space="preserve"> means a device containing one or 2 pre</w:t>
      </w:r>
      <w:r>
        <w:noBreakHyphen/>
        <w:t>measured doses of a poison, with a mechanism for administering the dose or doses by injection;</w:t>
      </w:r>
    </w:p>
    <w:p>
      <w:pPr>
        <w:pStyle w:val="Defstart"/>
      </w:pPr>
      <w:r>
        <w:rPr>
          <w:b/>
        </w:rPr>
        <w:tab/>
      </w:r>
      <w:r>
        <w:rPr>
          <w:rStyle w:val="CharDefText"/>
        </w:rPr>
        <w:t>child care service</w:t>
      </w:r>
      <w:r>
        <w:t xml:space="preserve"> has the meaning given in the </w:t>
      </w:r>
      <w:r>
        <w:rPr>
          <w:i/>
        </w:rPr>
        <w:t>Child Care Services Act 2007</w:t>
      </w:r>
      <w:r>
        <w:t>;</w:t>
      </w:r>
    </w:p>
    <w:p>
      <w:pPr>
        <w:pStyle w:val="Defstart"/>
        <w:keepNext/>
      </w:pPr>
      <w:r>
        <w:rPr>
          <w:b/>
        </w:rPr>
        <w:tab/>
      </w:r>
      <w:r>
        <w:rPr>
          <w:rStyle w:val="CharDefText"/>
        </w:rPr>
        <w:t>school</w:t>
      </w:r>
      <w:r>
        <w:t xml:space="preserve"> means — </w:t>
      </w:r>
    </w:p>
    <w:p>
      <w:pPr>
        <w:pStyle w:val="Defpara"/>
      </w:pPr>
      <w:r>
        <w:tab/>
        <w:t>(a)</w:t>
      </w:r>
      <w:r>
        <w:tab/>
        <w:t xml:space="preserve">a school within the meaning of the </w:t>
      </w:r>
      <w:r>
        <w:rPr>
          <w:i/>
          <w:iCs/>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adrenaline which is supplied or sold — </w:t>
      </w:r>
    </w:p>
    <w:p>
      <w:pPr>
        <w:pStyle w:val="Indenta"/>
      </w:pPr>
      <w:r>
        <w:tab/>
        <w:t>(a)</w:t>
      </w:r>
      <w:r>
        <w:tab/>
        <w:t>in the course of activity conducted by a school or child care service; and</w:t>
      </w:r>
    </w:p>
    <w:p>
      <w:pPr>
        <w:pStyle w:val="Indenta"/>
      </w:pPr>
      <w:r>
        <w:tab/>
        <w:t>(b)</w:t>
      </w:r>
      <w:r>
        <w:tab/>
        <w:t>as emergency treatment for anaphylaxis; and</w:t>
      </w:r>
    </w:p>
    <w:p>
      <w:pPr>
        <w:pStyle w:val="Indenta"/>
      </w:pPr>
      <w:r>
        <w:tab/>
        <w:t>(c)</w:t>
      </w:r>
      <w:r>
        <w:tab/>
        <w:t>by administering an auto</w:t>
      </w:r>
      <w:r>
        <w:noBreakHyphen/>
        <w:t>injector.</w:t>
      </w:r>
    </w:p>
    <w:p>
      <w:pPr>
        <w:pStyle w:val="Subsection"/>
      </w:pPr>
      <w:r>
        <w:tab/>
        <w:t>(3)</w:t>
      </w:r>
      <w:r>
        <w:tab/>
        <w:t>Section 50 of the Act, and regulations 16, 19, 19AA and 19A do not apply in relation to adrenaline in an auto</w:t>
      </w:r>
      <w:r>
        <w:noBreakHyphen/>
        <w:t>injector kept for the purpose of being supplied or sold in the course of activity conducted by a school or child care service as emergency treatment for anaphylaxis.</w:t>
      </w:r>
    </w:p>
    <w:p>
      <w:pPr>
        <w:pStyle w:val="Footnotesection"/>
      </w:pPr>
      <w:r>
        <w:tab/>
        <w:t>[Regulation 41D inserted in Gazette 15 Sep 2009 p. 3572; amended in Gazette 5 Mar 2010 p. 846.]</w:t>
      </w:r>
    </w:p>
    <w:p>
      <w:pPr>
        <w:pStyle w:val="Ednotedivision"/>
      </w:pPr>
      <w:r>
        <w:t>[Heading deleted in Gazette 12 Aug 2003 p. 3663.]</w:t>
      </w:r>
    </w:p>
    <w:p>
      <w:pPr>
        <w:pStyle w:val="Heading2"/>
      </w:pPr>
      <w:bookmarkStart w:id="110" w:name="_Toc389746665"/>
      <w:r>
        <w:rPr>
          <w:rStyle w:val="CharPartNo"/>
        </w:rPr>
        <w:t>Part 6</w:t>
      </w:r>
      <w:r>
        <w:t xml:space="preserve"> — </w:t>
      </w:r>
      <w:r>
        <w:rPr>
          <w:rStyle w:val="CharPartText"/>
        </w:rPr>
        <w:t>Drugs of addiction</w:t>
      </w:r>
      <w:bookmarkEnd w:id="110"/>
    </w:p>
    <w:p>
      <w:pPr>
        <w:pStyle w:val="Footnoteheading"/>
      </w:pPr>
      <w:r>
        <w:tab/>
        <w:t>[Heading inserted in Gazette 12 Aug 2003 p. 3664.]</w:t>
      </w:r>
    </w:p>
    <w:p>
      <w:pPr>
        <w:pStyle w:val="Heading3"/>
      </w:pPr>
      <w:bookmarkStart w:id="111" w:name="_Toc389746666"/>
      <w:r>
        <w:rPr>
          <w:rStyle w:val="CharDivNo"/>
        </w:rPr>
        <w:t>Division 1</w:t>
      </w:r>
      <w:r>
        <w:t xml:space="preserve"> — </w:t>
      </w:r>
      <w:r>
        <w:rPr>
          <w:rStyle w:val="CharDivText"/>
        </w:rPr>
        <w:t>General</w:t>
      </w:r>
      <w:bookmarkEnd w:id="111"/>
    </w:p>
    <w:p>
      <w:pPr>
        <w:pStyle w:val="Footnoteheading"/>
        <w:rPr>
          <w:i w:val="0"/>
        </w:rPr>
      </w:pPr>
      <w:r>
        <w:tab/>
        <w:t>[Heading inserted in Gazette 12 Aug 2003 p. 3664.]</w:t>
      </w:r>
    </w:p>
    <w:p>
      <w:pPr>
        <w:pStyle w:val="Heading5"/>
      </w:pPr>
      <w:bookmarkStart w:id="112" w:name="_Toc389746667"/>
      <w:r>
        <w:rPr>
          <w:rStyle w:val="CharSectno"/>
        </w:rPr>
        <w:t>42A</w:t>
      </w:r>
      <w:r>
        <w:t>.</w:t>
      </w:r>
      <w:r>
        <w:tab/>
        <w:t>Interpretation</w:t>
      </w:r>
      <w:bookmarkEnd w:id="112"/>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113" w:name="_Toc389746668"/>
      <w:r>
        <w:rPr>
          <w:rStyle w:val="CharSectno"/>
        </w:rPr>
        <w:t>42</w:t>
      </w:r>
      <w:r>
        <w:rPr>
          <w:snapToGrid w:val="0"/>
        </w:rPr>
        <w:t>.</w:t>
      </w:r>
      <w:r>
        <w:rPr>
          <w:snapToGrid w:val="0"/>
        </w:rPr>
        <w:tab/>
        <w:t>Authority for prescribed persons to procure and have poisons included in Schedule 8</w:t>
      </w:r>
      <w:bookmarkEnd w:id="113"/>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milligrams</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milligrams</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milligrams</w:t>
            </w:r>
          </w:p>
        </w:tc>
      </w:tr>
      <w:tr>
        <w:trPr>
          <w:cantSplit/>
        </w:trPr>
        <w:tc>
          <w:tcPr>
            <w:tcW w:w="5894" w:type="dxa"/>
          </w:tcPr>
          <w:p>
            <w:pPr>
              <w:pStyle w:val="TableNAm"/>
              <w:spacing w:before="8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 27 Apr 2010 p. 1583-4; 1 Oct 2010 p. 5079-80.]</w:t>
      </w:r>
    </w:p>
    <w:p>
      <w:pPr>
        <w:pStyle w:val="Ednotedivision"/>
      </w:pPr>
      <w:r>
        <w:t>[Heading deleted in Gazette 12 Aug 2003 p. 3663.]</w:t>
      </w:r>
    </w:p>
    <w:p>
      <w:pPr>
        <w:pStyle w:val="Heading5"/>
        <w:rPr>
          <w:snapToGrid w:val="0"/>
        </w:rPr>
      </w:pPr>
      <w:bookmarkStart w:id="114" w:name="_Toc389746669"/>
      <w:r>
        <w:rPr>
          <w:rStyle w:val="CharSectno"/>
        </w:rPr>
        <w:t>43</w:t>
      </w:r>
      <w:r>
        <w:rPr>
          <w:snapToGrid w:val="0"/>
        </w:rPr>
        <w:t>.</w:t>
      </w:r>
      <w:r>
        <w:rPr>
          <w:snapToGrid w:val="0"/>
        </w:rPr>
        <w:tab/>
        <w:t>Authority for pharmacists to retail, compound and dispense poisons included in Schedule 8</w:t>
      </w:r>
      <w:bookmarkEnd w:id="114"/>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 1 Oct 2010 p. 5079-80.]</w:t>
      </w:r>
    </w:p>
    <w:p>
      <w:pPr>
        <w:pStyle w:val="Ednotedivision"/>
      </w:pPr>
      <w:r>
        <w:t>[Heading deleted in Gazette 12 Aug 2003 p. 3663.]</w:t>
      </w:r>
    </w:p>
    <w:p>
      <w:pPr>
        <w:pStyle w:val="Heading5"/>
        <w:keepLines w:val="0"/>
        <w:rPr>
          <w:snapToGrid w:val="0"/>
        </w:rPr>
      </w:pPr>
      <w:bookmarkStart w:id="115" w:name="_Toc389746670"/>
      <w:r>
        <w:rPr>
          <w:rStyle w:val="CharSectno"/>
        </w:rPr>
        <w:t>43A</w:t>
      </w:r>
      <w:r>
        <w:rPr>
          <w:snapToGrid w:val="0"/>
        </w:rPr>
        <w:t>.</w:t>
      </w:r>
      <w:r>
        <w:rPr>
          <w:snapToGrid w:val="0"/>
        </w:rPr>
        <w:tab/>
        <w:t>Revocation notice in relation to poisons included in Schedule 8 and specified drugs</w:t>
      </w:r>
      <w:bookmarkEnd w:id="11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16" w:name="_Toc389746671"/>
      <w:r>
        <w:rPr>
          <w:rStyle w:val="CharSectno"/>
        </w:rPr>
        <w:t>43B</w:t>
      </w:r>
      <w:r>
        <w:rPr>
          <w:snapToGrid w:val="0"/>
        </w:rPr>
        <w:t>.</w:t>
      </w:r>
      <w:r>
        <w:rPr>
          <w:snapToGrid w:val="0"/>
        </w:rPr>
        <w:tab/>
        <w:t>Prescribed purposes (section 41(1))</w:t>
      </w:r>
      <w:bookmarkEnd w:id="116"/>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17" w:name="_Toc389746672"/>
      <w:r>
        <w:rPr>
          <w:rStyle w:val="CharSectno"/>
        </w:rPr>
        <w:t>43C</w:t>
      </w:r>
      <w:r>
        <w:rPr>
          <w:snapToGrid w:val="0"/>
        </w:rPr>
        <w:t>.</w:t>
      </w:r>
      <w:r>
        <w:rPr>
          <w:snapToGrid w:val="0"/>
        </w:rPr>
        <w:tab/>
        <w:t>Advertising of substances included in Schedule 8</w:t>
      </w:r>
      <w:bookmarkEnd w:id="117"/>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118" w:name="_Toc389746673"/>
      <w:r>
        <w:rPr>
          <w:rStyle w:val="CharSectno"/>
        </w:rPr>
        <w:t>44</w:t>
      </w:r>
      <w:r>
        <w:t>.</w:t>
      </w:r>
      <w:r>
        <w:tab/>
        <w:t>Register of drugs of addiction</w:t>
      </w:r>
      <w:bookmarkEnd w:id="118"/>
      <w:r>
        <w:t xml:space="preserve"> </w:t>
      </w:r>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issued the prescription or order;</w:t>
      </w:r>
    </w:p>
    <w:p>
      <w:pPr>
        <w:pStyle w:val="Indenta"/>
      </w:pPr>
      <w:r>
        <w:tab/>
        <w:t>(e)</w:t>
      </w:r>
      <w:r>
        <w:tab/>
        <w:t>the amount of the drug remaining on hand after the transaction;</w:t>
      </w:r>
    </w:p>
    <w:p>
      <w:pPr>
        <w:pStyle w:val="Indenta"/>
      </w:pPr>
      <w:r>
        <w:tab/>
        <w:t>(f)</w:t>
      </w:r>
      <w:r>
        <w:tab/>
        <w:t>if the authorised person is a pharmacist,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 1 Oct 2010 p. 5079-80.]</w:t>
      </w:r>
    </w:p>
    <w:p>
      <w:pPr>
        <w:pStyle w:val="Heading5"/>
        <w:spacing w:before="260"/>
        <w:rPr>
          <w:snapToGrid w:val="0"/>
        </w:rPr>
      </w:pPr>
      <w:bookmarkStart w:id="119" w:name="_Toc389746674"/>
      <w:r>
        <w:rPr>
          <w:rStyle w:val="CharSectno"/>
        </w:rPr>
        <w:t>44A</w:t>
      </w:r>
      <w:r>
        <w:rPr>
          <w:snapToGrid w:val="0"/>
        </w:rPr>
        <w:t>.</w:t>
      </w:r>
      <w:r>
        <w:rPr>
          <w:snapToGrid w:val="0"/>
        </w:rPr>
        <w:tab/>
        <w:t>Destruction of drugs of addiction and poisons included in Schedule 8</w:t>
      </w:r>
      <w:bookmarkEnd w:id="119"/>
      <w:r>
        <w:rPr>
          <w:snapToGrid w:val="0"/>
        </w:rPr>
        <w:t xml:space="preserve"> </w:t>
      </w:r>
    </w:p>
    <w:p>
      <w:pPr>
        <w:pStyle w:val="Subsection"/>
        <w:spacing w:before="200"/>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r>
      <w:r>
        <w:t>pharmacists</w:t>
      </w:r>
      <w:r>
        <w:rPr>
          <w:snapToGrid w:val="0"/>
        </w:rPr>
        <w:t xml:space="preserve">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w:t>
      </w:r>
    </w:p>
    <w:p>
      <w:pPr>
        <w:pStyle w:val="Heading5"/>
      </w:pPr>
      <w:bookmarkStart w:id="120" w:name="_Toc389746675"/>
      <w:r>
        <w:rPr>
          <w:rStyle w:val="CharSectno"/>
        </w:rPr>
        <w:t>44B</w:t>
      </w:r>
      <w:r>
        <w:t>.</w:t>
      </w:r>
      <w:r>
        <w:tab/>
        <w:t>Form of registers</w:t>
      </w:r>
      <w:bookmarkEnd w:id="120"/>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21" w:name="_Toc389746676"/>
      <w:r>
        <w:rPr>
          <w:rStyle w:val="CharSectno"/>
        </w:rPr>
        <w:t>44C</w:t>
      </w:r>
      <w:r>
        <w:t>.</w:t>
      </w:r>
      <w:r>
        <w:tab/>
        <w:t>Control of access to electronic registers</w:t>
      </w:r>
      <w:bookmarkEnd w:id="121"/>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122" w:name="_Toc389746677"/>
      <w:r>
        <w:rPr>
          <w:rStyle w:val="CharSectno"/>
        </w:rPr>
        <w:t>45</w:t>
      </w:r>
      <w:r>
        <w:rPr>
          <w:snapToGrid w:val="0"/>
        </w:rPr>
        <w:t>.</w:t>
      </w:r>
      <w:r>
        <w:rPr>
          <w:snapToGrid w:val="0"/>
        </w:rPr>
        <w:tab/>
        <w:t>Inventory of drugs of addiction</w:t>
      </w:r>
      <w:bookmarkEnd w:id="122"/>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r>
        <w:t>[Heading deleted in Gazette 12 Aug 2003 p. 3663.]</w:t>
      </w:r>
    </w:p>
    <w:p>
      <w:pPr>
        <w:pStyle w:val="Heading5"/>
        <w:rPr>
          <w:snapToGrid w:val="0"/>
        </w:rPr>
      </w:pPr>
      <w:bookmarkStart w:id="123" w:name="_Toc389746678"/>
      <w:r>
        <w:rPr>
          <w:rStyle w:val="CharSectno"/>
        </w:rPr>
        <w:t>47</w:t>
      </w:r>
      <w:r>
        <w:rPr>
          <w:snapToGrid w:val="0"/>
        </w:rPr>
        <w:t>.</w:t>
      </w:r>
      <w:r>
        <w:rPr>
          <w:snapToGrid w:val="0"/>
        </w:rPr>
        <w:tab/>
        <w:t>Records to be retained for 7 years and available on demand</w:t>
      </w:r>
      <w:bookmarkEnd w:id="123"/>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r>
        <w:t>[Heading deleted in Gazette 12 Aug 2003 p. 3663.]</w:t>
      </w:r>
    </w:p>
    <w:p>
      <w:pPr>
        <w:pStyle w:val="Heading5"/>
        <w:rPr>
          <w:snapToGrid w:val="0"/>
        </w:rPr>
      </w:pPr>
      <w:bookmarkStart w:id="124" w:name="_Toc389746679"/>
      <w:r>
        <w:rPr>
          <w:rStyle w:val="CharSectno"/>
        </w:rPr>
        <w:t>48</w:t>
      </w:r>
      <w:r>
        <w:rPr>
          <w:snapToGrid w:val="0"/>
        </w:rPr>
        <w:t>.</w:t>
      </w:r>
      <w:r>
        <w:rPr>
          <w:snapToGrid w:val="0"/>
        </w:rPr>
        <w:tab/>
        <w:t>Returns from manufacturers and wholesalers</w:t>
      </w:r>
      <w:bookmarkEnd w:id="124"/>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25" w:name="_Toc389746680"/>
      <w:r>
        <w:rPr>
          <w:rStyle w:val="CharSectno"/>
        </w:rPr>
        <w:t>49A</w:t>
      </w:r>
      <w:r>
        <w:t>.</w:t>
      </w:r>
      <w:r>
        <w:tab/>
        <w:t>Use of poisons included in Schedule 8 on certificated commercial vessels</w:t>
      </w:r>
      <w:bookmarkEnd w:id="125"/>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26" w:name="_Toc389746681"/>
      <w:r>
        <w:rPr>
          <w:rStyle w:val="CharSectno"/>
        </w:rPr>
        <w:t>49B</w:t>
      </w:r>
      <w:r>
        <w:t>.</w:t>
      </w:r>
      <w:r>
        <w:tab/>
        <w:t>Use of poisons included in Schedule 8 on racing yachts</w:t>
      </w:r>
      <w:bookmarkEnd w:id="126"/>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127" w:name="_Toc389746682"/>
      <w:r>
        <w:rPr>
          <w:rStyle w:val="CharSectno"/>
        </w:rPr>
        <w:t>49</w:t>
      </w:r>
      <w:r>
        <w:rPr>
          <w:snapToGrid w:val="0"/>
        </w:rPr>
        <w:t>.</w:t>
      </w:r>
      <w:r>
        <w:rPr>
          <w:snapToGrid w:val="0"/>
        </w:rPr>
        <w:tab/>
        <w:t>Use of poisons included in Schedule 8 on ships and aircraft</w:t>
      </w:r>
      <w:bookmarkEnd w:id="127"/>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 xml:space="preserve">if the ship is registered in </w:t>
      </w:r>
      <w:smartTag w:uri="urn:schemas-microsoft-com:office:smarttags" w:element="country-region">
        <w:r>
          <w:rPr>
            <w:snapToGrid w:val="0"/>
          </w:rPr>
          <w:t>Australia</w:t>
        </w:r>
      </w:smartTag>
      <w:r>
        <w:rPr>
          <w:snapToGrid w:val="0"/>
        </w:rPr>
        <w:t>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 xml:space="preserve">if the ship is not registered in </w:t>
      </w:r>
      <w:smartTag w:uri="urn:schemas-microsoft-com:office:smarttags" w:element="country-region">
        <w:r>
          <w:rPr>
            <w:snapToGrid w:val="0"/>
          </w:rPr>
          <w:t>Australia</w:t>
        </w:r>
      </w:smartTag>
      <w:r>
        <w:rPr>
          <w:snapToGrid w:val="0"/>
        </w:rPr>
        <w:t>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r>
        <w:t>[Heading deleted in Gazette 12 Aug 2003 p. 3663.]</w:t>
      </w:r>
    </w:p>
    <w:p>
      <w:pPr>
        <w:pStyle w:val="Heading5"/>
        <w:keepLines w:val="0"/>
        <w:spacing w:before="260"/>
        <w:rPr>
          <w:snapToGrid w:val="0"/>
        </w:rPr>
      </w:pPr>
      <w:bookmarkStart w:id="128" w:name="_Toc389746683"/>
      <w:r>
        <w:rPr>
          <w:rStyle w:val="CharSectno"/>
        </w:rPr>
        <w:t>50</w:t>
      </w:r>
      <w:r>
        <w:rPr>
          <w:snapToGrid w:val="0"/>
        </w:rPr>
        <w:t>.</w:t>
      </w:r>
      <w:r>
        <w:rPr>
          <w:snapToGrid w:val="0"/>
        </w:rPr>
        <w:tab/>
        <w:t>Used poisons included in Schedule 8 at hospitals</w:t>
      </w:r>
      <w:bookmarkEnd w:id="128"/>
      <w:r>
        <w:rPr>
          <w:snapToGrid w:val="0"/>
        </w:rPr>
        <w:t xml:space="preserve"> </w:t>
      </w:r>
    </w:p>
    <w:p>
      <w:pPr>
        <w:pStyle w:val="Subsection"/>
        <w:rPr>
          <w:snapToGrid w:val="0"/>
        </w:rPr>
      </w:pPr>
      <w:r>
        <w:rPr>
          <w:snapToGrid w:val="0"/>
        </w:rPr>
        <w:tab/>
        <w:t>(a)</w:t>
      </w:r>
      <w:r>
        <w:rPr>
          <w:snapToGrid w:val="0"/>
        </w:rPr>
        <w:tab/>
        <w:t>Where a p</w:t>
      </w:r>
      <w:r>
        <w:t>harmacist</w:t>
      </w:r>
      <w:r>
        <w:rPr>
          <w:snapToGrid w:val="0"/>
        </w:rPr>
        <w:t xml:space="preserve"> is employed — The </w:t>
      </w:r>
      <w:r>
        <w:t>pharmacist</w:t>
      </w:r>
      <w:r>
        <w:rPr>
          <w:snapToGrid w:val="0"/>
        </w:rPr>
        <w:t xml:space="preserve"> in charge of the pharmacy department of a public hospital shall be responsible for ordering, storing and issuing all poisons included in Schedule 8 in such public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w:t>
      </w:r>
      <w:r>
        <w:t>pharmacist</w:t>
      </w:r>
      <w:r>
        <w:rPr>
          <w:snapToGrid w:val="0"/>
        </w:rPr>
        <w:t xml:space="preserve">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 1 Oct 2010 p. 5079-80.]</w:t>
      </w:r>
    </w:p>
    <w:p>
      <w:pPr>
        <w:pStyle w:val="Ednotedivision"/>
        <w:spacing w:before="180"/>
      </w:pPr>
      <w:r>
        <w:t>[Heading deleted in Gazette 12 Aug 2003 p. 3663.]</w:t>
      </w:r>
    </w:p>
    <w:p>
      <w:pPr>
        <w:pStyle w:val="Heading3"/>
      </w:pPr>
      <w:bookmarkStart w:id="129" w:name="_Toc389746684"/>
      <w:r>
        <w:rPr>
          <w:rStyle w:val="CharDivNo"/>
        </w:rPr>
        <w:t>Division 2</w:t>
      </w:r>
      <w:r>
        <w:t xml:space="preserve"> — </w:t>
      </w:r>
      <w:r>
        <w:rPr>
          <w:rStyle w:val="CharDivText"/>
        </w:rPr>
        <w:t>Supply and prescription</w:t>
      </w:r>
      <w:bookmarkEnd w:id="129"/>
    </w:p>
    <w:p>
      <w:pPr>
        <w:pStyle w:val="Footnoteheading"/>
        <w:keepNext/>
      </w:pPr>
      <w:r>
        <w:tab/>
        <w:t>[Heading inserted in Gazette 12 Aug 2003 p. 3664.]</w:t>
      </w:r>
    </w:p>
    <w:p>
      <w:pPr>
        <w:pStyle w:val="Heading4"/>
      </w:pPr>
      <w:bookmarkStart w:id="130" w:name="_Toc389746685"/>
      <w:r>
        <w:t>Subdivision 1 — Prescriptions generally</w:t>
      </w:r>
      <w:bookmarkEnd w:id="130"/>
    </w:p>
    <w:p>
      <w:pPr>
        <w:pStyle w:val="Footnoteheading"/>
        <w:keepNext/>
        <w:spacing w:before="220"/>
      </w:pPr>
      <w:r>
        <w:tab/>
        <w:t>[Heading inserted in Gazette 12 Aug 2003 p. 3664.]</w:t>
      </w:r>
    </w:p>
    <w:p>
      <w:pPr>
        <w:pStyle w:val="Heading5"/>
        <w:rPr>
          <w:snapToGrid w:val="0"/>
        </w:rPr>
      </w:pPr>
      <w:bookmarkStart w:id="131" w:name="_Toc389746686"/>
      <w:r>
        <w:rPr>
          <w:rStyle w:val="CharSectno"/>
        </w:rPr>
        <w:t>51</w:t>
      </w:r>
      <w:r>
        <w:rPr>
          <w:snapToGrid w:val="0"/>
        </w:rPr>
        <w:t>.</w:t>
      </w:r>
      <w:r>
        <w:rPr>
          <w:snapToGrid w:val="0"/>
        </w:rPr>
        <w:tab/>
        <w:t>Prescriptions</w:t>
      </w:r>
      <w:bookmarkEnd w:id="131"/>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processed on an approved computer program and have the information referred to in subregulation (1)(a)(iii), (iv) and (vi) written in ink in the prescriber’s own handwriting.</w:t>
      </w:r>
    </w:p>
    <w:p>
      <w:pPr>
        <w:pStyle w:val="Subsection"/>
      </w:pPr>
      <w:r>
        <w:tab/>
      </w:r>
      <w:r>
        <w:tab/>
        <w:t>The prescription shall be signed by the prescriber in his or her own handwriting.</w:t>
      </w:r>
    </w:p>
    <w:p>
      <w:pPr>
        <w:pStyle w:val="Subsection"/>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pPr>
      <w:r>
        <w:tab/>
        <w:t>(a)</w:t>
      </w:r>
      <w:r>
        <w:tab/>
        <w:t>complies with the criteria specified in Appendix L; or</w:t>
      </w:r>
    </w:p>
    <w:p>
      <w:pPr>
        <w:pStyle w:val="Defpara"/>
      </w:pPr>
      <w:r>
        <w:tab/>
        <w:t>(b)</w:t>
      </w:r>
      <w:r>
        <w:tab/>
        <w:t>is recommended by the Poisons Advisory Committee and approved in writing by the CEO.</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pPr>
      <w:bookmarkStart w:id="132" w:name="_Toc389746687"/>
      <w:r>
        <w:rPr>
          <w:rStyle w:val="CharSectno"/>
        </w:rPr>
        <w:t>51AAA</w:t>
      </w:r>
      <w:r>
        <w:t>.</w:t>
      </w:r>
      <w:r>
        <w:tab/>
        <w:t>Prescriptions for poisons included in Schedule 8 for patient discharged from public hospital</w:t>
      </w:r>
      <w:bookmarkEnd w:id="132"/>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has completed, in ink in his or her own hand writing, all the details in respect of the Schedule 8 poison required by the NIMC; and</w:t>
      </w:r>
    </w:p>
    <w:p>
      <w:pPr>
        <w:pStyle w:val="Indenta"/>
      </w:pPr>
      <w:r>
        <w:tab/>
        <w:t>(c)</w:t>
      </w:r>
      <w:r>
        <w:tab/>
        <w:t>a medical practitioner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w:t>
      </w:r>
    </w:p>
    <w:p>
      <w:pPr>
        <w:pStyle w:val="Heading4"/>
        <w:keepNext w:val="0"/>
        <w:spacing w:before="260"/>
      </w:pPr>
      <w:bookmarkStart w:id="133" w:name="_Toc389746688"/>
      <w:r>
        <w:t>Subdivision 2 — Supply and prescription to drug addicts</w:t>
      </w:r>
      <w:bookmarkEnd w:id="133"/>
    </w:p>
    <w:p>
      <w:pPr>
        <w:pStyle w:val="Footnoteheading"/>
        <w:keepNext/>
        <w:spacing w:before="100"/>
      </w:pPr>
      <w:r>
        <w:tab/>
        <w:t>[Heading inserted in Gazette 12 Aug 2003 p. 3664.]</w:t>
      </w:r>
    </w:p>
    <w:p>
      <w:pPr>
        <w:pStyle w:val="Heading5"/>
        <w:spacing w:before="200"/>
      </w:pPr>
      <w:bookmarkStart w:id="134" w:name="_Toc389746689"/>
      <w:r>
        <w:rPr>
          <w:rStyle w:val="CharSectno"/>
        </w:rPr>
        <w:t>51A</w:t>
      </w:r>
      <w:r>
        <w:t>.</w:t>
      </w:r>
      <w:r>
        <w:tab/>
        <w:t>Terms used</w:t>
      </w:r>
      <w:bookmarkEnd w:id="134"/>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country-region">
        <w:r>
          <w:t>Australia</w:t>
        </w:r>
      </w:smartTag>
      <w:r>
        <w:t xml:space="preserve">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w:t>
      </w:r>
    </w:p>
    <w:p>
      <w:pPr>
        <w:pStyle w:val="Heading5"/>
      </w:pPr>
      <w:bookmarkStart w:id="135" w:name="_Toc389746690"/>
      <w:r>
        <w:rPr>
          <w:rStyle w:val="CharSectno"/>
        </w:rPr>
        <w:t>51AA</w:t>
      </w:r>
      <w:r>
        <w:t>.</w:t>
      </w:r>
      <w:r>
        <w:tab/>
        <w:t>Disclosure by drug addict to medical practitioner</w:t>
      </w:r>
      <w:bookmarkEnd w:id="135"/>
    </w:p>
    <w:p>
      <w:pPr>
        <w:pStyle w:val="Subsection"/>
      </w:pPr>
      <w:r>
        <w:tab/>
      </w:r>
      <w:r>
        <w:tab/>
        <w:t>A drug addict must,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or dentist the fact that he or she is a drug addict.</w:t>
      </w:r>
    </w:p>
    <w:p>
      <w:pPr>
        <w:pStyle w:val="Footnotesection"/>
      </w:pPr>
      <w:r>
        <w:tab/>
        <w:t xml:space="preserve">[Regulation 51AA inserted in Gazette 12 Oct 1984 p. 3267; amended in Gazette 11 Apr 1997 p. 1832; 21 Apr 2009 p. 1360.] </w:t>
      </w:r>
    </w:p>
    <w:p>
      <w:pPr>
        <w:pStyle w:val="Heading5"/>
      </w:pPr>
      <w:bookmarkStart w:id="136" w:name="_Toc389746691"/>
      <w:r>
        <w:rPr>
          <w:rStyle w:val="CharSectno"/>
        </w:rPr>
        <w:t>51B</w:t>
      </w:r>
      <w:r>
        <w:t>.</w:t>
      </w:r>
      <w:r>
        <w:tab/>
        <w:t>Prescription and supply in accordance with this Subdivision — general provision</w:t>
      </w:r>
      <w:bookmarkEnd w:id="136"/>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137" w:name="_Toc389746692"/>
      <w:r>
        <w:rPr>
          <w:rStyle w:val="CharSectno"/>
        </w:rPr>
        <w:t>51BA</w:t>
      </w:r>
      <w:r>
        <w:t>.</w:t>
      </w:r>
      <w:r>
        <w:tab/>
        <w:t>P</w:t>
      </w:r>
      <w:r>
        <w:rPr>
          <w:snapToGrid w:val="0"/>
        </w:rPr>
        <w:t>rescribing drugs of addiction for drug addicts other than for the treatment of drug addiction</w:t>
      </w:r>
      <w:bookmarkEnd w:id="137"/>
    </w:p>
    <w:p>
      <w:pPr>
        <w:pStyle w:val="Subsection"/>
        <w:rPr>
          <w:snapToGrid w:val="0"/>
        </w:rPr>
      </w:pPr>
      <w:r>
        <w:tab/>
        <w:t>(1)</w:t>
      </w:r>
      <w:r>
        <w:tab/>
        <w:t xml:space="preserve">A medical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or dentist may </w:t>
      </w:r>
      <w:r>
        <w:rPr>
          <w:snapToGrid w:val="0"/>
        </w:rPr>
        <w:t>prescribe or supply a drug of addiction for the treatment of a person who is a drug addict</w:t>
      </w:r>
      <w:r>
        <w:t xml:space="preserve"> if the medical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w:t>
      </w:r>
    </w:p>
    <w:p>
      <w:pPr>
        <w:pStyle w:val="Heading5"/>
        <w:rPr>
          <w:snapToGrid w:val="0"/>
        </w:rPr>
      </w:pPr>
      <w:bookmarkStart w:id="138" w:name="_Toc389746693"/>
      <w:r>
        <w:rPr>
          <w:rStyle w:val="CharSectno"/>
        </w:rPr>
        <w:t>51C</w:t>
      </w:r>
      <w:r>
        <w:rPr>
          <w:snapToGrid w:val="0"/>
        </w:rPr>
        <w:t>.</w:t>
      </w:r>
      <w:r>
        <w:rPr>
          <w:snapToGrid w:val="0"/>
        </w:rPr>
        <w:tab/>
        <w:t>Designation of authorised prescribers and specialist prescribers</w:t>
      </w:r>
      <w:bookmarkEnd w:id="138"/>
    </w:p>
    <w:p>
      <w:pPr>
        <w:pStyle w:val="Subsection"/>
      </w:pPr>
      <w:r>
        <w:tab/>
        <w:t>(1)</w:t>
      </w:r>
      <w:r>
        <w:tab/>
        <w:t>The CEO may designate a medical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w:t>
      </w:r>
    </w:p>
    <w:p>
      <w:pPr>
        <w:pStyle w:val="Heading5"/>
        <w:rPr>
          <w:snapToGrid w:val="0"/>
        </w:rPr>
      </w:pPr>
      <w:bookmarkStart w:id="139" w:name="_Toc389746694"/>
      <w:r>
        <w:rPr>
          <w:rStyle w:val="CharSectno"/>
        </w:rPr>
        <w:t>51CA</w:t>
      </w:r>
      <w:r>
        <w:t>.</w:t>
      </w:r>
      <w:r>
        <w:tab/>
        <w:t>Appointment</w:t>
      </w:r>
      <w:r>
        <w:rPr>
          <w:snapToGrid w:val="0"/>
        </w:rPr>
        <w:t xml:space="preserve"> of medical practitioner as authorised prescriber for a drug addict</w:t>
      </w:r>
      <w:bookmarkEnd w:id="139"/>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140" w:name="_Toc389746695"/>
      <w:r>
        <w:rPr>
          <w:rStyle w:val="CharSectno"/>
        </w:rPr>
        <w:t>51CB</w:t>
      </w:r>
      <w:r>
        <w:t>.</w:t>
      </w:r>
      <w:r>
        <w:tab/>
        <w:t>Appointment of co</w:t>
      </w:r>
      <w:r>
        <w:noBreakHyphen/>
        <w:t xml:space="preserve">prescriber </w:t>
      </w:r>
      <w:r>
        <w:rPr>
          <w:snapToGrid w:val="0"/>
        </w:rPr>
        <w:t>for a drug addict</w:t>
      </w:r>
      <w:bookmarkEnd w:id="140"/>
    </w:p>
    <w:p>
      <w:pPr>
        <w:pStyle w:val="Subsection"/>
      </w:pPr>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w:t>
      </w:r>
    </w:p>
    <w:p>
      <w:pPr>
        <w:pStyle w:val="Heading5"/>
      </w:pPr>
      <w:bookmarkStart w:id="141" w:name="_Toc389746696"/>
      <w:r>
        <w:rPr>
          <w:rStyle w:val="CharSectno"/>
        </w:rPr>
        <w:t>51CC</w:t>
      </w:r>
      <w:r>
        <w:t>.</w:t>
      </w:r>
      <w:r>
        <w:tab/>
      </w:r>
      <w:r>
        <w:rPr>
          <w:snapToGrid w:val="0"/>
        </w:rPr>
        <w:t>Designations, authorisations and appointments — general rules</w:t>
      </w:r>
      <w:bookmarkEnd w:id="141"/>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r>
        <w:tab/>
        <w:t>[Regulation 51CC inserted in Gazette 21 Apr 2009 p. 1362.]</w:t>
      </w:r>
    </w:p>
    <w:p>
      <w:pPr>
        <w:pStyle w:val="Heading5"/>
        <w:rPr>
          <w:snapToGrid w:val="0"/>
        </w:rPr>
      </w:pPr>
      <w:bookmarkStart w:id="142" w:name="_Toc389746697"/>
      <w:r>
        <w:rPr>
          <w:rStyle w:val="CharSectno"/>
        </w:rPr>
        <w:t>51D</w:t>
      </w:r>
      <w:r>
        <w:t>.</w:t>
      </w:r>
      <w:r>
        <w:tab/>
        <w:t>P</w:t>
      </w:r>
      <w:r>
        <w:rPr>
          <w:snapToGrid w:val="0"/>
        </w:rPr>
        <w:t>rescribing pharmacotherapies for the treatment of the drug addiction of a drug addict — general rules</w:t>
      </w:r>
      <w:bookmarkEnd w:id="142"/>
    </w:p>
    <w:p>
      <w:pPr>
        <w:pStyle w:val="Subsection"/>
        <w:rPr>
          <w:snapToGrid w:val="0"/>
        </w:rPr>
      </w:pPr>
      <w:r>
        <w:rPr>
          <w:snapToGrid w:val="0"/>
        </w:rPr>
        <w:tab/>
        <w:t>(1)</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r>
        <w:tab/>
        <w:t>[Regulation 51D inserted in Gazette 21 Apr 2009 p. 1362</w:t>
      </w:r>
      <w:r>
        <w:noBreakHyphen/>
        <w:t>3.]</w:t>
      </w:r>
    </w:p>
    <w:p>
      <w:pPr>
        <w:pStyle w:val="Heading5"/>
        <w:rPr>
          <w:snapToGrid w:val="0"/>
        </w:rPr>
      </w:pPr>
      <w:bookmarkStart w:id="143" w:name="_Toc389746698"/>
      <w:r>
        <w:rPr>
          <w:rStyle w:val="CharSectno"/>
        </w:rPr>
        <w:t>51DA</w:t>
      </w:r>
      <w:r>
        <w:t>.</w:t>
      </w:r>
      <w:r>
        <w:tab/>
        <w:t>P</w:t>
      </w:r>
      <w:r>
        <w:rPr>
          <w:snapToGrid w:val="0"/>
        </w:rPr>
        <w:t>rescribing pharmacotherapies for the treatment of the drug addiction of a drug addict — in a hospital</w:t>
      </w:r>
      <w:bookmarkEnd w:id="143"/>
    </w:p>
    <w:p>
      <w:pPr>
        <w:pStyle w:val="Subsection"/>
      </w:pPr>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w:t>
      </w:r>
    </w:p>
    <w:p>
      <w:pPr>
        <w:pStyle w:val="Heading5"/>
        <w:rPr>
          <w:snapToGrid w:val="0"/>
        </w:rPr>
      </w:pPr>
      <w:bookmarkStart w:id="144" w:name="_Toc389746699"/>
      <w:r>
        <w:rPr>
          <w:rStyle w:val="CharSectno"/>
        </w:rPr>
        <w:t>51DB</w:t>
      </w:r>
      <w:r>
        <w:t>.</w:t>
      </w:r>
      <w:r>
        <w:tab/>
        <w:t>P</w:t>
      </w:r>
      <w:r>
        <w:rPr>
          <w:snapToGrid w:val="0"/>
        </w:rPr>
        <w:t>rescribing pharmacotherapies for the treatment of the drug addiction of a drug addict — in custody</w:t>
      </w:r>
      <w:bookmarkEnd w:id="144"/>
    </w:p>
    <w:p>
      <w:pPr>
        <w:pStyle w:val="Subsection"/>
      </w:pPr>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51DB inserted in Gazette 21 Apr 2009 p. 1364.]</w:t>
      </w:r>
    </w:p>
    <w:p>
      <w:pPr>
        <w:pStyle w:val="Heading5"/>
        <w:rPr>
          <w:snapToGrid w:val="0"/>
        </w:rPr>
      </w:pPr>
      <w:bookmarkStart w:id="145" w:name="_Toc389746700"/>
      <w:r>
        <w:rPr>
          <w:rStyle w:val="CharSectno"/>
        </w:rPr>
        <w:t>51DC</w:t>
      </w:r>
      <w:r>
        <w:t>.</w:t>
      </w:r>
      <w:r>
        <w:tab/>
        <w:t>P</w:t>
      </w:r>
      <w:r>
        <w:rPr>
          <w:snapToGrid w:val="0"/>
        </w:rPr>
        <w:t>rescribing pharmacotherapies for the treatment of the drug addiction of a drug addict — interim prescriptions</w:t>
      </w:r>
      <w:bookmarkEnd w:id="145"/>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146" w:name="_Toc389746701"/>
      <w:r>
        <w:rPr>
          <w:rStyle w:val="CharSectno"/>
        </w:rPr>
        <w:t>51E</w:t>
      </w:r>
      <w:r>
        <w:t>.</w:t>
      </w:r>
      <w:r>
        <w:tab/>
        <w:t>Dispensing drugs of addiction from a pharmacy</w:t>
      </w:r>
      <w:bookmarkEnd w:id="146"/>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5079-80.]</w:t>
      </w:r>
    </w:p>
    <w:p>
      <w:pPr>
        <w:pStyle w:val="Heading5"/>
      </w:pPr>
      <w:bookmarkStart w:id="147" w:name="_Toc389746702"/>
      <w:r>
        <w:rPr>
          <w:rStyle w:val="CharSectno"/>
        </w:rPr>
        <w:t>51EA</w:t>
      </w:r>
      <w:r>
        <w:t>.</w:t>
      </w:r>
      <w:r>
        <w:tab/>
        <w:t>Dispensing pharmacotherapies from a pharmacy</w:t>
      </w:r>
      <w:bookmarkEnd w:id="147"/>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5079-80.]</w:t>
      </w:r>
    </w:p>
    <w:p>
      <w:pPr>
        <w:pStyle w:val="Heading4"/>
      </w:pPr>
      <w:bookmarkStart w:id="148" w:name="_Toc389746703"/>
      <w:r>
        <w:t>Subdivision 2A — Supply and prescription of Schedule 8 poisons to persons other than drug addicts</w:t>
      </w:r>
      <w:bookmarkEnd w:id="148"/>
    </w:p>
    <w:p>
      <w:pPr>
        <w:pStyle w:val="Footnoteheading"/>
      </w:pPr>
      <w:r>
        <w:tab/>
        <w:t>[Heading inserted in Gazette 21 Apr 2009 p. 1366.]</w:t>
      </w:r>
    </w:p>
    <w:p>
      <w:pPr>
        <w:pStyle w:val="Heading5"/>
        <w:rPr>
          <w:snapToGrid w:val="0"/>
        </w:rPr>
      </w:pPr>
      <w:bookmarkStart w:id="149" w:name="_Toc389746704"/>
      <w:r>
        <w:rPr>
          <w:rStyle w:val="CharSectno"/>
        </w:rPr>
        <w:t>51F</w:t>
      </w:r>
      <w:r>
        <w:rPr>
          <w:snapToGrid w:val="0"/>
        </w:rPr>
        <w:t>.</w:t>
      </w:r>
      <w:r>
        <w:rPr>
          <w:snapToGrid w:val="0"/>
        </w:rPr>
        <w:tab/>
        <w:t xml:space="preserve">Treatment not to exceed 60 days unless authorised by </w:t>
      </w:r>
      <w:r>
        <w:t>CEO</w:t>
      </w:r>
      <w:bookmarkEnd w:id="149"/>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 medical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 1 Oct 2010 p. 5079-80.]</w:t>
      </w:r>
    </w:p>
    <w:p>
      <w:pPr>
        <w:pStyle w:val="Heading4"/>
      </w:pPr>
      <w:bookmarkStart w:id="150" w:name="_Toc389746705"/>
      <w:r>
        <w:t xml:space="preserve">Subdivision 3 — Supply and prescription of </w:t>
      </w:r>
      <w:r>
        <w:rPr>
          <w:bCs/>
        </w:rPr>
        <w:t>stimulants</w:t>
      </w:r>
      <w:bookmarkEnd w:id="150"/>
    </w:p>
    <w:p>
      <w:pPr>
        <w:pStyle w:val="Footnoteheading"/>
        <w:spacing w:before="80"/>
      </w:pPr>
      <w:r>
        <w:tab/>
        <w:t>[Heading inserted in Gazette 12 Aug 2003 p. 3664; amended in Gazette 15 Sep 2009 p. 3573.]</w:t>
      </w:r>
    </w:p>
    <w:p>
      <w:pPr>
        <w:pStyle w:val="Heading5"/>
      </w:pPr>
      <w:bookmarkStart w:id="151" w:name="_Toc389746706"/>
      <w:r>
        <w:rPr>
          <w:rStyle w:val="CharSectno"/>
        </w:rPr>
        <w:t>51FA</w:t>
      </w:r>
      <w:r>
        <w:t>.</w:t>
      </w:r>
      <w:r>
        <w:tab/>
        <w:t>Terms used</w:t>
      </w:r>
      <w:bookmarkEnd w:id="151"/>
    </w:p>
    <w:p>
      <w:pPr>
        <w:pStyle w:val="Subsection"/>
      </w:pPr>
      <w:r>
        <w:tab/>
      </w:r>
      <w:r>
        <w:tab/>
        <w:t>In this Subdivision —</w:t>
      </w:r>
    </w:p>
    <w:p>
      <w:pPr>
        <w:pStyle w:val="Defstart"/>
        <w:spacing w:before="60"/>
      </w:pPr>
      <w:r>
        <w:rPr>
          <w:b/>
        </w:rPr>
        <w:tab/>
      </w:r>
      <w:r>
        <w:rPr>
          <w:rStyle w:val="CharDefText"/>
        </w:rPr>
        <w:t>approved clinic</w:t>
      </w:r>
      <w:r>
        <w:t xml:space="preserve"> means a clinic approved under regulation 51FJ;</w:t>
      </w:r>
    </w:p>
    <w:p>
      <w:pPr>
        <w:pStyle w:val="Defstart"/>
        <w:spacing w:before="6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who is a co</w:t>
      </w:r>
      <w:r>
        <w:noBreakHyphen/>
        <w:t>prescriber for the patient under regulation 51FH(5);</w:t>
      </w:r>
    </w:p>
    <w:p>
      <w:pPr>
        <w:pStyle w:val="Defstart"/>
        <w:spacing w:before="6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6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60"/>
      </w:pPr>
      <w:r>
        <w:rPr>
          <w:b/>
        </w:rPr>
        <w:tab/>
      </w:r>
      <w:r>
        <w:rPr>
          <w:rStyle w:val="CharDefText"/>
        </w:rPr>
        <w:t>current prescriber</w:t>
      </w:r>
      <w:r>
        <w:t>, in relation to a patient, means the SPN practitioner who is the current prescriber for the patient under regulation 51FF;</w:t>
      </w:r>
    </w:p>
    <w:p>
      <w:pPr>
        <w:pStyle w:val="Defstart"/>
        <w:spacing w:before="6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60"/>
      </w:pPr>
      <w:r>
        <w:rPr>
          <w:b/>
        </w:rPr>
        <w:tab/>
      </w:r>
      <w:r>
        <w:rPr>
          <w:rStyle w:val="CharDefText"/>
        </w:rPr>
        <w:t>nominated co</w:t>
      </w:r>
      <w:r>
        <w:rPr>
          <w:rStyle w:val="CharDefText"/>
        </w:rPr>
        <w:noBreakHyphen/>
        <w:t>prescriber</w:t>
      </w:r>
      <w:r>
        <w:rPr>
          <w:bCs/>
        </w:rPr>
        <w:t>, in relation to a patient,</w:t>
      </w:r>
      <w:r>
        <w:t xml:space="preserve"> means a medical practitioner who is a nominated co</w:t>
      </w:r>
      <w:r>
        <w:noBreakHyphen/>
        <w:t>prescriber for the patient under regulation 51FH;</w:t>
      </w:r>
    </w:p>
    <w:p>
      <w:pPr>
        <w:pStyle w:val="Defstart"/>
        <w:spacing w:before="60"/>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spacing w:before="60"/>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spacing w:before="60"/>
      </w:pPr>
      <w:r>
        <w:rPr>
          <w:b/>
        </w:rPr>
        <w:tab/>
      </w:r>
      <w:r>
        <w:rPr>
          <w:rStyle w:val="CharDefText"/>
        </w:rPr>
        <w:t>Stimulant Prescribing Code</w:t>
      </w:r>
      <w:r>
        <w:t xml:space="preserve"> means the “Clinical criteria for the prescribing of stimulant medicines in </w:t>
      </w:r>
      <w:smartTag w:uri="urn:schemas-microsoft-com:office:smarttags" w:element="State">
        <w:smartTag w:uri="urn:schemas-microsoft-com:office:smarttags" w:element="place">
          <w:r>
            <w:t>Western Australia</w:t>
          </w:r>
        </w:smartTag>
      </w:smartTag>
      <w:r>
        <w:t>” published by the CEO from time to time.</w:t>
      </w:r>
    </w:p>
    <w:p>
      <w:pPr>
        <w:pStyle w:val="Footnotesection"/>
        <w:spacing w:before="80"/>
        <w:ind w:left="890" w:hanging="890"/>
      </w:pPr>
      <w:r>
        <w:tab/>
        <w:t>[Regulation 51FA inserted in Gazette 15 Sep 2009 p. 3573</w:t>
      </w:r>
      <w:r>
        <w:noBreakHyphen/>
        <w:t>4.]</w:t>
      </w:r>
    </w:p>
    <w:p>
      <w:pPr>
        <w:pStyle w:val="Heading5"/>
      </w:pPr>
      <w:bookmarkStart w:id="152" w:name="_Toc389746707"/>
      <w:r>
        <w:rPr>
          <w:rStyle w:val="CharSectno"/>
        </w:rPr>
        <w:t>51FB</w:t>
      </w:r>
      <w:r>
        <w:t>.</w:t>
      </w:r>
      <w:r>
        <w:tab/>
        <w:t>Who may supply or prescribe a stimulant</w:t>
      </w:r>
      <w:bookmarkEnd w:id="152"/>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and</w:t>
      </w:r>
    </w:p>
    <w:p>
      <w:pPr>
        <w:pStyle w:val="Indenti"/>
      </w:pPr>
      <w:r>
        <w:tab/>
        <w:t>(ii)</w:t>
      </w:r>
      <w:r>
        <w:tab/>
        <w:t xml:space="preserve">one of subregulations (2) to (5) applies; </w:t>
      </w:r>
    </w:p>
    <w:p>
      <w:pPr>
        <w:pStyle w:val="Indenta"/>
      </w:pPr>
      <w:r>
        <w:tab/>
      </w:r>
      <w:r>
        <w:tab/>
        <w:t>or</w:t>
      </w:r>
    </w:p>
    <w:p>
      <w:pPr>
        <w:pStyle w:val="Indenta"/>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practice is, or includes, treating persons at the hospital, prison or detention centre; and</w:t>
      </w:r>
    </w:p>
    <w:p>
      <w:pPr>
        <w:pStyle w:val="Indenta"/>
      </w:pPr>
      <w:r>
        <w:tab/>
        <w:t>(d)</w:t>
      </w:r>
      <w:r>
        <w:tab/>
        <w:t>the current prescriber or a current clinic prescriber has agreed with the medical practitioner that the patient should continue to be supplied or prescribed the stimulant; and</w:t>
      </w:r>
    </w:p>
    <w:p>
      <w:pPr>
        <w:pStyle w:val="Indenta"/>
      </w:pPr>
      <w:r>
        <w:tab/>
        <w:t>(e)</w:t>
      </w:r>
      <w:r>
        <w:tab/>
        <w:t>the medical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first supplies or prescribed stimulants to or for the patient. </w:t>
      </w:r>
    </w:p>
    <w:p>
      <w:pPr>
        <w:pStyle w:val="Footnotesection"/>
      </w:pPr>
      <w:r>
        <w:tab/>
        <w:t>[Regulation 51FB inserted in Gazette 15 Sep 2009 p. 3574</w:t>
      </w:r>
      <w:r>
        <w:noBreakHyphen/>
        <w:t>5; amended in Gazette 1 Oct 2010 p. 5079-80.]</w:t>
      </w:r>
    </w:p>
    <w:p>
      <w:pPr>
        <w:pStyle w:val="Heading5"/>
      </w:pPr>
      <w:bookmarkStart w:id="153" w:name="_Toc389746708"/>
      <w:r>
        <w:rPr>
          <w:rStyle w:val="CharSectno"/>
        </w:rPr>
        <w:t>51FC</w:t>
      </w:r>
      <w:r>
        <w:t>.</w:t>
      </w:r>
      <w:r>
        <w:tab/>
        <w:t>Stimulant Prescribing Code</w:t>
      </w:r>
      <w:bookmarkEnd w:id="153"/>
    </w:p>
    <w:p>
      <w:pPr>
        <w:pStyle w:val="Subsection"/>
      </w:pPr>
      <w:r>
        <w:tab/>
        <w:t>(1)</w:t>
      </w:r>
      <w:r>
        <w:tab/>
        <w:t>A medical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 xml:space="preserve">The CEO may vary or revoke an authorisation granted under subregulation (2) or (4) at any time by giving written notice to the medical practitioner. </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w:t>
      </w:r>
    </w:p>
    <w:p>
      <w:pPr>
        <w:pStyle w:val="Heading5"/>
      </w:pPr>
      <w:bookmarkStart w:id="154" w:name="_Toc389746709"/>
      <w:r>
        <w:rPr>
          <w:rStyle w:val="CharSectno"/>
        </w:rPr>
        <w:t>51FD</w:t>
      </w:r>
      <w:r>
        <w:t>.</w:t>
      </w:r>
      <w:r>
        <w:tab/>
        <w:t>CEO may order treatment to be terminated or varied</w:t>
      </w:r>
      <w:bookmarkEnd w:id="154"/>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(4)</w:t>
      </w:r>
      <w:r>
        <w:tab/>
        <w:t>A medical practitioner must not supply or prescribe a stimulant in contravention of an order made under subregulation (1).</w:t>
      </w:r>
    </w:p>
    <w:p>
      <w:pPr>
        <w:pStyle w:val="Footnotesection"/>
      </w:pPr>
      <w:r>
        <w:tab/>
        <w:t>[Regulation 51FD inserted in Gazette 15 Sep 2009 p. 3576</w:t>
      </w:r>
      <w:r>
        <w:noBreakHyphen/>
        <w:t>7.]</w:t>
      </w:r>
    </w:p>
    <w:p>
      <w:pPr>
        <w:pStyle w:val="Heading5"/>
      </w:pPr>
      <w:bookmarkStart w:id="155" w:name="_Toc389746710"/>
      <w:r>
        <w:rPr>
          <w:rStyle w:val="CharSectno"/>
        </w:rPr>
        <w:t>51FE</w:t>
      </w:r>
      <w:r>
        <w:t>.</w:t>
      </w:r>
      <w:r>
        <w:tab/>
        <w:t>CEO to be notified of supply or prescription</w:t>
      </w:r>
      <w:bookmarkEnd w:id="155"/>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(5)</w:t>
      </w:r>
      <w:r>
        <w:tab/>
        <w:t xml:space="preserve">A medical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w:t>
      </w:r>
    </w:p>
    <w:p>
      <w:pPr>
        <w:pStyle w:val="Heading5"/>
      </w:pPr>
      <w:bookmarkStart w:id="156" w:name="_Toc389746711"/>
      <w:r>
        <w:rPr>
          <w:rStyle w:val="CharSectno"/>
        </w:rPr>
        <w:t>51FF</w:t>
      </w:r>
      <w:r>
        <w:t>.</w:t>
      </w:r>
      <w:r>
        <w:tab/>
        <w:t>Current prescriber and current clinic</w:t>
      </w:r>
      <w:bookmarkEnd w:id="156"/>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Footnotesection"/>
      </w:pPr>
      <w:r>
        <w:tab/>
        <w:t>[Regulation 51FF inserted in Gazette 15 Sep 2009 p. 3578</w:t>
      </w:r>
      <w:r>
        <w:noBreakHyphen/>
        <w:t>9.]</w:t>
      </w:r>
    </w:p>
    <w:p>
      <w:pPr>
        <w:pStyle w:val="Heading5"/>
      </w:pPr>
      <w:bookmarkStart w:id="157" w:name="_Toc389746712"/>
      <w:r>
        <w:rPr>
          <w:rStyle w:val="CharSectno"/>
        </w:rPr>
        <w:t>51FG</w:t>
      </w:r>
      <w:r>
        <w:t>.</w:t>
      </w:r>
      <w:r>
        <w:tab/>
        <w:t>Authorisation of practitioners</w:t>
      </w:r>
      <w:bookmarkEnd w:id="157"/>
    </w:p>
    <w:p>
      <w:pPr>
        <w:pStyle w:val="Subsection"/>
        <w:spacing w:before="156"/>
      </w:pPr>
      <w:r>
        <w:tab/>
        <w:t>(1)</w:t>
      </w:r>
      <w:r>
        <w:tab/>
        <w:t>The CEO may authorise a medical practitioner to supply and prescribe stimulants to or for the practitioner’s patients.</w:t>
      </w:r>
    </w:p>
    <w:p>
      <w:pPr>
        <w:pStyle w:val="Subsection"/>
        <w:spacing w:before="156"/>
      </w:pPr>
      <w:r>
        <w:tab/>
        <w:t>(2)</w:t>
      </w:r>
      <w:r>
        <w:tab/>
        <w:t>Each medical practitioner authorised under subregulation (1) is to be assigned a unique stimulant prescriber number.</w:t>
      </w:r>
    </w:p>
    <w:p>
      <w:pPr>
        <w:pStyle w:val="Subsection"/>
        <w:spacing w:before="156"/>
      </w:pPr>
      <w:r>
        <w:tab/>
        <w:t>(3)</w:t>
      </w:r>
      <w:r>
        <w:tab/>
        <w:t>The CEO may authorise a medical practitioner who is not an SPN practitioner to supply or prescribe a stimulant to or for a particular patient on a particular occasion or during a particular period.</w:t>
      </w:r>
    </w:p>
    <w:p>
      <w:pPr>
        <w:pStyle w:val="Subsection"/>
        <w:spacing w:before="156"/>
      </w:pPr>
      <w:r>
        <w:tab/>
        <w:t>(4)</w:t>
      </w:r>
      <w:r>
        <w:tab/>
        <w:t>An application for an authorisation under subregulation (1) or (3) must be made to the CEO in a form approved by the CEO.</w:t>
      </w:r>
    </w:p>
    <w:p>
      <w:pPr>
        <w:pStyle w:val="Subsection"/>
        <w:spacing w:before="156"/>
      </w:pPr>
      <w:r>
        <w:tab/>
        <w:t>(5)</w:t>
      </w:r>
      <w:r>
        <w:tab/>
        <w:t>The CEO may grant, or refuse to grant, an authorisation under subregulation (1) or (3) as the CEO thinks fit.</w:t>
      </w:r>
    </w:p>
    <w:p>
      <w:pPr>
        <w:pStyle w:val="Subsection"/>
        <w:spacing w:before="156"/>
      </w:pPr>
      <w:r>
        <w:tab/>
        <w:t>(6)</w:t>
      </w:r>
      <w:r>
        <w:tab/>
        <w:t>The CEO may grant an authorisation under subregulation (1) or (3) on any terms and conditions the CEO thinks fit.</w:t>
      </w:r>
    </w:p>
    <w:p>
      <w:pPr>
        <w:pStyle w:val="Subsection"/>
        <w:spacing w:before="156"/>
      </w:pPr>
      <w:r>
        <w:tab/>
        <w:t>(7)</w:t>
      </w:r>
      <w:r>
        <w:tab/>
        <w:t>The CEO may vary or revoke an authorisation under subregulation (1) or (3) at any time by giving written notice to the medical practitioner.</w:t>
      </w:r>
    </w:p>
    <w:p>
      <w:pPr>
        <w:pStyle w:val="Footnotesection"/>
      </w:pPr>
      <w:r>
        <w:tab/>
        <w:t>[Regulation 51FG inserted in Gazette 15 Sep 2009 p. 3579.]</w:t>
      </w:r>
    </w:p>
    <w:p>
      <w:pPr>
        <w:pStyle w:val="Heading5"/>
      </w:pPr>
      <w:bookmarkStart w:id="158" w:name="_Toc389746713"/>
      <w:r>
        <w:rPr>
          <w:rStyle w:val="CharSectno"/>
        </w:rPr>
        <w:t>51FH</w:t>
      </w:r>
      <w:r>
        <w:t>.</w:t>
      </w:r>
      <w:r>
        <w:tab/>
        <w:t>Co</w:t>
      </w:r>
      <w:r>
        <w:noBreakHyphen/>
        <w:t>prescribers</w:t>
      </w:r>
      <w:bookmarkEnd w:id="158"/>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spacing w:before="60"/>
      </w:pPr>
      <w:r>
        <w:tab/>
        <w:t>(a)</w:t>
      </w:r>
      <w:r>
        <w:tab/>
        <w:t>the current prescriber ceases to be the patient’s current prescriber; or</w:t>
      </w:r>
    </w:p>
    <w:p>
      <w:pPr>
        <w:pStyle w:val="Indenta"/>
        <w:spacing w:before="60"/>
      </w:pPr>
      <w:r>
        <w:tab/>
        <w:t>(b)</w:t>
      </w:r>
      <w:r>
        <w:tab/>
        <w:t>the current prescriber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(4)</w:t>
      </w:r>
      <w:r>
        <w:tab/>
        <w:t>A nominated co</w:t>
      </w:r>
      <w:r>
        <w:noBreakHyphen/>
        <w:t>prescriber who was nominated by a current clinic prescriber, ceases to be a nominated co</w:t>
      </w:r>
      <w:r>
        <w:noBreakHyphen/>
        <w:t>prescriber if —</w:t>
      </w:r>
    </w:p>
    <w:p>
      <w:pPr>
        <w:pStyle w:val="Indenta"/>
        <w:spacing w:before="60"/>
      </w:pPr>
      <w:r>
        <w:tab/>
        <w:t>(a)</w:t>
      </w:r>
      <w:r>
        <w:tab/>
        <w:t>the clinic ceases to be the patient’s current clinic; or</w:t>
      </w:r>
    </w:p>
    <w:p>
      <w:pPr>
        <w:pStyle w:val="Indenta"/>
        <w:spacing w:before="60"/>
      </w:pPr>
      <w:r>
        <w:tab/>
        <w:t>(b)</w:t>
      </w:r>
      <w:r>
        <w:tab/>
        <w:t>any of the patient’s current clinic prescribers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(5)</w:t>
      </w:r>
      <w:r>
        <w:tab/>
        <w:t>Subject to subregulation (6), if there is a nominated co</w:t>
      </w:r>
      <w:r>
        <w:noBreakHyphen/>
        <w:t>prescriber for a patient, any other medical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spacing w:before="140"/>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spacing w:before="140"/>
      </w:pPr>
      <w:r>
        <w:tab/>
        <w:t>(7)</w:t>
      </w:r>
      <w:r>
        <w:tab/>
        <w:t>The CEO may cancel the nomination of a co</w:t>
      </w:r>
      <w:r>
        <w:noBreakHyphen/>
        <w:t>prescriber by giving written notice to the co</w:t>
      </w:r>
      <w:r>
        <w:noBreakHyphen/>
        <w:t xml:space="preserve">prescriber. </w:t>
      </w:r>
    </w:p>
    <w:p>
      <w:pPr>
        <w:pStyle w:val="Subsection"/>
        <w:spacing w:before="140"/>
      </w:pPr>
      <w:r>
        <w:tab/>
        <w:t>(8)</w:t>
      </w:r>
      <w:r>
        <w:tab/>
        <w:t xml:space="preserve">The CEO must give a copy of a notice given under subregulation (7) to — </w:t>
      </w:r>
    </w:p>
    <w:p>
      <w:pPr>
        <w:pStyle w:val="Indenta"/>
        <w:spacing w:before="60"/>
      </w:pPr>
      <w:r>
        <w:tab/>
        <w:t>(a)</w:t>
      </w:r>
      <w:r>
        <w:tab/>
        <w:t>if the co</w:t>
      </w:r>
      <w:r>
        <w:noBreakHyphen/>
        <w:t>prescriber was nominated by a current prescriber — that person; or</w:t>
      </w:r>
    </w:p>
    <w:p>
      <w:pPr>
        <w:pStyle w:val="Indenta"/>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w:t>
      </w:r>
    </w:p>
    <w:p>
      <w:pPr>
        <w:pStyle w:val="Heading5"/>
      </w:pPr>
      <w:bookmarkStart w:id="159" w:name="_Toc389746714"/>
      <w:r>
        <w:rPr>
          <w:rStyle w:val="CharSectno"/>
        </w:rPr>
        <w:t>51FJ</w:t>
      </w:r>
      <w:r>
        <w:t>.</w:t>
      </w:r>
      <w:r>
        <w:tab/>
        <w:t>Approval of public sector clinics</w:t>
      </w:r>
      <w:bookmarkEnd w:id="159"/>
    </w:p>
    <w:p>
      <w:pPr>
        <w:pStyle w:val="Subsection"/>
      </w:pPr>
      <w:r>
        <w:tab/>
        <w:t>(1)</w:t>
      </w:r>
      <w:r>
        <w:tab/>
        <w:t>The CEO may approve a clinic —</w:t>
      </w:r>
    </w:p>
    <w:p>
      <w:pPr>
        <w:pStyle w:val="Indenta"/>
        <w:spacing w:before="70"/>
      </w:pPr>
      <w:r>
        <w:tab/>
        <w:t>(a)</w:t>
      </w:r>
      <w:r>
        <w:tab/>
        <w:t>that is, or is part of, a public hospital; and</w:t>
      </w:r>
    </w:p>
    <w:p>
      <w:pPr>
        <w:pStyle w:val="Indenta"/>
        <w:spacing w:before="70"/>
      </w:pPr>
      <w:r>
        <w:tab/>
        <w:t>(b)</w:t>
      </w:r>
      <w:r>
        <w:tab/>
        <w:t>at which —</w:t>
      </w:r>
    </w:p>
    <w:p>
      <w:pPr>
        <w:pStyle w:val="Indenti"/>
        <w:spacing w:before="70"/>
      </w:pPr>
      <w:r>
        <w:tab/>
        <w:t>(i)</w:t>
      </w:r>
      <w:r>
        <w:tab/>
        <w:t>treatment is provided for patients who may, in accordance with the Stimulant Prescribing Code, be treated with a stimulant; and</w:t>
      </w:r>
    </w:p>
    <w:p>
      <w:pPr>
        <w:pStyle w:val="Indenti"/>
        <w:spacing w:before="70"/>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spacing w:before="70"/>
      </w:pPr>
      <w:r>
        <w:tab/>
        <w:t>(a)</w:t>
      </w:r>
      <w:r>
        <w:tab/>
        <w:t>an SPN practitioner commences to practise at the clinic;</w:t>
      </w:r>
    </w:p>
    <w:p>
      <w:pPr>
        <w:pStyle w:val="Indenta"/>
        <w:spacing w:before="70"/>
      </w:pPr>
      <w:r>
        <w:tab/>
        <w:t>(b)</w:t>
      </w:r>
      <w:r>
        <w:tab/>
        <w:t>an SPN practitioner ceases to practise at the clinic;</w:t>
      </w:r>
    </w:p>
    <w:p>
      <w:pPr>
        <w:pStyle w:val="Indenta"/>
        <w:spacing w:before="70"/>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160" w:name="_Toc389746715"/>
      <w:r>
        <w:rPr>
          <w:rStyle w:val="CharSectno"/>
        </w:rPr>
        <w:t>51FK</w:t>
      </w:r>
      <w:r>
        <w:t>.</w:t>
      </w:r>
      <w:r>
        <w:tab/>
        <w:t>Change of manager</w:t>
      </w:r>
      <w:bookmarkEnd w:id="160"/>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51G-51GAI.</w:t>
      </w:r>
      <w:r>
        <w:tab/>
        <w:t>Deleted in Gazette 15 Sep 2009 p. 3573.]</w:t>
      </w:r>
    </w:p>
    <w:p>
      <w:pPr>
        <w:pStyle w:val="Heading4"/>
      </w:pPr>
      <w:bookmarkStart w:id="161" w:name="_Toc389746716"/>
      <w:r>
        <w:t>Subdivision 4 — Supply and prescription of other poisons</w:t>
      </w:r>
      <w:bookmarkEnd w:id="161"/>
    </w:p>
    <w:p>
      <w:pPr>
        <w:pStyle w:val="Footnoteheading"/>
      </w:pPr>
      <w:r>
        <w:tab/>
        <w:t>[Heading inserted in Gazette 15 Sep 2009 p. 3582.]</w:t>
      </w:r>
    </w:p>
    <w:p>
      <w:pPr>
        <w:pStyle w:val="Heading5"/>
        <w:spacing w:before="180"/>
        <w:rPr>
          <w:snapToGrid w:val="0"/>
        </w:rPr>
      </w:pPr>
      <w:bookmarkStart w:id="162" w:name="_Toc389746717"/>
      <w:r>
        <w:rPr>
          <w:rStyle w:val="CharSectno"/>
        </w:rPr>
        <w:t>51GA</w:t>
      </w:r>
      <w:r>
        <w:rPr>
          <w:snapToGrid w:val="0"/>
        </w:rPr>
        <w:t>.</w:t>
      </w:r>
      <w:r>
        <w:rPr>
          <w:snapToGrid w:val="0"/>
        </w:rPr>
        <w:tab/>
        <w:t>Supply of dronabinol</w:t>
      </w:r>
      <w:bookmarkEnd w:id="162"/>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163" w:name="_Toc389746718"/>
      <w:r>
        <w:rPr>
          <w:rStyle w:val="CharSectno"/>
        </w:rPr>
        <w:t>51GB</w:t>
      </w:r>
      <w:r>
        <w:rPr>
          <w:snapToGrid w:val="0"/>
        </w:rPr>
        <w:t>.</w:t>
      </w:r>
      <w:r>
        <w:rPr>
          <w:snapToGrid w:val="0"/>
        </w:rPr>
        <w:tab/>
        <w:t>Supply of flunitrazepam</w:t>
      </w:r>
      <w:bookmarkEnd w:id="163"/>
      <w:r>
        <w:rPr>
          <w:snapToGrid w:val="0"/>
        </w:rPr>
        <w:t xml:space="preserve"> </w:t>
      </w:r>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rStyle w:val="CharDefText"/>
        </w:rPr>
        <w:t>the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5079-80.]</w:t>
      </w:r>
    </w:p>
    <w:p>
      <w:pPr>
        <w:pStyle w:val="Heading5"/>
        <w:rPr>
          <w:snapToGrid w:val="0"/>
        </w:rPr>
      </w:pPr>
      <w:bookmarkStart w:id="164" w:name="_Toc389746719"/>
      <w:r>
        <w:rPr>
          <w:rStyle w:val="CharSectno"/>
        </w:rPr>
        <w:t>51H</w:t>
      </w:r>
      <w:r>
        <w:rPr>
          <w:snapToGrid w:val="0"/>
        </w:rPr>
        <w:t>.</w:t>
      </w:r>
      <w:r>
        <w:rPr>
          <w:snapToGrid w:val="0"/>
        </w:rPr>
        <w:tab/>
        <w:t>Dentists not to prescribe or supply certain drugs of addiction</w:t>
      </w:r>
      <w:bookmarkEnd w:id="164"/>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r>
        <w:t>[Heading deleted in Gazette 12 Aug 2003 p. 3663.]</w:t>
      </w:r>
    </w:p>
    <w:p>
      <w:pPr>
        <w:pStyle w:val="Heading3"/>
      </w:pPr>
      <w:bookmarkStart w:id="165" w:name="_Toc389746720"/>
      <w:r>
        <w:rPr>
          <w:rStyle w:val="CharDivNo"/>
        </w:rPr>
        <w:t>Division 3</w:t>
      </w:r>
      <w:r>
        <w:t xml:space="preserve"> — </w:t>
      </w:r>
      <w:r>
        <w:rPr>
          <w:rStyle w:val="CharDivText"/>
        </w:rPr>
        <w:t>Dispensing and delivery</w:t>
      </w:r>
      <w:bookmarkEnd w:id="165"/>
    </w:p>
    <w:p>
      <w:pPr>
        <w:pStyle w:val="Footnoteheading"/>
      </w:pPr>
      <w:r>
        <w:tab/>
        <w:t>[Heading inserted in Gazette 12 Aug 2003 p. 3664.]</w:t>
      </w:r>
    </w:p>
    <w:p>
      <w:pPr>
        <w:pStyle w:val="Heading5"/>
        <w:rPr>
          <w:snapToGrid w:val="0"/>
        </w:rPr>
      </w:pPr>
      <w:bookmarkStart w:id="166" w:name="_Toc389746721"/>
      <w:r>
        <w:rPr>
          <w:rStyle w:val="CharSectno"/>
        </w:rPr>
        <w:t>52</w:t>
      </w:r>
      <w:r>
        <w:rPr>
          <w:snapToGrid w:val="0"/>
        </w:rPr>
        <w:t>.</w:t>
      </w:r>
      <w:r>
        <w:rPr>
          <w:snapToGrid w:val="0"/>
        </w:rPr>
        <w:tab/>
        <w:t>Dispensing drugs of addiction</w:t>
      </w:r>
      <w:bookmarkEnd w:id="166"/>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pharmacist</w:t>
      </w:r>
      <w:r>
        <w:rPr>
          <w:snapToGrid w:val="0"/>
        </w:rPr>
        <w:t xml:space="preserve">, or veterinary surgeon or an assistant under the direct personal supervision of a medical practitioner, </w:t>
      </w:r>
      <w:r>
        <w:t>pharmacist</w:t>
      </w:r>
      <w:r>
        <w:rPr>
          <w:snapToGrid w:val="0"/>
        </w:rPr>
        <w: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pPr>
      <w:r>
        <w:tab/>
        <w:t>(b)</w:t>
      </w:r>
      <w:r>
        <w:tab/>
        <w:t>the drug of addiction shall not be dispensed under the prescription more than the maximum number of times indicated by the prescription, or at intervals less than those indicated by the prescription;</w:t>
      </w:r>
    </w:p>
    <w:p>
      <w:pPr>
        <w:pStyle w:val="Indenta"/>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spacing w:before="60"/>
      </w:pPr>
      <w:r>
        <w:tab/>
        <w:t>(i)</w:t>
      </w:r>
      <w:r>
        <w:tab/>
        <w:t>the prescription does not clearly indicate the maximum number of occasions on which the drug of addiction is to be dispensed under the prescription;</w:t>
      </w:r>
    </w:p>
    <w:p>
      <w:pPr>
        <w:pStyle w:val="Indenti"/>
        <w:spacing w:before="60"/>
      </w:pPr>
      <w:r>
        <w:tab/>
        <w:t>(ii)</w:t>
      </w:r>
      <w:r>
        <w:tab/>
        <w:t>the prescription does not clearly indicate the intervals at which the drug of addiction is to be dispensed under the prescription; or</w:t>
      </w:r>
    </w:p>
    <w:p>
      <w:pPr>
        <w:pStyle w:val="Indenti"/>
        <w:spacing w:before="60"/>
      </w:pPr>
      <w:r>
        <w:tab/>
        <w:t>(iii)</w:t>
      </w:r>
      <w:r>
        <w:tab/>
        <w:t>the drug of addiction has already been dispensed on the maximum number of occasions on which it can lawfully be dispensed under the prescription;</w:t>
      </w:r>
    </w:p>
    <w:p>
      <w:pPr>
        <w:pStyle w:val="Indenta"/>
        <w:spacing w:before="6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w:t>
      </w:r>
    </w:p>
    <w:p>
      <w:pPr>
        <w:pStyle w:val="Indenta"/>
        <w:spacing w:before="6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spacing w:before="60"/>
      </w:pPr>
      <w:r>
        <w:tab/>
        <w:t>(h)</w:t>
      </w:r>
      <w:r>
        <w:tab/>
        <w:t xml:space="preserve">before the drug of addiction is handed to the purchaser, the following particulars shall be recorded in accordance with regulation 52B — </w:t>
      </w:r>
    </w:p>
    <w:p>
      <w:pPr>
        <w:pStyle w:val="Indenti"/>
        <w:spacing w:before="60"/>
      </w:pPr>
      <w:r>
        <w:tab/>
        <w:t>(i)</w:t>
      </w:r>
      <w:r>
        <w:tab/>
        <w:t>the prescription number;</w:t>
      </w:r>
    </w:p>
    <w:p>
      <w:pPr>
        <w:pStyle w:val="Indenti"/>
        <w:spacing w:before="6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60"/>
      </w:pPr>
      <w:r>
        <w:tab/>
        <w:t>(iii)</w:t>
      </w:r>
      <w:r>
        <w:tab/>
        <w:t>a description of the drug of addiction;</w:t>
      </w:r>
    </w:p>
    <w:p>
      <w:pPr>
        <w:pStyle w:val="Indenti"/>
        <w:spacing w:before="60"/>
      </w:pPr>
      <w:r>
        <w:tab/>
        <w:t>(iv)</w:t>
      </w:r>
      <w:r>
        <w:tab/>
        <w:t>the quantity of the drug of addiction dispensed;</w:t>
      </w:r>
    </w:p>
    <w:p>
      <w:pPr>
        <w:pStyle w:val="Indenti"/>
        <w:spacing w:before="60"/>
      </w:pPr>
      <w:r>
        <w:tab/>
        <w:t>(v)</w:t>
      </w:r>
      <w:r>
        <w:tab/>
        <w:t>directions for the use of the drug of addiction;</w:t>
      </w:r>
    </w:p>
    <w:p>
      <w:pPr>
        <w:pStyle w:val="Indenti"/>
        <w:spacing w:before="60"/>
      </w:pPr>
      <w:r>
        <w:tab/>
        <w:t>(vi)</w:t>
      </w:r>
      <w:r>
        <w:tab/>
        <w:t>the date of the prescription;</w:t>
      </w:r>
    </w:p>
    <w:p>
      <w:pPr>
        <w:pStyle w:val="Indenti"/>
        <w:spacing w:before="60"/>
      </w:pPr>
      <w:r>
        <w:tab/>
        <w:t>(vii)</w:t>
      </w:r>
      <w:r>
        <w:tab/>
        <w:t>the name and address of the prescriber;</w:t>
      </w:r>
    </w:p>
    <w:p>
      <w:pPr>
        <w:pStyle w:val="Indenti"/>
        <w:spacing w:before="6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Ednotepara"/>
        <w:spacing w:before="60"/>
        <w:rPr>
          <w:snapToGrid w:val="0"/>
        </w:rPr>
      </w:pPr>
      <w:r>
        <w:rPr>
          <w:snapToGrid w:val="0"/>
        </w:rPr>
        <w:tab/>
        <w:t>[(j)</w:t>
      </w:r>
      <w:r>
        <w:rPr>
          <w:snapToGrid w:val="0"/>
        </w:rPr>
        <w:tab/>
        <w:t xml:space="preserve">deleted] </w:t>
      </w:r>
    </w:p>
    <w:p>
      <w:pPr>
        <w:pStyle w:val="Indenta"/>
        <w:spacing w:before="6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60"/>
        <w:rPr>
          <w:snapToGrid w:val="0"/>
        </w:rPr>
      </w:pPr>
      <w:r>
        <w:rPr>
          <w:snapToGrid w:val="0"/>
        </w:rPr>
        <w:tab/>
        <w:t>[(l)</w:t>
      </w:r>
      <w:r>
        <w:rPr>
          <w:snapToGrid w:val="0"/>
        </w:rPr>
        <w:tab/>
        <w:t xml:space="preserve">deleted] </w:t>
      </w:r>
    </w:p>
    <w:p>
      <w:pPr>
        <w:pStyle w:val="Indenta"/>
        <w:spacing w:before="6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 xml:space="preserve">A </w:t>
      </w:r>
      <w:r>
        <w:t>pharmacist</w:t>
      </w:r>
      <w:r>
        <w:rPr>
          <w:snapToGrid w:val="0"/>
          <w:spacing w:val="-4"/>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5079-80.]</w:t>
      </w:r>
    </w:p>
    <w:p>
      <w:pPr>
        <w:pStyle w:val="Heading5"/>
        <w:rPr>
          <w:snapToGrid w:val="0"/>
        </w:rPr>
      </w:pPr>
      <w:bookmarkStart w:id="167" w:name="_Toc389746722"/>
      <w:r>
        <w:rPr>
          <w:rStyle w:val="CharSectno"/>
        </w:rPr>
        <w:t>52A</w:t>
      </w:r>
      <w:r>
        <w:rPr>
          <w:snapToGrid w:val="0"/>
        </w:rPr>
        <w:t>.</w:t>
      </w:r>
      <w:r>
        <w:rPr>
          <w:snapToGrid w:val="0"/>
        </w:rPr>
        <w:tab/>
        <w:t>Movement of drugs of addiction in other circumstances</w:t>
      </w:r>
      <w:bookmarkEnd w:id="167"/>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168" w:name="_Toc389746723"/>
      <w:r>
        <w:rPr>
          <w:rStyle w:val="CharSectno"/>
        </w:rPr>
        <w:t>52B</w:t>
      </w:r>
      <w:r>
        <w:rPr>
          <w:snapToGrid w:val="0"/>
        </w:rPr>
        <w:t>.</w:t>
      </w:r>
      <w:r>
        <w:rPr>
          <w:snapToGrid w:val="0"/>
        </w:rPr>
        <w:tab/>
        <w:t>Manner of recording details</w:t>
      </w:r>
      <w:bookmarkEnd w:id="168"/>
      <w:r>
        <w:rPr>
          <w:snapToGrid w:val="0"/>
        </w:rPr>
        <w:t xml:space="preserve"> </w:t>
      </w:r>
    </w:p>
    <w:p>
      <w:pPr>
        <w:pStyle w:val="Subsection"/>
        <w:outlineLvl w:val="0"/>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outlineLvl w:val="0"/>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169" w:name="_Toc389746724"/>
      <w:r>
        <w:rPr>
          <w:rStyle w:val="CharSectno"/>
        </w:rPr>
        <w:t>52C</w:t>
      </w:r>
      <w:r>
        <w:rPr>
          <w:snapToGrid w:val="0"/>
        </w:rPr>
        <w:t>.</w:t>
      </w:r>
      <w:r>
        <w:rPr>
          <w:snapToGrid w:val="0"/>
        </w:rPr>
        <w:tab/>
        <w:t>Returns to department</w:t>
      </w:r>
      <w:bookmarkEnd w:id="169"/>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5079-80.]</w:t>
      </w:r>
    </w:p>
    <w:p>
      <w:pPr>
        <w:pStyle w:val="Ednotedivision"/>
      </w:pPr>
      <w:r>
        <w:t>[Heading deleted in Gazette 12 Aug 2003 p. 3663.]</w:t>
      </w:r>
    </w:p>
    <w:p>
      <w:pPr>
        <w:pStyle w:val="Heading5"/>
        <w:rPr>
          <w:snapToGrid w:val="0"/>
        </w:rPr>
      </w:pPr>
      <w:bookmarkStart w:id="170" w:name="_Toc389746725"/>
      <w:r>
        <w:rPr>
          <w:rStyle w:val="CharSectno"/>
        </w:rPr>
        <w:t>53</w:t>
      </w:r>
      <w:r>
        <w:rPr>
          <w:snapToGrid w:val="0"/>
        </w:rPr>
        <w:t>.</w:t>
      </w:r>
      <w:r>
        <w:rPr>
          <w:snapToGrid w:val="0"/>
        </w:rPr>
        <w:tab/>
        <w:t>Dispensing poisons included in Schedule 8 in case of emergency</w:t>
      </w:r>
      <w:bookmarkEnd w:id="170"/>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 7 Nov 2008 p. 4817.]</w:t>
      </w:r>
    </w:p>
    <w:p>
      <w:pPr>
        <w:pStyle w:val="Ednotedivision"/>
      </w:pPr>
      <w:r>
        <w:t>[Heading deleted in Gazette 12 Aug 2003 p. 3663.]</w:t>
      </w:r>
    </w:p>
    <w:p>
      <w:pPr>
        <w:pStyle w:val="Heading5"/>
        <w:spacing w:before="180"/>
        <w:rPr>
          <w:snapToGrid w:val="0"/>
        </w:rPr>
      </w:pPr>
      <w:bookmarkStart w:id="171" w:name="_Toc389746726"/>
      <w:r>
        <w:rPr>
          <w:rStyle w:val="CharSectno"/>
        </w:rPr>
        <w:t>53A</w:t>
      </w:r>
      <w:r>
        <w:rPr>
          <w:snapToGrid w:val="0"/>
        </w:rPr>
        <w:t>.</w:t>
      </w:r>
      <w:r>
        <w:rPr>
          <w:snapToGrid w:val="0"/>
        </w:rPr>
        <w:tab/>
        <w:t>Dispensing poisons included in Schedule 8</w:t>
      </w:r>
      <w:bookmarkEnd w:id="171"/>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Ednotedivision"/>
      </w:pPr>
      <w:r>
        <w:t>[Heading deleted in Gazette 12 Aug 2003 p. 3663.]</w:t>
      </w:r>
    </w:p>
    <w:p>
      <w:pPr>
        <w:pStyle w:val="Heading5"/>
        <w:rPr>
          <w:snapToGrid w:val="0"/>
        </w:rPr>
      </w:pPr>
      <w:bookmarkStart w:id="172" w:name="_Toc389746727"/>
      <w:r>
        <w:rPr>
          <w:rStyle w:val="CharSectno"/>
        </w:rPr>
        <w:t>54</w:t>
      </w:r>
      <w:r>
        <w:rPr>
          <w:snapToGrid w:val="0"/>
        </w:rPr>
        <w:t>.</w:t>
      </w:r>
      <w:r>
        <w:rPr>
          <w:snapToGrid w:val="0"/>
        </w:rPr>
        <w:tab/>
        <w:t>Delivery of poisons included in Schedule 8 on order</w:t>
      </w:r>
      <w:bookmarkEnd w:id="172"/>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 7 Nov 2008 p. 4818.]</w:t>
      </w:r>
    </w:p>
    <w:p>
      <w:pPr>
        <w:pStyle w:val="Heading5"/>
        <w:rPr>
          <w:snapToGrid w:val="0"/>
        </w:rPr>
      </w:pPr>
      <w:bookmarkStart w:id="173" w:name="_Toc389746728"/>
      <w:r>
        <w:rPr>
          <w:rStyle w:val="CharSectno"/>
        </w:rPr>
        <w:t>54A</w:t>
      </w:r>
      <w:r>
        <w:rPr>
          <w:snapToGrid w:val="0"/>
        </w:rPr>
        <w:t>.</w:t>
      </w:r>
      <w:r>
        <w:rPr>
          <w:snapToGrid w:val="0"/>
        </w:rPr>
        <w:tab/>
        <w:t>Packaging of drugs of addiction</w:t>
      </w:r>
      <w:bookmarkEnd w:id="173"/>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r>
        <w:t>[Heading deleted in Gazette 12 Aug 2003 p. 3663.]</w:t>
      </w:r>
    </w:p>
    <w:p>
      <w:pPr>
        <w:pStyle w:val="Heading5"/>
        <w:rPr>
          <w:snapToGrid w:val="0"/>
        </w:rPr>
      </w:pPr>
      <w:bookmarkStart w:id="174" w:name="_Toc389746729"/>
      <w:r>
        <w:rPr>
          <w:rStyle w:val="CharSectno"/>
        </w:rPr>
        <w:t>55</w:t>
      </w:r>
      <w:r>
        <w:rPr>
          <w:snapToGrid w:val="0"/>
        </w:rPr>
        <w:t>.</w:t>
      </w:r>
      <w:r>
        <w:rPr>
          <w:snapToGrid w:val="0"/>
        </w:rPr>
        <w:tab/>
        <w:t>Common carrier protected</w:t>
      </w:r>
      <w:bookmarkEnd w:id="174"/>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80"/>
      </w:pPr>
      <w:r>
        <w:t>[Heading deleted in Gazette 12 Aug 2003 p. 3663.]</w:t>
      </w:r>
    </w:p>
    <w:p>
      <w:pPr>
        <w:pStyle w:val="Heading3"/>
        <w:keepLines/>
      </w:pPr>
      <w:bookmarkStart w:id="175" w:name="_Toc389746730"/>
      <w:r>
        <w:rPr>
          <w:rStyle w:val="CharDivNo"/>
        </w:rPr>
        <w:t>Division 4</w:t>
      </w:r>
      <w:r>
        <w:t xml:space="preserve"> — </w:t>
      </w:r>
      <w:r>
        <w:rPr>
          <w:rStyle w:val="CharDivText"/>
        </w:rPr>
        <w:t>Safe custody</w:t>
      </w:r>
      <w:bookmarkEnd w:id="175"/>
    </w:p>
    <w:p>
      <w:pPr>
        <w:pStyle w:val="Footnoteheading"/>
        <w:keepNext/>
        <w:keepLines/>
        <w:rPr>
          <w:i w:val="0"/>
        </w:rPr>
      </w:pPr>
      <w:r>
        <w:tab/>
        <w:t>[Heading inserted in Gazette 12 Aug 2003 p. 3665.]</w:t>
      </w:r>
    </w:p>
    <w:p>
      <w:pPr>
        <w:pStyle w:val="Heading5"/>
        <w:rPr>
          <w:snapToGrid w:val="0"/>
        </w:rPr>
      </w:pPr>
      <w:bookmarkStart w:id="176" w:name="_Toc389746731"/>
      <w:r>
        <w:rPr>
          <w:rStyle w:val="CharSectno"/>
        </w:rPr>
        <w:t>56</w:t>
      </w:r>
      <w:r>
        <w:rPr>
          <w:snapToGrid w:val="0"/>
        </w:rPr>
        <w:t>.</w:t>
      </w:r>
      <w:r>
        <w:rPr>
          <w:snapToGrid w:val="0"/>
        </w:rPr>
        <w:tab/>
        <w:t>Storing and securing drugs of addiction</w:t>
      </w:r>
      <w:bookmarkEnd w:id="176"/>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spacing w:before="70"/>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spacing w:before="70"/>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spacing w:before="70"/>
        <w:rPr>
          <w:snapToGrid w:val="0"/>
        </w:rPr>
      </w:pPr>
      <w:r>
        <w:rPr>
          <w:snapToGrid w:val="0"/>
        </w:rPr>
        <w:tab/>
        <w:t>(i)</w:t>
      </w:r>
      <w:r>
        <w:rPr>
          <w:snapToGrid w:val="0"/>
        </w:rPr>
        <w:tab/>
        <w:t>transported by a medical practitioner, dentist or veterinary surgeon for the purpose of his or her profession or practice; or</w:t>
      </w:r>
    </w:p>
    <w:p>
      <w:pPr>
        <w:pStyle w:val="Indenti"/>
        <w:spacing w:before="70"/>
        <w:rPr>
          <w:snapToGrid w:val="0"/>
        </w:rPr>
      </w:pPr>
      <w:r>
        <w:rPr>
          <w:snapToGrid w:val="0"/>
        </w:rPr>
        <w:tab/>
        <w:t>(ii)</w:t>
      </w:r>
      <w:r>
        <w:rPr>
          <w:snapToGrid w:val="0"/>
        </w:rPr>
        <w:tab/>
        <w:t>otherwise in the possession of a medical practitioner, dentist or veterinary surgeon,</w:t>
      </w:r>
    </w:p>
    <w:p>
      <w:pPr>
        <w:pStyle w:val="Indenta"/>
        <w:spacing w:before="70"/>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 1 Oct 2010 p. 5079-80; 22 Oct 2010 p. 5218.]</w:t>
      </w:r>
    </w:p>
    <w:p>
      <w:pPr>
        <w:pStyle w:val="Heading5"/>
        <w:spacing w:before="260"/>
        <w:rPr>
          <w:snapToGrid w:val="0"/>
        </w:rPr>
      </w:pPr>
      <w:bookmarkStart w:id="177" w:name="_Toc389746732"/>
      <w:r>
        <w:rPr>
          <w:rStyle w:val="CharSectno"/>
        </w:rPr>
        <w:t>56A</w:t>
      </w:r>
      <w:r>
        <w:rPr>
          <w:snapToGrid w:val="0"/>
        </w:rPr>
        <w:t>.</w:t>
      </w:r>
      <w:r>
        <w:rPr>
          <w:snapToGrid w:val="0"/>
        </w:rPr>
        <w:tab/>
        <w:t>Prescribed amount of poisons included in Schedule 8</w:t>
      </w:r>
      <w:bookmarkEnd w:id="177"/>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178" w:name="_Toc389746733"/>
      <w:r>
        <w:rPr>
          <w:rStyle w:val="CharSectno"/>
        </w:rPr>
        <w:t>56B</w:t>
      </w:r>
      <w:r>
        <w:rPr>
          <w:snapToGrid w:val="0"/>
        </w:rPr>
        <w:t>.</w:t>
      </w:r>
      <w:r>
        <w:rPr>
          <w:snapToGrid w:val="0"/>
        </w:rPr>
        <w:tab/>
        <w:t>Location of safe in premises</w:t>
      </w:r>
      <w:bookmarkEnd w:id="178"/>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179" w:name="_Toc389746734"/>
      <w:r>
        <w:rPr>
          <w:rStyle w:val="CharSectno"/>
        </w:rPr>
        <w:t>56C</w:t>
      </w:r>
      <w:r>
        <w:rPr>
          <w:snapToGrid w:val="0"/>
        </w:rPr>
        <w:t>.</w:t>
      </w:r>
      <w:r>
        <w:rPr>
          <w:snapToGrid w:val="0"/>
        </w:rPr>
        <w:tab/>
        <w:t>Authorised persons to keep keys to safes</w:t>
      </w:r>
      <w:bookmarkEnd w:id="179"/>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 xml:space="preserve">[Regulation 56C inserted in Gazette 25 Jun 1993 p. 3082; amended in Gazette 26 May 1994 p. 2201; 15 Dec 2006 p. 5630-1.] </w:t>
      </w:r>
    </w:p>
    <w:p>
      <w:pPr>
        <w:pStyle w:val="Heading5"/>
        <w:spacing w:before="200"/>
        <w:rPr>
          <w:snapToGrid w:val="0"/>
        </w:rPr>
      </w:pPr>
      <w:bookmarkStart w:id="180" w:name="_Toc389746735"/>
      <w:r>
        <w:rPr>
          <w:rStyle w:val="CharSectno"/>
        </w:rPr>
        <w:t>56D</w:t>
      </w:r>
      <w:r>
        <w:rPr>
          <w:snapToGrid w:val="0"/>
        </w:rPr>
        <w:t>.</w:t>
      </w:r>
      <w:r>
        <w:rPr>
          <w:snapToGrid w:val="0"/>
        </w:rPr>
        <w:tab/>
        <w:t>Safes to be kept locked</w:t>
      </w:r>
      <w:bookmarkEnd w:id="180"/>
      <w:r>
        <w:rPr>
          <w:snapToGrid w:val="0"/>
        </w:rPr>
        <w:t xml:space="preserve"> </w:t>
      </w:r>
    </w:p>
    <w:p>
      <w:pPr>
        <w:pStyle w:val="Subsection"/>
        <w:spacing w:before="15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5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60"/>
        <w:rPr>
          <w:snapToGrid w:val="0"/>
        </w:rPr>
      </w:pPr>
      <w:r>
        <w:rPr>
          <w:snapToGrid w:val="0"/>
        </w:rPr>
        <w:tab/>
        <w:t>(a)</w:t>
      </w:r>
      <w:r>
        <w:rPr>
          <w:snapToGrid w:val="0"/>
        </w:rPr>
        <w:tab/>
        <w:t>when items are being placed into, or being removed from, the safe; or</w:t>
      </w:r>
    </w:p>
    <w:p>
      <w:pPr>
        <w:pStyle w:val="Indenta"/>
        <w:spacing w:before="6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spacing w:before="100"/>
        <w:ind w:left="890" w:hanging="890"/>
      </w:pPr>
      <w:r>
        <w:tab/>
        <w:t xml:space="preserve">[Regulation 56D inserted in Gazette 25 Jun 1993 p. 3082.] </w:t>
      </w:r>
    </w:p>
    <w:p>
      <w:pPr>
        <w:pStyle w:val="Heading5"/>
        <w:spacing w:before="200"/>
        <w:rPr>
          <w:snapToGrid w:val="0"/>
        </w:rPr>
      </w:pPr>
      <w:bookmarkStart w:id="181" w:name="_Toc389746736"/>
      <w:r>
        <w:rPr>
          <w:rStyle w:val="CharSectno"/>
        </w:rPr>
        <w:t>56E</w:t>
      </w:r>
      <w:r>
        <w:rPr>
          <w:snapToGrid w:val="0"/>
        </w:rPr>
        <w:t>.</w:t>
      </w:r>
      <w:r>
        <w:rPr>
          <w:snapToGrid w:val="0"/>
        </w:rPr>
        <w:tab/>
        <w:t>Pharmacist present on premises</w:t>
      </w:r>
      <w:bookmarkEnd w:id="181"/>
      <w:r>
        <w:rPr>
          <w:snapToGrid w:val="0"/>
        </w:rPr>
        <w:t xml:space="preserve"> </w:t>
      </w:r>
    </w:p>
    <w:p>
      <w:pPr>
        <w:pStyle w:val="Subsection"/>
        <w:spacing w:before="150"/>
        <w:rPr>
          <w:snapToGrid w:val="0"/>
        </w:rPr>
      </w:pPr>
      <w:r>
        <w:rPr>
          <w:snapToGrid w:val="0"/>
        </w:rPr>
        <w:tab/>
      </w:r>
      <w:r>
        <w:rPr>
          <w:snapToGrid w:val="0"/>
        </w:rPr>
        <w:tab/>
        <w:t xml:space="preserve">A </w:t>
      </w:r>
      <w:r>
        <w:t>pharmacist</w:t>
      </w:r>
      <w:r>
        <w:rPr>
          <w:snapToGrid w:val="0"/>
        </w:rPr>
        <w:t xml:space="preserve"> who is — </w:t>
      </w:r>
    </w:p>
    <w:p>
      <w:pPr>
        <w:pStyle w:val="Indenta"/>
        <w:spacing w:before="60"/>
        <w:rPr>
          <w:snapToGrid w:val="0"/>
        </w:rPr>
      </w:pPr>
      <w:r>
        <w:rPr>
          <w:snapToGrid w:val="0"/>
        </w:rPr>
        <w:tab/>
        <w:t>(a)</w:t>
      </w:r>
      <w:r>
        <w:rPr>
          <w:snapToGrid w:val="0"/>
        </w:rPr>
        <w:tab/>
        <w:t>authorised to be, and is, in possession of a poison included in Schedule 8; and</w:t>
      </w:r>
    </w:p>
    <w:p>
      <w:pPr>
        <w:pStyle w:val="Indenta"/>
        <w:spacing w:before="60"/>
        <w:rPr>
          <w:snapToGrid w:val="0"/>
        </w:rPr>
      </w:pPr>
      <w:r>
        <w:rPr>
          <w:snapToGrid w:val="0"/>
        </w:rPr>
        <w:tab/>
        <w:t>(b)</w:t>
      </w:r>
      <w:r>
        <w:rPr>
          <w:snapToGrid w:val="0"/>
        </w:rPr>
        <w:tab/>
        <w:t xml:space="preserve">present on the pharmacy premises, </w:t>
      </w:r>
    </w:p>
    <w:p>
      <w:pPr>
        <w:pStyle w:val="Subsection"/>
        <w:spacing w:before="12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spacing w:before="100"/>
        <w:ind w:left="890" w:hanging="890"/>
      </w:pPr>
      <w:r>
        <w:tab/>
        <w:t>[Regulation 56E inserted in Gazette 25 Jun 1993 p. 3083; amended in Gazette 19 Mar 1996 p. 1233; 1 Oct 2010 p. 5079</w:t>
      </w:r>
      <w:r>
        <w:noBreakHyphen/>
        <w:t xml:space="preserve">80.] </w:t>
      </w:r>
    </w:p>
    <w:p>
      <w:pPr>
        <w:pStyle w:val="Heading5"/>
        <w:rPr>
          <w:snapToGrid w:val="0"/>
        </w:rPr>
      </w:pPr>
      <w:bookmarkStart w:id="182" w:name="_Toc389746737"/>
      <w:r>
        <w:rPr>
          <w:rStyle w:val="CharSectno"/>
        </w:rPr>
        <w:t>56F</w:t>
      </w:r>
      <w:r>
        <w:rPr>
          <w:snapToGrid w:val="0"/>
        </w:rPr>
        <w:t>.</w:t>
      </w:r>
      <w:r>
        <w:rPr>
          <w:snapToGrid w:val="0"/>
        </w:rPr>
        <w:tab/>
        <w:t>Keys to, and locking of, poisons cupboards and lockable drawers</w:t>
      </w:r>
      <w:bookmarkEnd w:id="182"/>
      <w:r>
        <w:rPr>
          <w:snapToGrid w:val="0"/>
        </w:rPr>
        <w:t xml:space="preserve"> </w:t>
      </w:r>
    </w:p>
    <w:p>
      <w:pPr>
        <w:pStyle w:val="Subsection"/>
        <w:keepNext/>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amended in Gazette 1 Oct 2010 p. 5079-80.] </w:t>
      </w:r>
    </w:p>
    <w:p>
      <w:pPr>
        <w:pStyle w:val="Heading5"/>
        <w:rPr>
          <w:snapToGrid w:val="0"/>
        </w:rPr>
      </w:pPr>
      <w:bookmarkStart w:id="183" w:name="_Toc389746738"/>
      <w:r>
        <w:rPr>
          <w:rStyle w:val="CharSectno"/>
        </w:rPr>
        <w:t>56G</w:t>
      </w:r>
      <w:r>
        <w:rPr>
          <w:snapToGrid w:val="0"/>
        </w:rPr>
        <w:t>.</w:t>
      </w:r>
      <w:r>
        <w:rPr>
          <w:snapToGrid w:val="0"/>
        </w:rPr>
        <w:tab/>
        <w:t>Poisons included in Schedule 8 in hospital ward</w:t>
      </w:r>
      <w:bookmarkEnd w:id="183"/>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184" w:name="_Toc389746739"/>
      <w:r>
        <w:rPr>
          <w:rStyle w:val="CharSectno"/>
        </w:rPr>
        <w:t>56H</w:t>
      </w:r>
      <w:r>
        <w:rPr>
          <w:snapToGrid w:val="0"/>
        </w:rPr>
        <w:t>.</w:t>
      </w:r>
      <w:r>
        <w:rPr>
          <w:snapToGrid w:val="0"/>
        </w:rPr>
        <w:tab/>
        <w:t>Keys to, and locking of, cupboards in hospital wards</w:t>
      </w:r>
      <w:bookmarkEnd w:id="184"/>
      <w:r>
        <w:rPr>
          <w:snapToGrid w:val="0"/>
        </w:rPr>
        <w:t xml:space="preserve"> </w:t>
      </w:r>
    </w:p>
    <w:p>
      <w:pPr>
        <w:pStyle w:val="Subsection"/>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Ednotedivision"/>
      </w:pPr>
      <w:r>
        <w:t>[Heading deleted in Gazette 12 Aug 2003 p. 3663.]</w:t>
      </w:r>
    </w:p>
    <w:p>
      <w:pPr>
        <w:pStyle w:val="Heading3"/>
      </w:pPr>
      <w:bookmarkStart w:id="185" w:name="_Toc389746740"/>
      <w:r>
        <w:rPr>
          <w:rStyle w:val="CharDivNo"/>
        </w:rPr>
        <w:t>Division 5</w:t>
      </w:r>
      <w:r>
        <w:t xml:space="preserve"> — </w:t>
      </w:r>
      <w:r>
        <w:rPr>
          <w:rStyle w:val="CharDivText"/>
        </w:rPr>
        <w:t>Restrictions on supply</w:t>
      </w:r>
      <w:bookmarkEnd w:id="185"/>
    </w:p>
    <w:p>
      <w:pPr>
        <w:pStyle w:val="Footnoteheading"/>
        <w:rPr>
          <w:i w:val="0"/>
        </w:rPr>
      </w:pPr>
      <w:r>
        <w:tab/>
        <w:t>[Heading inserted in Gazette 12 Aug 2003 p. 3665.]</w:t>
      </w:r>
    </w:p>
    <w:p>
      <w:pPr>
        <w:pStyle w:val="Heading5"/>
        <w:rPr>
          <w:snapToGrid w:val="0"/>
        </w:rPr>
      </w:pPr>
      <w:bookmarkStart w:id="186" w:name="_Toc389746741"/>
      <w:r>
        <w:rPr>
          <w:rStyle w:val="CharSectno"/>
        </w:rPr>
        <w:t>57</w:t>
      </w:r>
      <w:r>
        <w:rPr>
          <w:snapToGrid w:val="0"/>
        </w:rPr>
        <w:t>.</w:t>
      </w:r>
      <w:r>
        <w:rPr>
          <w:snapToGrid w:val="0"/>
        </w:rPr>
        <w:tab/>
        <w:t>Labelling</w:t>
      </w:r>
      <w:bookmarkEnd w:id="186"/>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187" w:name="_Toc389746742"/>
      <w:r>
        <w:rPr>
          <w:rStyle w:val="CharSectno"/>
        </w:rPr>
        <w:t>58</w:t>
      </w:r>
      <w:r>
        <w:rPr>
          <w:snapToGrid w:val="0"/>
        </w:rPr>
        <w:t>.</w:t>
      </w:r>
      <w:r>
        <w:rPr>
          <w:snapToGrid w:val="0"/>
        </w:rPr>
        <w:tab/>
        <w:t>Improper prescribing or use of drugs of addiction</w:t>
      </w:r>
      <w:bookmarkEnd w:id="187"/>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188" w:name="_Toc389746743"/>
      <w:r>
        <w:rPr>
          <w:rStyle w:val="CharPartNo"/>
        </w:rPr>
        <w:t>Part 7</w:t>
      </w:r>
      <w:r>
        <w:rPr>
          <w:rStyle w:val="CharDivNo"/>
        </w:rPr>
        <w:t> </w:t>
      </w:r>
      <w:r>
        <w:t>—</w:t>
      </w:r>
      <w:r>
        <w:rPr>
          <w:rStyle w:val="CharDivText"/>
        </w:rPr>
        <w:t> </w:t>
      </w:r>
      <w:r>
        <w:rPr>
          <w:rStyle w:val="CharPartText"/>
        </w:rPr>
        <w:t>Miscellaneous provisions</w:t>
      </w:r>
      <w:bookmarkEnd w:id="188"/>
    </w:p>
    <w:p>
      <w:pPr>
        <w:pStyle w:val="Footnoteheading"/>
      </w:pPr>
      <w:r>
        <w:tab/>
        <w:t>[Heading inserted in Gazette 12 Aug 2003 p. 3665.]</w:t>
      </w:r>
    </w:p>
    <w:p>
      <w:pPr>
        <w:pStyle w:val="Heading5"/>
        <w:rPr>
          <w:snapToGrid w:val="0"/>
        </w:rPr>
      </w:pPr>
      <w:bookmarkStart w:id="189" w:name="_Toc389746744"/>
      <w:r>
        <w:rPr>
          <w:rStyle w:val="CharSectno"/>
        </w:rPr>
        <w:t>59</w:t>
      </w:r>
      <w:r>
        <w:rPr>
          <w:snapToGrid w:val="0"/>
        </w:rPr>
        <w:t>.</w:t>
      </w:r>
      <w:r>
        <w:rPr>
          <w:snapToGrid w:val="0"/>
        </w:rPr>
        <w:tab/>
        <w:t>Names of persons from whom licence or authority withdrawn to be published</w:t>
      </w:r>
      <w:bookmarkEnd w:id="189"/>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190" w:name="_Toc389746745"/>
      <w:r>
        <w:rPr>
          <w:rStyle w:val="CharSectno"/>
        </w:rPr>
        <w:t>64</w:t>
      </w:r>
      <w:r>
        <w:rPr>
          <w:snapToGrid w:val="0"/>
        </w:rPr>
        <w:t>.</w:t>
      </w:r>
      <w:r>
        <w:rPr>
          <w:snapToGrid w:val="0"/>
        </w:rPr>
        <w:tab/>
        <w:t>Substitution of one brand of a drug for another</w:t>
      </w:r>
      <w:bookmarkEnd w:id="19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an endorsed optometrist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an endorsed optometrist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an endorsed optometrist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endorsed optometrist</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amended by Act No. 9 of 2003 s. 49.]</w:t>
      </w:r>
    </w:p>
    <w:p>
      <w:pPr>
        <w:pStyle w:val="Heading5"/>
        <w:rPr>
          <w:snapToGrid w:val="0"/>
        </w:rPr>
      </w:pPr>
      <w:bookmarkStart w:id="191" w:name="_Toc389746746"/>
      <w:r>
        <w:rPr>
          <w:rStyle w:val="CharSectno"/>
        </w:rPr>
        <w:t>65</w:t>
      </w:r>
      <w:r>
        <w:rPr>
          <w:snapToGrid w:val="0"/>
        </w:rPr>
        <w:t>.</w:t>
      </w:r>
      <w:r>
        <w:rPr>
          <w:snapToGrid w:val="0"/>
        </w:rPr>
        <w:tab/>
        <w:t>Form of warrant (section 55A)</w:t>
      </w:r>
      <w:bookmarkEnd w:id="191"/>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192" w:name="_Toc389746747"/>
      <w:r>
        <w:rPr>
          <w:rStyle w:val="CharPartNo"/>
        </w:rPr>
        <w:t>Part 8</w:t>
      </w:r>
      <w:r>
        <w:rPr>
          <w:b w:val="0"/>
        </w:rPr>
        <w:t> </w:t>
      </w:r>
      <w:r>
        <w:t>—</w:t>
      </w:r>
      <w:r>
        <w:rPr>
          <w:b w:val="0"/>
        </w:rPr>
        <w:t> </w:t>
      </w:r>
      <w:r>
        <w:rPr>
          <w:rStyle w:val="CharPartText"/>
        </w:rPr>
        <w:t>Transitional provisions</w:t>
      </w:r>
      <w:bookmarkEnd w:id="192"/>
    </w:p>
    <w:p>
      <w:pPr>
        <w:pStyle w:val="Footnoteheading"/>
        <w:spacing w:before="100"/>
      </w:pPr>
      <w:r>
        <w:tab/>
        <w:t>[Heading inserted in Gazette 21 Apr 2009 p. 1366.]</w:t>
      </w:r>
    </w:p>
    <w:p>
      <w:pPr>
        <w:pStyle w:val="Heading3"/>
      </w:pPr>
      <w:bookmarkStart w:id="193" w:name="_Toc389746748"/>
      <w:r>
        <w:rPr>
          <w:rStyle w:val="CharDivNo"/>
        </w:rPr>
        <w:t>Division 1</w:t>
      </w:r>
      <w:r>
        <w:t> — </w:t>
      </w:r>
      <w:r>
        <w:rPr>
          <w:rStyle w:val="CharDivText"/>
        </w:rPr>
        <w:t xml:space="preserve">Transitional provisions relating to the </w:t>
      </w:r>
      <w:r>
        <w:rPr>
          <w:rStyle w:val="CharDivText"/>
          <w:i/>
          <w:iCs/>
        </w:rPr>
        <w:t>Poisons Amendment Regulations (No. 2) 2009</w:t>
      </w:r>
      <w:bookmarkEnd w:id="193"/>
    </w:p>
    <w:p>
      <w:pPr>
        <w:pStyle w:val="Footnoteheading"/>
        <w:spacing w:before="100"/>
      </w:pPr>
      <w:r>
        <w:tab/>
        <w:t>[Heading inserted in Gazette 21 Apr 2009 p. 1366.]</w:t>
      </w:r>
    </w:p>
    <w:p>
      <w:pPr>
        <w:pStyle w:val="Heading5"/>
        <w:spacing w:before="180"/>
      </w:pPr>
      <w:bookmarkStart w:id="194" w:name="_Toc389746749"/>
      <w:r>
        <w:rPr>
          <w:rStyle w:val="CharSectno"/>
        </w:rPr>
        <w:t>66</w:t>
      </w:r>
      <w:r>
        <w:t>.</w:t>
      </w:r>
      <w:r>
        <w:tab/>
        <w:t>Terms used</w:t>
      </w:r>
      <w:bookmarkEnd w:id="194"/>
    </w:p>
    <w:p>
      <w:pPr>
        <w:pStyle w:val="Subsection"/>
        <w:spacing w:before="120"/>
      </w:pPr>
      <w:r>
        <w:tab/>
      </w:r>
      <w:r>
        <w:tab/>
        <w:t xml:space="preserve">In this Division — </w:t>
      </w:r>
    </w:p>
    <w:p>
      <w:pPr>
        <w:pStyle w:val="Defstart"/>
        <w:spacing w:before="70"/>
      </w:pPr>
      <w:r>
        <w:tab/>
      </w:r>
      <w:r>
        <w:rPr>
          <w:rStyle w:val="CharDefText"/>
        </w:rPr>
        <w:t>commencement day</w:t>
      </w:r>
      <w:r>
        <w:t xml:space="preserve"> means the day on which this Division comes into operation;</w:t>
      </w:r>
    </w:p>
    <w:p>
      <w:pPr>
        <w:pStyle w:val="Defstart"/>
        <w:spacing w:before="70"/>
      </w:pPr>
      <w:r>
        <w:tab/>
      </w:r>
      <w:r>
        <w:rPr>
          <w:rStyle w:val="CharDefText"/>
        </w:rPr>
        <w:t>prescription</w:t>
      </w:r>
      <w:r>
        <w:t xml:space="preserve"> means a prescription or document prescribing the use, sale or supply of a drug of addiction.</w:t>
      </w:r>
    </w:p>
    <w:p>
      <w:pPr>
        <w:pStyle w:val="Footnotesection"/>
        <w:spacing w:before="80"/>
        <w:ind w:left="890" w:hanging="890"/>
      </w:pPr>
      <w:r>
        <w:tab/>
        <w:t>[Regulation 66 inserted in Gazette 21 Apr 2009 p. 1366.]</w:t>
      </w:r>
    </w:p>
    <w:p>
      <w:pPr>
        <w:pStyle w:val="Heading5"/>
        <w:spacing w:before="180"/>
      </w:pPr>
      <w:bookmarkStart w:id="195" w:name="_Toc389746750"/>
      <w:r>
        <w:rPr>
          <w:rStyle w:val="CharSectno"/>
        </w:rPr>
        <w:t>67</w:t>
      </w:r>
      <w:r>
        <w:t>.</w:t>
      </w:r>
      <w:r>
        <w:tab/>
        <w:t>Authorisation to prescribe drugs of addiction</w:t>
      </w:r>
      <w:bookmarkEnd w:id="195"/>
    </w:p>
    <w:p>
      <w:pPr>
        <w:pStyle w:val="Subsection"/>
        <w:spacing w:before="120"/>
      </w:pPr>
      <w:r>
        <w:tab/>
        <w:t>(1)</w:t>
      </w:r>
      <w:r>
        <w:tab/>
        <w:t xml:space="preserve">This regulation applies to a person — </w:t>
      </w:r>
    </w:p>
    <w:p>
      <w:pPr>
        <w:pStyle w:val="Indenta"/>
        <w:spacing w:before="60"/>
      </w:pPr>
      <w:r>
        <w:tab/>
        <w:t>(a)</w:t>
      </w:r>
      <w:r>
        <w:tab/>
        <w:t>who was authorised under regulation 51B(1) (as in force before commencement day) in relation to a drug addict; and</w:t>
      </w:r>
    </w:p>
    <w:p>
      <w:pPr>
        <w:pStyle w:val="Indenta"/>
        <w:spacing w:before="60"/>
      </w:pPr>
      <w:r>
        <w:tab/>
        <w:t>(b)</w:t>
      </w:r>
      <w:r>
        <w:tab/>
        <w:t xml:space="preserve">whose authorisation (the </w:t>
      </w:r>
      <w:r>
        <w:rPr>
          <w:rStyle w:val="CharDefText"/>
        </w:rPr>
        <w:t>old authorisation</w:t>
      </w:r>
      <w:r>
        <w:t>) was in force immediately before commencement day.</w:t>
      </w:r>
    </w:p>
    <w:p>
      <w:pPr>
        <w:pStyle w:val="Subsection"/>
        <w:spacing w:before="14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spacing w:before="80"/>
        <w:ind w:left="890" w:hanging="890"/>
      </w:pPr>
      <w:r>
        <w:tab/>
        <w:t>[Regulation 67 inserted in Gazette 21 Apr 2009 p. 1366</w:t>
      </w:r>
      <w:r>
        <w:noBreakHyphen/>
        <w:t>7.]</w:t>
      </w:r>
    </w:p>
    <w:p>
      <w:pPr>
        <w:pStyle w:val="Heading5"/>
        <w:spacing w:before="180"/>
      </w:pPr>
      <w:bookmarkStart w:id="196" w:name="_Toc389746751"/>
      <w:r>
        <w:rPr>
          <w:rStyle w:val="CharSectno"/>
        </w:rPr>
        <w:t>68</w:t>
      </w:r>
      <w:r>
        <w:t>.</w:t>
      </w:r>
      <w:r>
        <w:tab/>
        <w:t>Authorisation to prescribe pharmacotherapies</w:t>
      </w:r>
      <w:bookmarkEnd w:id="196"/>
    </w:p>
    <w:p>
      <w:pPr>
        <w:pStyle w:val="Subsection"/>
        <w:spacing w:before="140"/>
      </w:pPr>
      <w:r>
        <w:tab/>
        <w:t>(1)</w:t>
      </w:r>
      <w:r>
        <w:tab/>
        <w:t xml:space="preserve">This regulation applies to a person — </w:t>
      </w:r>
    </w:p>
    <w:p>
      <w:pPr>
        <w:pStyle w:val="Indenta"/>
        <w:spacing w:before="60"/>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197" w:name="_Toc389746752"/>
      <w:r>
        <w:rPr>
          <w:rStyle w:val="CharSectno"/>
        </w:rPr>
        <w:t>69</w:t>
      </w:r>
      <w:r>
        <w:t>.</w:t>
      </w:r>
      <w:r>
        <w:tab/>
        <w:t>Prescriptions</w:t>
      </w:r>
      <w:bookmarkEnd w:id="197"/>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198" w:name="_Toc389746753"/>
      <w:r>
        <w:rPr>
          <w:rStyle w:val="CharSectno"/>
        </w:rPr>
        <w:t>70</w:t>
      </w:r>
      <w:r>
        <w:t>.</w:t>
      </w:r>
      <w:r>
        <w:tab/>
        <w:t>Dispensing drugs of addiction from a pharmacy</w:t>
      </w:r>
      <w:bookmarkEnd w:id="198"/>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199" w:name="_Toc389746754"/>
      <w:r>
        <w:rPr>
          <w:rStyle w:val="CharSchNo"/>
        </w:rPr>
        <w:t>Appendix A</w:t>
      </w:r>
      <w:bookmarkEnd w:id="199"/>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4"/>
          </w:tcPr>
          <w:p>
            <w:pPr>
              <w:pStyle w:val="yTableNAm"/>
              <w:spacing w:before="60"/>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NAm"/>
              <w:spacing w:before="60"/>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480"/>
          <w:tab w:val="left" w:pos="960"/>
        </w:tabs>
        <w:spacing w:before="60"/>
        <w:ind w:left="960" w:hanging="960"/>
        <w:rPr>
          <w:snapToGrid w:val="0"/>
        </w:rPr>
      </w:pPr>
      <w:r>
        <w:rPr>
          <w:snapToGrid w:val="0"/>
        </w:rPr>
        <w:tab/>
        <w:t>(i)</w:t>
      </w:r>
      <w:r>
        <w:rPr>
          <w:snapToGrid w:val="0"/>
        </w:rPr>
        <w:tab/>
        <w:t>to stop the vehicle or vessel;</w:t>
      </w:r>
    </w:p>
    <w:p>
      <w:pPr>
        <w:pStyle w:val="yMiscellaneousBody"/>
        <w:tabs>
          <w:tab w:val="left" w:pos="480"/>
          <w:tab w:val="left" w:pos="960"/>
        </w:tabs>
        <w:spacing w:before="60"/>
        <w:ind w:left="960" w:hanging="960"/>
        <w:rPr>
          <w:snapToGrid w:val="0"/>
        </w:rPr>
      </w:pPr>
      <w:r>
        <w:rPr>
          <w:snapToGrid w:val="0"/>
        </w:rPr>
        <w:tab/>
        <w:t>(ii)</w:t>
      </w:r>
      <w:r>
        <w:rPr>
          <w:snapToGrid w:val="0"/>
        </w:rPr>
        <w:tab/>
        <w:t>to move the vehicle or vessel to a place specified by the officer;</w:t>
      </w:r>
    </w:p>
    <w:p>
      <w:pPr>
        <w:pStyle w:val="yMiscellaneousBody"/>
        <w:tabs>
          <w:tab w:val="left" w:pos="480"/>
          <w:tab w:val="left" w:pos="960"/>
        </w:tabs>
        <w:spacing w:before="60"/>
        <w:ind w:left="960" w:hanging="96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ScheduleHeading"/>
      </w:pPr>
      <w:bookmarkStart w:id="200" w:name="_Toc389746755"/>
      <w:r>
        <w:rPr>
          <w:rStyle w:val="CharSchNo"/>
        </w:rPr>
        <w:t>Appendix B</w:t>
      </w:r>
      <w:r>
        <w:t> — </w:t>
      </w:r>
      <w:r>
        <w:rPr>
          <w:rStyle w:val="CharSchText"/>
        </w:rPr>
        <w:t>Vaccines exempt from specified provisions of the Act</w:t>
      </w:r>
      <w:bookmarkEnd w:id="200"/>
    </w:p>
    <w:p>
      <w:pPr>
        <w:pStyle w:val="yShoulderClause"/>
      </w:pPr>
      <w:r>
        <w:t>[r. 37B]</w:t>
      </w:r>
    </w:p>
    <w:p>
      <w:pPr>
        <w:pStyle w:val="yFootnoteheading"/>
        <w:spacing w:after="120"/>
      </w:pPr>
      <w:r>
        <w:tab/>
        <w:t>[Heading inserted in Gazette 26 Mar 2010 p. 1147.]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812"/>
      </w:tblGrid>
      <w:tr>
        <w:tc>
          <w:tcPr>
            <w:tcW w:w="567" w:type="dxa"/>
          </w:tcPr>
          <w:p>
            <w:pPr>
              <w:pStyle w:val="yTableNAm"/>
            </w:pPr>
          </w:p>
        </w:tc>
        <w:tc>
          <w:tcPr>
            <w:tcW w:w="5812" w:type="dxa"/>
          </w:tcPr>
          <w:p>
            <w:pPr>
              <w:pStyle w:val="yTableNAm"/>
              <w:rPr>
                <w:b/>
                <w:bCs/>
              </w:rPr>
            </w:pPr>
            <w:r>
              <w:rPr>
                <w:b/>
                <w:bCs/>
              </w:rPr>
              <w:t>Vaccines</w:t>
            </w:r>
          </w:p>
        </w:tc>
      </w:tr>
      <w:tr>
        <w:tc>
          <w:tcPr>
            <w:tcW w:w="567" w:type="dxa"/>
          </w:tcPr>
          <w:p>
            <w:pPr>
              <w:pStyle w:val="yTableNAm"/>
            </w:pPr>
            <w:r>
              <w:t>1.</w:t>
            </w:r>
          </w:p>
        </w:tc>
        <w:tc>
          <w:tcPr>
            <w:tcW w:w="5812" w:type="dxa"/>
          </w:tcPr>
          <w:p>
            <w:pPr>
              <w:pStyle w:val="yTableNAm"/>
            </w:pPr>
            <w:r>
              <w:t>Diphtheria toxoid</w:t>
            </w:r>
          </w:p>
        </w:tc>
      </w:tr>
      <w:tr>
        <w:tc>
          <w:tcPr>
            <w:tcW w:w="567" w:type="dxa"/>
          </w:tcPr>
          <w:p>
            <w:pPr>
              <w:pStyle w:val="yTableNAm"/>
            </w:pPr>
            <w:r>
              <w:t>2.</w:t>
            </w:r>
          </w:p>
        </w:tc>
        <w:tc>
          <w:tcPr>
            <w:tcW w:w="5812" w:type="dxa"/>
          </w:tcPr>
          <w:p>
            <w:pPr>
              <w:pStyle w:val="yTableNAm"/>
            </w:pPr>
            <w:r>
              <w:t xml:space="preserve">Haemophilus B conjugate vaccine </w:t>
            </w:r>
          </w:p>
        </w:tc>
      </w:tr>
      <w:tr>
        <w:tc>
          <w:tcPr>
            <w:tcW w:w="567" w:type="dxa"/>
          </w:tcPr>
          <w:p>
            <w:pPr>
              <w:pStyle w:val="yTableNAm"/>
            </w:pPr>
            <w:r>
              <w:t>3.</w:t>
            </w:r>
          </w:p>
        </w:tc>
        <w:tc>
          <w:tcPr>
            <w:tcW w:w="5812" w:type="dxa"/>
          </w:tcPr>
          <w:p>
            <w:pPr>
              <w:pStyle w:val="yTableNAm"/>
            </w:pPr>
            <w:r>
              <w:t>Haemophilus influenzae vaccine</w:t>
            </w:r>
          </w:p>
        </w:tc>
      </w:tr>
      <w:tr>
        <w:tc>
          <w:tcPr>
            <w:tcW w:w="567" w:type="dxa"/>
          </w:tcPr>
          <w:p>
            <w:pPr>
              <w:pStyle w:val="yTableNAm"/>
            </w:pPr>
            <w:r>
              <w:t>4.</w:t>
            </w:r>
          </w:p>
        </w:tc>
        <w:tc>
          <w:tcPr>
            <w:tcW w:w="5812" w:type="dxa"/>
          </w:tcPr>
          <w:p>
            <w:pPr>
              <w:pStyle w:val="yTableNAm"/>
            </w:pPr>
            <w:r>
              <w:t>Hepatitis A vaccine, inactivated</w:t>
            </w:r>
          </w:p>
        </w:tc>
      </w:tr>
      <w:tr>
        <w:tc>
          <w:tcPr>
            <w:tcW w:w="567" w:type="dxa"/>
          </w:tcPr>
          <w:p>
            <w:pPr>
              <w:pStyle w:val="yTableNAm"/>
            </w:pPr>
            <w:r>
              <w:t>5.</w:t>
            </w:r>
          </w:p>
        </w:tc>
        <w:tc>
          <w:tcPr>
            <w:tcW w:w="5812" w:type="dxa"/>
          </w:tcPr>
          <w:p>
            <w:pPr>
              <w:pStyle w:val="yTableNAm"/>
            </w:pPr>
            <w:r>
              <w:t>Hepatitis B vaccine</w:t>
            </w:r>
          </w:p>
        </w:tc>
      </w:tr>
      <w:tr>
        <w:tc>
          <w:tcPr>
            <w:tcW w:w="567" w:type="dxa"/>
          </w:tcPr>
          <w:p>
            <w:pPr>
              <w:pStyle w:val="yTableNAm"/>
            </w:pPr>
            <w:r>
              <w:t>6.</w:t>
            </w:r>
          </w:p>
        </w:tc>
        <w:tc>
          <w:tcPr>
            <w:tcW w:w="5812" w:type="dxa"/>
          </w:tcPr>
          <w:p>
            <w:pPr>
              <w:pStyle w:val="yTableNAm"/>
            </w:pPr>
            <w:r>
              <w:t>Human papillomavirus vaccine, recombinant</w:t>
            </w:r>
          </w:p>
        </w:tc>
      </w:tr>
      <w:tr>
        <w:tc>
          <w:tcPr>
            <w:tcW w:w="567" w:type="dxa"/>
          </w:tcPr>
          <w:p>
            <w:pPr>
              <w:pStyle w:val="yTableNAm"/>
            </w:pPr>
            <w:r>
              <w:t>7.</w:t>
            </w:r>
          </w:p>
        </w:tc>
        <w:tc>
          <w:tcPr>
            <w:tcW w:w="5812" w:type="dxa"/>
          </w:tcPr>
          <w:p>
            <w:pPr>
              <w:pStyle w:val="yTableNAm"/>
            </w:pPr>
            <w:r>
              <w:rPr>
                <w:rFonts w:cs="Arial"/>
              </w:rPr>
              <w:t>Influenza virus vaccine</w:t>
            </w:r>
          </w:p>
        </w:tc>
      </w:tr>
      <w:tr>
        <w:tc>
          <w:tcPr>
            <w:tcW w:w="567" w:type="dxa"/>
          </w:tcPr>
          <w:p>
            <w:pPr>
              <w:pStyle w:val="yTableNAm"/>
            </w:pPr>
            <w:r>
              <w:t>8.</w:t>
            </w:r>
          </w:p>
        </w:tc>
        <w:tc>
          <w:tcPr>
            <w:tcW w:w="5812" w:type="dxa"/>
          </w:tcPr>
          <w:p>
            <w:pPr>
              <w:pStyle w:val="yTableNAm"/>
            </w:pPr>
            <w:r>
              <w:t>Measles vaccine, live</w:t>
            </w:r>
          </w:p>
        </w:tc>
      </w:tr>
      <w:tr>
        <w:tc>
          <w:tcPr>
            <w:tcW w:w="567" w:type="dxa"/>
          </w:tcPr>
          <w:p>
            <w:pPr>
              <w:pStyle w:val="yTableNAm"/>
            </w:pPr>
            <w:r>
              <w:t>9.</w:t>
            </w:r>
          </w:p>
        </w:tc>
        <w:tc>
          <w:tcPr>
            <w:tcW w:w="5812" w:type="dxa"/>
          </w:tcPr>
          <w:p>
            <w:pPr>
              <w:pStyle w:val="yTableNAm"/>
            </w:pPr>
            <w:r>
              <w:rPr>
                <w:rFonts w:cs="Arial"/>
              </w:rPr>
              <w:t>Mumps vaccine, live</w:t>
            </w:r>
          </w:p>
        </w:tc>
      </w:tr>
      <w:tr>
        <w:tc>
          <w:tcPr>
            <w:tcW w:w="567" w:type="dxa"/>
          </w:tcPr>
          <w:p>
            <w:pPr>
              <w:pStyle w:val="yTableNAm"/>
            </w:pPr>
            <w:r>
              <w:t>10.</w:t>
            </w:r>
          </w:p>
        </w:tc>
        <w:tc>
          <w:tcPr>
            <w:tcW w:w="5812" w:type="dxa"/>
          </w:tcPr>
          <w:p>
            <w:pPr>
              <w:pStyle w:val="yTableNAm"/>
            </w:pPr>
            <w:r>
              <w:rPr>
                <w:rFonts w:cs="Arial"/>
              </w:rPr>
              <w:t>Neisseria meningitidis vaccine</w:t>
            </w:r>
          </w:p>
        </w:tc>
      </w:tr>
      <w:tr>
        <w:tc>
          <w:tcPr>
            <w:tcW w:w="567" w:type="dxa"/>
          </w:tcPr>
          <w:p>
            <w:pPr>
              <w:pStyle w:val="yTableNAm"/>
            </w:pPr>
            <w:r>
              <w:t>11.</w:t>
            </w:r>
          </w:p>
        </w:tc>
        <w:tc>
          <w:tcPr>
            <w:tcW w:w="5812" w:type="dxa"/>
          </w:tcPr>
          <w:p>
            <w:pPr>
              <w:pStyle w:val="yTableNAm"/>
            </w:pPr>
            <w:r>
              <w:rPr>
                <w:rFonts w:cs="Arial"/>
              </w:rPr>
              <w:t>Pertussis vaccine</w:t>
            </w:r>
          </w:p>
        </w:tc>
      </w:tr>
      <w:tr>
        <w:tc>
          <w:tcPr>
            <w:tcW w:w="567" w:type="dxa"/>
          </w:tcPr>
          <w:p>
            <w:pPr>
              <w:pStyle w:val="yTableNAm"/>
            </w:pPr>
            <w:r>
              <w:t>12.</w:t>
            </w:r>
          </w:p>
        </w:tc>
        <w:tc>
          <w:tcPr>
            <w:tcW w:w="5812" w:type="dxa"/>
          </w:tcPr>
          <w:p>
            <w:pPr>
              <w:pStyle w:val="yTableNAm"/>
            </w:pPr>
            <w:r>
              <w:rPr>
                <w:rFonts w:cs="Arial"/>
              </w:rPr>
              <w:t>Pneumococcal vaccine</w:t>
            </w:r>
          </w:p>
        </w:tc>
      </w:tr>
      <w:tr>
        <w:tc>
          <w:tcPr>
            <w:tcW w:w="567" w:type="dxa"/>
          </w:tcPr>
          <w:p>
            <w:pPr>
              <w:pStyle w:val="yTableNAm"/>
            </w:pPr>
            <w:r>
              <w:t>13.</w:t>
            </w:r>
          </w:p>
        </w:tc>
        <w:tc>
          <w:tcPr>
            <w:tcW w:w="5812" w:type="dxa"/>
          </w:tcPr>
          <w:p>
            <w:pPr>
              <w:pStyle w:val="yTableNAm"/>
            </w:pPr>
            <w:r>
              <w:rPr>
                <w:rFonts w:cs="Arial"/>
              </w:rPr>
              <w:t>Poliomyelitis vaccine</w:t>
            </w:r>
          </w:p>
        </w:tc>
      </w:tr>
      <w:tr>
        <w:tc>
          <w:tcPr>
            <w:tcW w:w="567" w:type="dxa"/>
          </w:tcPr>
          <w:p>
            <w:pPr>
              <w:pStyle w:val="yTableNAm"/>
            </w:pPr>
            <w:r>
              <w:t>14.</w:t>
            </w:r>
          </w:p>
        </w:tc>
        <w:tc>
          <w:tcPr>
            <w:tcW w:w="5812" w:type="dxa"/>
          </w:tcPr>
          <w:p>
            <w:pPr>
              <w:pStyle w:val="yTableNAm"/>
            </w:pPr>
            <w:r>
              <w:rPr>
                <w:rFonts w:cs="Arial"/>
              </w:rPr>
              <w:t>Rotavirus vaccine, live, oral</w:t>
            </w:r>
          </w:p>
        </w:tc>
      </w:tr>
      <w:tr>
        <w:tc>
          <w:tcPr>
            <w:tcW w:w="567" w:type="dxa"/>
          </w:tcPr>
          <w:p>
            <w:pPr>
              <w:pStyle w:val="yTableNAm"/>
            </w:pPr>
            <w:r>
              <w:t>15.</w:t>
            </w:r>
          </w:p>
        </w:tc>
        <w:tc>
          <w:tcPr>
            <w:tcW w:w="5812" w:type="dxa"/>
          </w:tcPr>
          <w:p>
            <w:pPr>
              <w:pStyle w:val="yTableNAm"/>
            </w:pPr>
            <w:r>
              <w:rPr>
                <w:rFonts w:cs="Arial"/>
              </w:rPr>
              <w:t>Rubella vaccine, live</w:t>
            </w:r>
          </w:p>
        </w:tc>
      </w:tr>
      <w:tr>
        <w:tc>
          <w:tcPr>
            <w:tcW w:w="567" w:type="dxa"/>
          </w:tcPr>
          <w:p>
            <w:pPr>
              <w:pStyle w:val="yTableNAm"/>
            </w:pPr>
            <w:r>
              <w:t>16.</w:t>
            </w:r>
          </w:p>
        </w:tc>
        <w:tc>
          <w:tcPr>
            <w:tcW w:w="5812" w:type="dxa"/>
          </w:tcPr>
          <w:p>
            <w:pPr>
              <w:pStyle w:val="yTableNAm"/>
            </w:pPr>
            <w:r>
              <w:t>Tetanus toxoid</w:t>
            </w:r>
          </w:p>
        </w:tc>
      </w:tr>
      <w:tr>
        <w:tc>
          <w:tcPr>
            <w:tcW w:w="567" w:type="dxa"/>
          </w:tcPr>
          <w:p>
            <w:pPr>
              <w:pStyle w:val="yTableNAm"/>
            </w:pPr>
            <w:r>
              <w:t>17.</w:t>
            </w:r>
          </w:p>
        </w:tc>
        <w:tc>
          <w:tcPr>
            <w:tcW w:w="5812" w:type="dxa"/>
          </w:tcPr>
          <w:p>
            <w:pPr>
              <w:pStyle w:val="yTableNAm"/>
            </w:pPr>
            <w:r>
              <w:t>Varicella zoster vaccine, live attenuated</w:t>
            </w:r>
          </w:p>
        </w:tc>
      </w:tr>
    </w:tbl>
    <w:p>
      <w:pPr>
        <w:pStyle w:val="yFootnotesection"/>
      </w:pPr>
      <w:r>
        <w:tab/>
        <w:t>[Appendix B inserted in Gazette 26 Mar 2010 p. 1147-8.]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ScheduleHeading"/>
        <w:outlineLvl w:val="0"/>
      </w:pPr>
      <w:bookmarkStart w:id="201" w:name="_Toc389746756"/>
      <w:r>
        <w:rPr>
          <w:rStyle w:val="CharSchNo"/>
        </w:rPr>
        <w:t>Appendix G</w:t>
      </w:r>
      <w:bookmarkEnd w:id="201"/>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s>
              <w:ind w:left="395" w:hanging="395"/>
              <w:rPr>
                <w:sz w:val="18"/>
              </w:rPr>
            </w:pPr>
            <w:r>
              <w:rPr>
                <w:sz w:val="18"/>
              </w:rPr>
              <w:t>1.</w:t>
            </w:r>
            <w:r>
              <w:rPr>
                <w:sz w:val="18"/>
              </w:rPr>
              <w:tab/>
              <w:t>Wholesaler’s Licence ...................</w:t>
            </w:r>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ind w:left="395" w:hanging="395"/>
              <w:rPr>
                <w:sz w:val="18"/>
              </w:rPr>
            </w:pPr>
            <w:r>
              <w:rPr>
                <w:sz w:val="18"/>
              </w:rPr>
              <w:t>3.</w:t>
            </w:r>
            <w:r>
              <w:rPr>
                <w:sz w:val="18"/>
              </w:rPr>
              <w:tab/>
              <w:t>Pharmacist’s licence to sell poisons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200</w:t>
            </w:r>
          </w:p>
        </w:tc>
        <w:tc>
          <w:tcPr>
            <w:tcW w:w="993" w:type="dxa"/>
          </w:tcPr>
          <w:p>
            <w:pPr>
              <w:pStyle w:val="yTableNAm"/>
              <w:jc w:val="center"/>
              <w:rPr>
                <w:sz w:val="18"/>
              </w:rPr>
            </w:pPr>
            <w:r>
              <w:rPr>
                <w:sz w:val="18"/>
              </w:rPr>
              <w:br/>
              <w:t>75</w:t>
            </w:r>
          </w:p>
        </w:tc>
        <w:tc>
          <w:tcPr>
            <w:tcW w:w="992" w:type="dxa"/>
          </w:tcPr>
          <w:p>
            <w:pPr>
              <w:pStyle w:val="yTableNAm"/>
              <w:jc w:val="center"/>
              <w:rPr>
                <w:sz w:val="18"/>
              </w:rPr>
            </w:pPr>
            <w:r>
              <w:rPr>
                <w:sz w:val="18"/>
              </w:rPr>
              <w:br/>
              <w:t>175</w:t>
            </w:r>
          </w:p>
        </w:tc>
      </w:tr>
      <w:tr>
        <w:tc>
          <w:tcPr>
            <w:tcW w:w="3119" w:type="dxa"/>
          </w:tcPr>
          <w:p>
            <w:pPr>
              <w:pStyle w:val="yTableNAm"/>
              <w:tabs>
                <w:tab w:val="clear" w:pos="567"/>
                <w:tab w:val="left" w:pos="39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100</w:t>
            </w:r>
          </w:p>
        </w:tc>
        <w:tc>
          <w:tcPr>
            <w:tcW w:w="992" w:type="dxa"/>
          </w:tcPr>
          <w:p>
            <w:pPr>
              <w:pStyle w:val="yTableNAm"/>
              <w:jc w:val="center"/>
              <w:rPr>
                <w:sz w:val="18"/>
              </w:rPr>
            </w:pPr>
            <w:r>
              <w:rPr>
                <w:sz w:val="18"/>
              </w:rPr>
              <w:br/>
            </w:r>
            <w:r>
              <w:rPr>
                <w:sz w:val="18"/>
              </w:rPr>
              <w:br/>
              <w:t>150</w:t>
            </w:r>
          </w:p>
        </w:tc>
        <w:tc>
          <w:tcPr>
            <w:tcW w:w="993" w:type="dxa"/>
          </w:tcPr>
          <w:p>
            <w:pPr>
              <w:pStyle w:val="yTableNAm"/>
              <w:jc w:val="center"/>
              <w:rPr>
                <w:sz w:val="18"/>
              </w:rPr>
            </w:pPr>
            <w:r>
              <w:rPr>
                <w:sz w:val="18"/>
              </w:rPr>
              <w:br/>
            </w:r>
            <w:r>
              <w:rPr>
                <w:sz w:val="18"/>
              </w:rPr>
              <w:br/>
              <w:t>50</w:t>
            </w:r>
          </w:p>
        </w:tc>
        <w:tc>
          <w:tcPr>
            <w:tcW w:w="992" w:type="dxa"/>
          </w:tcPr>
          <w:p>
            <w:pPr>
              <w:pStyle w:val="yTableNAm"/>
              <w:jc w:val="center"/>
              <w:rPr>
                <w:sz w:val="18"/>
              </w:rPr>
            </w:pPr>
            <w:r>
              <w:rPr>
                <w:sz w:val="18"/>
              </w:rPr>
              <w:br/>
            </w:r>
            <w:r>
              <w:rPr>
                <w:sz w:val="18"/>
              </w:rPr>
              <w:br/>
              <w:t>100</w:t>
            </w:r>
          </w:p>
        </w:tc>
      </w:tr>
      <w:tr>
        <w:tc>
          <w:tcPr>
            <w:tcW w:w="3119" w:type="dxa"/>
          </w:tcPr>
          <w:p>
            <w:pPr>
              <w:pStyle w:val="yTableNAm"/>
              <w:tabs>
                <w:tab w:val="clear" w:pos="567"/>
                <w:tab w:val="left" w:pos="395"/>
              </w:tabs>
              <w:ind w:left="395" w:hanging="395"/>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200</w:t>
            </w:r>
          </w:p>
        </w:tc>
        <w:tc>
          <w:tcPr>
            <w:tcW w:w="992" w:type="dxa"/>
          </w:tcPr>
          <w:p>
            <w:pPr>
              <w:pStyle w:val="yTableNAm"/>
              <w:jc w:val="center"/>
              <w:rPr>
                <w:sz w:val="18"/>
              </w:rPr>
            </w:pPr>
            <w:r>
              <w:rPr>
                <w:sz w:val="18"/>
              </w:rPr>
              <w:br/>
            </w:r>
            <w:r>
              <w:rPr>
                <w:sz w:val="18"/>
              </w:rPr>
              <w:br/>
              <w:t>300</w:t>
            </w:r>
          </w:p>
        </w:tc>
        <w:tc>
          <w:tcPr>
            <w:tcW w:w="993" w:type="dxa"/>
          </w:tcPr>
          <w:p>
            <w:pPr>
              <w:pStyle w:val="yTableNAm"/>
              <w:jc w:val="center"/>
              <w:rPr>
                <w:sz w:val="18"/>
              </w:rPr>
            </w:pPr>
            <w:r>
              <w:rPr>
                <w:sz w:val="18"/>
              </w:rPr>
              <w:br/>
            </w:r>
            <w:r>
              <w:rPr>
                <w:sz w:val="18"/>
              </w:rPr>
              <w:br/>
              <w:t>75</w:t>
            </w:r>
          </w:p>
        </w:tc>
        <w:tc>
          <w:tcPr>
            <w:tcW w:w="992" w:type="dxa"/>
          </w:tcPr>
          <w:p>
            <w:pPr>
              <w:pStyle w:val="yTableNAm"/>
              <w:jc w:val="center"/>
              <w:rPr>
                <w:sz w:val="18"/>
              </w:rPr>
            </w:pPr>
            <w:r>
              <w:rPr>
                <w:sz w:val="18"/>
              </w:rPr>
              <w:br/>
            </w:r>
            <w:r>
              <w:rPr>
                <w:sz w:val="18"/>
              </w:rPr>
              <w:br/>
              <w:t>175</w:t>
            </w:r>
          </w:p>
        </w:tc>
      </w:tr>
      <w:tr>
        <w:tc>
          <w:tcPr>
            <w:tcW w:w="3119" w:type="dxa"/>
          </w:tcPr>
          <w:p>
            <w:pPr>
              <w:pStyle w:val="yTableNAm"/>
              <w:tabs>
                <w:tab w:val="clear" w:pos="567"/>
                <w:tab w:val="left" w:pos="395"/>
              </w:tabs>
              <w:ind w:left="395" w:hanging="395"/>
              <w:rPr>
                <w:sz w:val="18"/>
              </w:rPr>
            </w:pPr>
            <w:r>
              <w:rPr>
                <w:sz w:val="18"/>
              </w:rPr>
              <w:t>6B.</w:t>
            </w:r>
            <w:r>
              <w:rPr>
                <w:sz w:val="18"/>
              </w:rPr>
              <w:tab/>
              <w:t>Poisons permit (Distribution of samples)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spacing w:before="80"/>
              <w:ind w:left="720" w:hanging="720"/>
              <w:rPr>
                <w:sz w:val="18"/>
              </w:rPr>
            </w:pPr>
            <w:r>
              <w:rPr>
                <w:sz w:val="18"/>
              </w:rPr>
              <w:tab/>
              <w:t>(a)</w:t>
            </w:r>
            <w:r>
              <w:rPr>
                <w:sz w:val="18"/>
              </w:rPr>
              <w:tab/>
              <w:t>for poisons other than those set out in this item ..............</w:t>
            </w:r>
          </w:p>
        </w:tc>
        <w:tc>
          <w:tcPr>
            <w:tcW w:w="992" w:type="dxa"/>
          </w:tcPr>
          <w:p>
            <w:pPr>
              <w:pStyle w:val="yTableNAm"/>
              <w:spacing w:before="80"/>
              <w:jc w:val="center"/>
              <w:rPr>
                <w:sz w:val="18"/>
              </w:rPr>
            </w:pPr>
            <w:r>
              <w:rPr>
                <w:sz w:val="18"/>
              </w:rPr>
              <w:br/>
              <w:t>200</w:t>
            </w:r>
          </w:p>
        </w:tc>
        <w:tc>
          <w:tcPr>
            <w:tcW w:w="992" w:type="dxa"/>
          </w:tcPr>
          <w:p>
            <w:pPr>
              <w:pStyle w:val="yTableNAm"/>
              <w:spacing w:before="80"/>
              <w:jc w:val="center"/>
              <w:rPr>
                <w:sz w:val="18"/>
              </w:rPr>
            </w:pPr>
            <w:r>
              <w:rPr>
                <w:sz w:val="18"/>
              </w:rPr>
              <w:br/>
              <w:t>300</w:t>
            </w:r>
          </w:p>
        </w:tc>
        <w:tc>
          <w:tcPr>
            <w:tcW w:w="993" w:type="dxa"/>
          </w:tcPr>
          <w:p>
            <w:pPr>
              <w:pStyle w:val="yTableNAm"/>
              <w:spacing w:before="80"/>
              <w:jc w:val="center"/>
              <w:rPr>
                <w:sz w:val="18"/>
              </w:rPr>
            </w:pPr>
            <w:r>
              <w:rPr>
                <w:sz w:val="18"/>
              </w:rPr>
              <w:br/>
              <w:t>75</w:t>
            </w:r>
          </w:p>
        </w:tc>
        <w:tc>
          <w:tcPr>
            <w:tcW w:w="992" w:type="dxa"/>
          </w:tcPr>
          <w:p>
            <w:pPr>
              <w:pStyle w:val="yTableNAm"/>
              <w:spacing w:before="80"/>
              <w:jc w:val="center"/>
              <w:rPr>
                <w:sz w:val="18"/>
              </w:rPr>
            </w:pPr>
            <w:r>
              <w:rPr>
                <w:sz w:val="18"/>
              </w:rPr>
              <w:br/>
              <w:t>175</w:t>
            </w:r>
          </w:p>
        </w:tc>
      </w:tr>
      <w:tr>
        <w:tc>
          <w:tcPr>
            <w:tcW w:w="3119" w:type="dxa"/>
          </w:tcPr>
          <w:p>
            <w:pPr>
              <w:pStyle w:val="yTableNAm"/>
              <w:tabs>
                <w:tab w:val="clear" w:pos="567"/>
                <w:tab w:val="left" w:pos="395"/>
              </w:tabs>
              <w:spacing w:before="80"/>
              <w:ind w:left="720" w:hanging="720"/>
              <w:rPr>
                <w:sz w:val="18"/>
              </w:rPr>
            </w:pPr>
            <w:r>
              <w:rPr>
                <w:sz w:val="18"/>
              </w:rPr>
              <w:tab/>
              <w:t>(b)</w:t>
            </w:r>
            <w:r>
              <w:rPr>
                <w:sz w:val="18"/>
              </w:rPr>
              <w:tab/>
              <w:t>for any one or more of the poisons set out in this item</w:t>
            </w:r>
          </w:p>
        </w:tc>
        <w:tc>
          <w:tcPr>
            <w:tcW w:w="992" w:type="dxa"/>
          </w:tcPr>
          <w:p>
            <w:pPr>
              <w:pStyle w:val="yTableNAm"/>
              <w:spacing w:before="80"/>
              <w:jc w:val="center"/>
              <w:rPr>
                <w:sz w:val="18"/>
              </w:rPr>
            </w:pPr>
            <w:r>
              <w:rPr>
                <w:sz w:val="18"/>
              </w:rPr>
              <w:br/>
              <w:t>575</w:t>
            </w:r>
          </w:p>
        </w:tc>
        <w:tc>
          <w:tcPr>
            <w:tcW w:w="992" w:type="dxa"/>
          </w:tcPr>
          <w:p>
            <w:pPr>
              <w:pStyle w:val="yTableNAm"/>
              <w:spacing w:before="80"/>
              <w:jc w:val="center"/>
              <w:rPr>
                <w:sz w:val="18"/>
              </w:rPr>
            </w:pPr>
            <w:r>
              <w:rPr>
                <w:sz w:val="18"/>
              </w:rPr>
              <w:br/>
              <w:t>1275</w:t>
            </w:r>
          </w:p>
        </w:tc>
        <w:tc>
          <w:tcPr>
            <w:tcW w:w="993" w:type="dxa"/>
          </w:tcPr>
          <w:p>
            <w:pPr>
              <w:pStyle w:val="yTableNAm"/>
              <w:spacing w:before="80"/>
              <w:jc w:val="center"/>
              <w:rPr>
                <w:sz w:val="18"/>
              </w:rPr>
            </w:pPr>
            <w:r>
              <w:rPr>
                <w:sz w:val="18"/>
              </w:rPr>
              <w:br/>
              <w:t>425</w:t>
            </w:r>
          </w:p>
        </w:tc>
        <w:tc>
          <w:tcPr>
            <w:tcW w:w="992" w:type="dxa"/>
          </w:tcPr>
          <w:p>
            <w:pPr>
              <w:pStyle w:val="yTableNAm"/>
              <w:spacing w:before="80"/>
              <w:jc w:val="center"/>
              <w:rPr>
                <w:sz w:val="18"/>
              </w:rPr>
            </w:pPr>
            <w:r>
              <w:rPr>
                <w:sz w:val="18"/>
              </w:rPr>
              <w:b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r>
              <w:rPr>
                <w:sz w:val="18"/>
              </w:rPr>
              <w:tab/>
            </w:r>
            <w:r>
              <w:rPr>
                <w:sz w:val="18"/>
              </w:rPr>
              <w:tab/>
              <w:t>•</w:t>
            </w:r>
            <w:r>
              <w:rPr>
                <w:sz w:val="18"/>
              </w:rPr>
              <w:tab/>
              <w:t>benzene;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s>
              <w:ind w:left="395" w:hanging="395"/>
              <w:rPr>
                <w:sz w:val="18"/>
              </w:rPr>
            </w:pPr>
            <w:r>
              <w:rPr>
                <w:sz w:val="18"/>
              </w:rPr>
              <w:t>8.</w:t>
            </w:r>
            <w:r>
              <w:rPr>
                <w:sz w:val="18"/>
              </w:rPr>
              <w:tab/>
              <w:t>Poisons permit (Educational, advisory or research)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s>
              <w:spacing w:before="80"/>
              <w:rPr>
                <w:sz w:val="18"/>
              </w:rPr>
            </w:pPr>
            <w:r>
              <w:rPr>
                <w:sz w:val="18"/>
              </w:rPr>
              <w:tab/>
              <w:t>(a)</w:t>
            </w:r>
            <w:r>
              <w:rPr>
                <w:sz w:val="18"/>
              </w:rPr>
              <w:tab/>
              <w:t>Departmental ......................</w:t>
            </w:r>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s>
              <w:spacing w:before="80"/>
              <w:rPr>
                <w:sz w:val="18"/>
              </w:rPr>
            </w:pPr>
            <w:r>
              <w:rPr>
                <w:sz w:val="18"/>
              </w:rPr>
              <w:tab/>
              <w:t>(b)</w:t>
            </w:r>
            <w:r>
              <w:rPr>
                <w:sz w:val="18"/>
              </w:rPr>
              <w:tab/>
              <w:t>Hospitals .............................</w:t>
            </w:r>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 1 Oct 2010 p. 5079-80.]</w:t>
      </w:r>
    </w:p>
    <w:p>
      <w:pPr>
        <w:pStyle w:val="yScheduleHeading"/>
        <w:outlineLvl w:val="0"/>
      </w:pPr>
      <w:bookmarkStart w:id="202" w:name="_Toc389746757"/>
      <w:r>
        <w:rPr>
          <w:rStyle w:val="CharSchNo"/>
        </w:rPr>
        <w:t>Appendix H</w:t>
      </w:r>
      <w:bookmarkEnd w:id="202"/>
    </w:p>
    <w:p>
      <w:pPr>
        <w:pStyle w:val="yHeading2"/>
        <w:outlineLvl w:val="9"/>
      </w:pPr>
      <w:bookmarkStart w:id="203" w:name="_Toc389746758"/>
      <w:r>
        <w:rPr>
          <w:rStyle w:val="CharSchText"/>
        </w:rPr>
        <w:t>Schedule 4 substances referred to in regulation 39(1)</w:t>
      </w:r>
      <w:bookmarkEnd w:id="203"/>
    </w:p>
    <w:p>
      <w:pPr>
        <w:pStyle w:val="yFootnoteheading"/>
      </w:pPr>
      <w:r>
        <w:tab/>
        <w:t>[Heading inserted in Gazette 8 Feb 1985 p. 520; amended in Gazette 19 Mar 1996 p. 1239.]</w:t>
      </w:r>
    </w:p>
    <w:p>
      <w:pPr>
        <w:pStyle w:val="yMiscellaneousBody"/>
        <w:spacing w:before="6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204" w:name="_Toc389746759"/>
      <w:r>
        <w:rPr>
          <w:rStyle w:val="CharSchNo"/>
        </w:rPr>
        <w:t>Appendix J</w:t>
      </w:r>
      <w:bookmarkEnd w:id="204"/>
    </w:p>
    <w:p>
      <w:pPr>
        <w:pStyle w:val="yShoulderClause"/>
        <w:rPr>
          <w:snapToGrid w:val="0"/>
        </w:rPr>
      </w:pPr>
      <w:r>
        <w:rPr>
          <w:snapToGrid w:val="0"/>
        </w:rPr>
        <w:t>(reg. 35A)</w:t>
      </w:r>
    </w:p>
    <w:p>
      <w:pPr>
        <w:pStyle w:val="yHeading2"/>
        <w:outlineLvl w:val="0"/>
      </w:pPr>
      <w:bookmarkStart w:id="205" w:name="_Toc389746760"/>
      <w:r>
        <w:rPr>
          <w:rStyle w:val="CharSchText"/>
        </w:rPr>
        <w:t>Schedule 3 poison sales to be recorded</w:t>
      </w:r>
      <w:bookmarkEnd w:id="205"/>
    </w:p>
    <w:p>
      <w:pPr>
        <w:pStyle w:val="yFootnoteheading"/>
        <w:ind w:left="0" w:firstLine="0"/>
      </w:pPr>
      <w:r>
        <w:tab/>
        <w:t>[Heading inserted in Gazette 20 Sep 1985 p. 3743.]</w:t>
      </w:r>
    </w:p>
    <w:p>
      <w:pPr>
        <w:pStyle w:val="yMiscellaneousBody"/>
        <w:spacing w:before="6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206" w:name="_Toc389746761"/>
      <w:r>
        <w:rPr>
          <w:rStyle w:val="CharSchNo"/>
        </w:rPr>
        <w:t>Appendix K</w:t>
      </w:r>
      <w:bookmarkEnd w:id="206"/>
    </w:p>
    <w:p>
      <w:pPr>
        <w:pStyle w:val="yShoulderClause"/>
      </w:pPr>
      <w:r>
        <w:t>[r. 32B]</w:t>
      </w:r>
    </w:p>
    <w:p>
      <w:pPr>
        <w:pStyle w:val="yHeading2"/>
        <w:outlineLvl w:val="0"/>
      </w:pPr>
      <w:bookmarkStart w:id="207" w:name="_Toc389746762"/>
      <w:r>
        <w:rPr>
          <w:rStyle w:val="CharSchText"/>
        </w:rPr>
        <w:t>Criteria for electronic prescribing systems</w:t>
      </w:r>
      <w:bookmarkEnd w:id="207"/>
    </w:p>
    <w:p>
      <w:pPr>
        <w:pStyle w:val="yFootnoteheading"/>
        <w:ind w:left="0" w:firstLine="0"/>
      </w:pPr>
      <w:r>
        <w:tab/>
        <w:t>[Heading inserted in Gazette 7 Nov 2008 p. 4818.]</w:t>
      </w:r>
    </w:p>
    <w:p>
      <w:pPr>
        <w:pStyle w:val="ySubsection"/>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of access to the system, or entries made in the system, during a certain period;</w:t>
      </w:r>
    </w:p>
    <w:p>
      <w:pPr>
        <w:pStyle w:val="yIndenti0"/>
        <w:rPr>
          <w:snapToGrid w:val="0"/>
        </w:rPr>
      </w:pPr>
      <w:r>
        <w:rPr>
          <w:snapToGrid w:val="0"/>
        </w:rPr>
        <w:tab/>
        <w:t>(iii)</w:t>
      </w:r>
      <w:r>
        <w:rPr>
          <w:snapToGrid w:val="0"/>
        </w:rPr>
        <w:tab/>
        <w:t>of entries made in the system during a certain period, sorted according to drug type, strength or dose or according to patient;</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208" w:name="_Toc389746763"/>
      <w:r>
        <w:rPr>
          <w:rStyle w:val="CharSchNo"/>
        </w:rPr>
        <w:t>Appendix L</w:t>
      </w:r>
      <w:bookmarkEnd w:id="208"/>
    </w:p>
    <w:p>
      <w:pPr>
        <w:pStyle w:val="yShoulderClause"/>
        <w:spacing w:before="0"/>
        <w:rPr>
          <w:snapToGrid w:val="0"/>
        </w:rPr>
      </w:pPr>
      <w:r>
        <w:rPr>
          <w:snapToGrid w:val="0"/>
        </w:rPr>
        <w:t>(Regulations 37 and 51)</w:t>
      </w:r>
    </w:p>
    <w:p>
      <w:pPr>
        <w:pStyle w:val="yHeading2"/>
        <w:outlineLvl w:val="9"/>
      </w:pPr>
      <w:bookmarkStart w:id="209" w:name="_Toc389746764"/>
      <w:r>
        <w:rPr>
          <w:rStyle w:val="CharSchText"/>
        </w:rPr>
        <w:t>Specified criteria for the generation of prescriptions by computer</w:t>
      </w:r>
      <w:bookmarkEnd w:id="209"/>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ageBreakBefore w:val="0"/>
        <w:outlineLvl w:val="0"/>
      </w:pPr>
      <w:bookmarkStart w:id="210" w:name="_Toc389746765"/>
      <w:r>
        <w:rPr>
          <w:rStyle w:val="CharSchNo"/>
        </w:rPr>
        <w:t>Appendix M</w:t>
      </w:r>
      <w:bookmarkEnd w:id="210"/>
    </w:p>
    <w:p>
      <w:pPr>
        <w:pStyle w:val="yShoulderClause"/>
        <w:spacing w:before="60"/>
        <w:rPr>
          <w:snapToGrid w:val="0"/>
        </w:rPr>
      </w:pPr>
      <w:r>
        <w:rPr>
          <w:snapToGrid w:val="0"/>
        </w:rPr>
        <w:t>[Regulations 56(1) and (2)]</w:t>
      </w:r>
    </w:p>
    <w:p>
      <w:pPr>
        <w:pStyle w:val="yHeading2"/>
        <w:spacing w:before="180"/>
        <w:outlineLvl w:val="0"/>
      </w:pPr>
      <w:bookmarkStart w:id="211" w:name="_Toc389746766"/>
      <w:r>
        <w:rPr>
          <w:rStyle w:val="CharSchText"/>
        </w:rPr>
        <w:t>Safes and additional security for storing drugs of addiction</w:t>
      </w:r>
      <w:bookmarkEnd w:id="211"/>
    </w:p>
    <w:p>
      <w:pPr>
        <w:pStyle w:val="yFootnoteheading"/>
        <w:spacing w:before="60"/>
      </w:pPr>
      <w:r>
        <w:tab/>
        <w:t>[Heading inserted in Gazette 25 Jun 1993 p. 3084.]</w:t>
      </w:r>
    </w:p>
    <w:p>
      <w:pPr>
        <w:pStyle w:val="yHeading5"/>
        <w:spacing w:before="180"/>
        <w:outlineLvl w:val="0"/>
        <w:rPr>
          <w:snapToGrid w:val="0"/>
        </w:rPr>
      </w:pPr>
      <w:bookmarkStart w:id="212" w:name="_Toc389746767"/>
      <w:r>
        <w:rPr>
          <w:rStyle w:val="CharSClsNo"/>
        </w:rPr>
        <w:t>1</w:t>
      </w:r>
      <w:r>
        <w:rPr>
          <w:snapToGrid w:val="0"/>
        </w:rPr>
        <w:t>.</w:t>
      </w:r>
      <w:r>
        <w:rPr>
          <w:snapToGrid w:val="0"/>
        </w:rPr>
        <w:tab/>
        <w:t>Safes</w:t>
      </w:r>
      <w:bookmarkEnd w:id="212"/>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213" w:name="_Toc389746768"/>
      <w:r>
        <w:rPr>
          <w:rStyle w:val="CharSClsNo"/>
        </w:rPr>
        <w:t>2</w:t>
      </w:r>
      <w:r>
        <w:rPr>
          <w:snapToGrid w:val="0"/>
        </w:rPr>
        <w:t>.</w:t>
      </w:r>
      <w:r>
        <w:rPr>
          <w:snapToGrid w:val="0"/>
        </w:rPr>
        <w:tab/>
        <w:t>Additional security requirements</w:t>
      </w:r>
      <w:bookmarkEnd w:id="213"/>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7260" cy="17526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7260" cy="175260"/>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outlineLvl w:val="0"/>
      </w:pPr>
      <w:bookmarkStart w:id="214" w:name="_Toc389746769"/>
      <w:r>
        <w:t>Notes</w:t>
      </w:r>
      <w:bookmarkEnd w:id="214"/>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rPr>
          <w:snapToGrid w:val="0"/>
        </w:rPr>
      </w:pPr>
      <w:bookmarkStart w:id="215" w:name="_Toc389746770"/>
      <w:r>
        <w:rPr>
          <w:snapToGrid w:val="0"/>
        </w:rPr>
        <w:t>Compilation table</w:t>
      </w:r>
      <w:bookmarkEnd w:id="2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9</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10</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11</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rPr>
              <w:t>r. 1 and 2: 21 Apr 2009 (see r. 2(a));</w:t>
            </w:r>
            <w:r>
              <w:rPr>
                <w:snapToGrid w:val="0"/>
                <w:spacing w:val="-2"/>
                <w:sz w:val="19"/>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rPr>
            </w:pPr>
            <w:r>
              <w:rPr>
                <w:snapToGrid w:val="0"/>
                <w:spacing w:val="-2"/>
                <w:sz w:val="19"/>
              </w:rPr>
              <w:t>r. 1 and 2: 12 Jun 2009 (see r. 2(a));</w:t>
            </w:r>
            <w:r>
              <w:rPr>
                <w:snapToGrid w:val="0"/>
                <w:spacing w:val="-2"/>
                <w:sz w:val="19"/>
              </w:rPr>
              <w:br/>
              <w:t>Regulations other than r. 1 and 2: 13 Jun 2009 (see r. 2(b))</w:t>
            </w:r>
          </w:p>
        </w:tc>
      </w:tr>
      <w:tr>
        <w:trPr>
          <w:cantSplit/>
        </w:trPr>
        <w:tc>
          <w:tcPr>
            <w:tcW w:w="3118" w:type="dxa"/>
          </w:tcPr>
          <w:p>
            <w:pPr>
              <w:pStyle w:val="nTable"/>
              <w:spacing w:after="40"/>
              <w:ind w:right="113"/>
              <w:rPr>
                <w:i/>
                <w:sz w:val="19"/>
              </w:rPr>
            </w:pPr>
            <w:r>
              <w:rPr>
                <w:i/>
                <w:sz w:val="19"/>
              </w:rPr>
              <w:t>Poisons Amendment Regulations (No. 5) 2009</w:t>
            </w:r>
          </w:p>
        </w:tc>
        <w:tc>
          <w:tcPr>
            <w:tcW w:w="1276" w:type="dxa"/>
          </w:tcPr>
          <w:p>
            <w:pPr>
              <w:pStyle w:val="nTable"/>
              <w:spacing w:after="40"/>
              <w:rPr>
                <w:sz w:val="19"/>
              </w:rPr>
            </w:pPr>
            <w:r>
              <w:rPr>
                <w:sz w:val="19"/>
              </w:rPr>
              <w:t>28 Jul 2009 p. 2979-80</w:t>
            </w:r>
          </w:p>
        </w:tc>
        <w:tc>
          <w:tcPr>
            <w:tcW w:w="2693" w:type="dxa"/>
          </w:tcPr>
          <w:p>
            <w:pPr>
              <w:pStyle w:val="nTable"/>
              <w:spacing w:after="40"/>
              <w:rPr>
                <w:snapToGrid w:val="0"/>
                <w:spacing w:val="-2"/>
                <w:sz w:val="19"/>
              </w:rPr>
            </w:pPr>
            <w:r>
              <w:rPr>
                <w:snapToGrid w:val="0"/>
                <w:spacing w:val="-2"/>
                <w:sz w:val="19"/>
              </w:rPr>
              <w:t>r. 1 and 2: 28 Jul 2009 (see r. 2(a));</w:t>
            </w:r>
            <w:r>
              <w:rPr>
                <w:snapToGrid w:val="0"/>
                <w:spacing w:val="-2"/>
                <w:sz w:val="19"/>
              </w:rPr>
              <w:br/>
              <w:t>Regulations other than r. 1 and 2: 29 Jul 2009 (see r. 2(b))</w:t>
            </w:r>
          </w:p>
        </w:tc>
      </w:tr>
      <w:tr>
        <w:trPr>
          <w:cantSplit/>
        </w:trPr>
        <w:tc>
          <w:tcPr>
            <w:tcW w:w="3118" w:type="dxa"/>
          </w:tcPr>
          <w:p>
            <w:pPr>
              <w:pStyle w:val="nTable"/>
              <w:spacing w:after="40"/>
              <w:ind w:right="113"/>
              <w:rPr>
                <w:i/>
                <w:sz w:val="19"/>
              </w:rPr>
            </w:pPr>
            <w:r>
              <w:rPr>
                <w:i/>
                <w:sz w:val="19"/>
              </w:rPr>
              <w:t>Poisons Amendment Regulations 2009</w:t>
            </w:r>
          </w:p>
        </w:tc>
        <w:tc>
          <w:tcPr>
            <w:tcW w:w="1276" w:type="dxa"/>
          </w:tcPr>
          <w:p>
            <w:pPr>
              <w:pStyle w:val="nTable"/>
              <w:spacing w:after="40"/>
              <w:rPr>
                <w:sz w:val="19"/>
              </w:rPr>
            </w:pPr>
            <w:r>
              <w:rPr>
                <w:sz w:val="19"/>
              </w:rPr>
              <w:t>15 Sep 2009 p. 3571</w:t>
            </w:r>
            <w:r>
              <w:rPr>
                <w:sz w:val="19"/>
              </w:rPr>
              <w:noBreakHyphen/>
              <w:t>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3) 2009</w:t>
            </w:r>
          </w:p>
        </w:tc>
        <w:tc>
          <w:tcPr>
            <w:tcW w:w="1276" w:type="dxa"/>
          </w:tcPr>
          <w:p>
            <w:pPr>
              <w:pStyle w:val="nTable"/>
              <w:spacing w:after="40"/>
              <w:rPr>
                <w:sz w:val="19"/>
              </w:rPr>
            </w:pPr>
            <w:r>
              <w:rPr>
                <w:sz w:val="19"/>
              </w:rPr>
              <w:t>15 Sep 2009 p. 3573</w:t>
            </w:r>
            <w:r>
              <w:rPr>
                <w:sz w:val="19"/>
              </w:rPr>
              <w:noBreakHyphen/>
              <w:t>82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6) 2009</w:t>
            </w:r>
          </w:p>
        </w:tc>
        <w:tc>
          <w:tcPr>
            <w:tcW w:w="1276" w:type="dxa"/>
          </w:tcPr>
          <w:p>
            <w:pPr>
              <w:pStyle w:val="nTable"/>
              <w:spacing w:after="40"/>
              <w:rPr>
                <w:sz w:val="19"/>
              </w:rPr>
            </w:pPr>
            <w:r>
              <w:rPr>
                <w:sz w:val="19"/>
              </w:rPr>
              <w:t>25 Sep 2009 p. 3746-7</w:t>
            </w:r>
          </w:p>
        </w:tc>
        <w:tc>
          <w:tcPr>
            <w:tcW w:w="2693" w:type="dxa"/>
          </w:tcPr>
          <w:p>
            <w:pPr>
              <w:pStyle w:val="nTable"/>
              <w:spacing w:after="40"/>
              <w:rPr>
                <w:snapToGrid w:val="0"/>
                <w:spacing w:val="-2"/>
                <w:sz w:val="19"/>
              </w:rPr>
            </w:pPr>
            <w:r>
              <w:rPr>
                <w:snapToGrid w:val="0"/>
                <w:spacing w:val="-2"/>
                <w:sz w:val="19"/>
              </w:rPr>
              <w:t>r. 1 and 2: 25 Sep 2009 (see r. 2(a));</w:t>
            </w:r>
            <w:r>
              <w:rPr>
                <w:snapToGrid w:val="0"/>
                <w:spacing w:val="-2"/>
                <w:sz w:val="19"/>
              </w:rPr>
              <w:br/>
              <w:t>Regulations other than r. 1 and 2: 26 Sep 2009 (see r. 2(b))</w:t>
            </w:r>
          </w:p>
        </w:tc>
      </w:tr>
      <w:tr>
        <w:trPr>
          <w:cantSplit/>
        </w:trPr>
        <w:tc>
          <w:tcPr>
            <w:tcW w:w="7087" w:type="dxa"/>
            <w:gridSpan w:val="3"/>
          </w:tcPr>
          <w:p>
            <w:pPr>
              <w:pStyle w:val="nTable"/>
              <w:spacing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2010</w:t>
            </w:r>
          </w:p>
        </w:tc>
        <w:tc>
          <w:tcPr>
            <w:tcW w:w="1276" w:type="dxa"/>
          </w:tcPr>
          <w:p>
            <w:pPr>
              <w:pStyle w:val="nTable"/>
              <w:spacing w:after="40"/>
              <w:rPr>
                <w:sz w:val="19"/>
              </w:rPr>
            </w:pPr>
            <w:r>
              <w:rPr>
                <w:sz w:val="19"/>
              </w:rPr>
              <w:t>5 Mar 2010 p. 845</w:t>
            </w:r>
            <w:r>
              <w:rPr>
                <w:sz w:val="19"/>
              </w:rPr>
              <w:noBreakHyphen/>
              <w:t>7</w:t>
            </w:r>
          </w:p>
        </w:tc>
        <w:tc>
          <w:tcPr>
            <w:tcW w:w="2693" w:type="dxa"/>
          </w:tcPr>
          <w:p>
            <w:pPr>
              <w:pStyle w:val="nTable"/>
              <w:spacing w:after="40"/>
              <w:rPr>
                <w:snapToGrid w:val="0"/>
                <w:spacing w:val="-2"/>
                <w:sz w:val="19"/>
              </w:rPr>
            </w:pPr>
            <w:r>
              <w:rPr>
                <w:snapToGrid w:val="0"/>
                <w:spacing w:val="-2"/>
                <w:sz w:val="19"/>
              </w:rPr>
              <w:t>r. 1 and 2: 5 Mar 2010 (see r. 2(a));</w:t>
            </w:r>
            <w:r>
              <w:rPr>
                <w:snapToGrid w:val="0"/>
                <w:spacing w:val="-2"/>
                <w:sz w:val="19"/>
              </w:rPr>
              <w:br/>
              <w:t>Regulations other than r. 1 and 2: 6 Mar 2010 (see r. 2(b))</w:t>
            </w:r>
          </w:p>
        </w:tc>
      </w:tr>
      <w:tr>
        <w:trPr>
          <w:cantSplit/>
        </w:trPr>
        <w:tc>
          <w:tcPr>
            <w:tcW w:w="3118" w:type="dxa"/>
          </w:tcPr>
          <w:p>
            <w:pPr>
              <w:pStyle w:val="nTable"/>
              <w:spacing w:after="40"/>
              <w:ind w:right="113"/>
              <w:rPr>
                <w:i/>
                <w:sz w:val="19"/>
              </w:rPr>
            </w:pPr>
            <w:r>
              <w:rPr>
                <w:i/>
                <w:sz w:val="19"/>
              </w:rPr>
              <w:t>Poisons Amendment Regulations (No. 3) 2010</w:t>
            </w:r>
          </w:p>
        </w:tc>
        <w:tc>
          <w:tcPr>
            <w:tcW w:w="1276" w:type="dxa"/>
          </w:tcPr>
          <w:p>
            <w:pPr>
              <w:pStyle w:val="nTable"/>
              <w:spacing w:after="40"/>
              <w:rPr>
                <w:sz w:val="19"/>
              </w:rPr>
            </w:pPr>
            <w:r>
              <w:rPr>
                <w:sz w:val="19"/>
              </w:rPr>
              <w:t>26 Mar 2010 p. 1145-8</w:t>
            </w:r>
          </w:p>
        </w:tc>
        <w:tc>
          <w:tcPr>
            <w:tcW w:w="2693" w:type="dxa"/>
          </w:tcPr>
          <w:p>
            <w:pPr>
              <w:pStyle w:val="nTable"/>
              <w:spacing w:after="40"/>
              <w:rPr>
                <w:snapToGrid w:val="0"/>
                <w:spacing w:val="-2"/>
                <w:sz w:val="19"/>
              </w:rPr>
            </w:pPr>
            <w:r>
              <w:rPr>
                <w:snapToGrid w:val="0"/>
                <w:spacing w:val="-2"/>
                <w:sz w:val="19"/>
              </w:rPr>
              <w:t>r. 1 and 2: 26 Mar 2010 (see r. 2(a));</w:t>
            </w:r>
            <w:r>
              <w:rPr>
                <w:snapToGrid w:val="0"/>
                <w:spacing w:val="-2"/>
                <w:sz w:val="19"/>
              </w:rPr>
              <w:br/>
              <w:t>Regulations other than r. 1 and 2: 27 Mar 2010 (see r. 2(b))</w:t>
            </w:r>
          </w:p>
        </w:tc>
      </w:tr>
      <w:tr>
        <w:trPr>
          <w:cantSplit/>
        </w:trPr>
        <w:tc>
          <w:tcPr>
            <w:tcW w:w="3118" w:type="dxa"/>
          </w:tcPr>
          <w:p>
            <w:pPr>
              <w:pStyle w:val="nTable"/>
              <w:spacing w:after="40"/>
              <w:ind w:right="113"/>
              <w:rPr>
                <w:i/>
                <w:sz w:val="19"/>
              </w:rPr>
            </w:pPr>
            <w:r>
              <w:rPr>
                <w:i/>
                <w:sz w:val="19"/>
              </w:rPr>
              <w:t>Poisons Amendment Regulations 2010</w:t>
            </w:r>
          </w:p>
        </w:tc>
        <w:tc>
          <w:tcPr>
            <w:tcW w:w="1276" w:type="dxa"/>
          </w:tcPr>
          <w:p>
            <w:pPr>
              <w:pStyle w:val="nTable"/>
              <w:spacing w:after="40"/>
              <w:rPr>
                <w:sz w:val="19"/>
              </w:rPr>
            </w:pPr>
            <w:r>
              <w:rPr>
                <w:sz w:val="19"/>
              </w:rPr>
              <w:t>27 Apr 2010 p. 1583-4</w:t>
            </w:r>
          </w:p>
        </w:tc>
        <w:tc>
          <w:tcPr>
            <w:tcW w:w="2693" w:type="dxa"/>
          </w:tcPr>
          <w:p>
            <w:pPr>
              <w:pStyle w:val="nTable"/>
              <w:spacing w:after="40"/>
              <w:rPr>
                <w:snapToGrid w:val="0"/>
                <w:spacing w:val="-2"/>
                <w:sz w:val="19"/>
              </w:rPr>
            </w:pPr>
            <w:r>
              <w:rPr>
                <w:snapToGrid w:val="0"/>
                <w:spacing w:val="-2"/>
                <w:sz w:val="19"/>
              </w:rPr>
              <w:t>r. 1 and 2: 27 Apr 2010 (see r. 2(a));</w:t>
            </w:r>
            <w:r>
              <w:rPr>
                <w:snapToGrid w:val="0"/>
                <w:spacing w:val="-2"/>
                <w:sz w:val="19"/>
              </w:rPr>
              <w:br/>
              <w:t>Regulations other than r. 1 and 2: 28 Apr 2010 (see r. 2(b))</w:t>
            </w:r>
          </w:p>
        </w:tc>
      </w:tr>
      <w:tr>
        <w:trPr>
          <w:cantSplit/>
        </w:trPr>
        <w:tc>
          <w:tcPr>
            <w:tcW w:w="3118" w:type="dxa"/>
          </w:tcPr>
          <w:p>
            <w:pPr>
              <w:pStyle w:val="nTable"/>
              <w:spacing w:after="40"/>
              <w:ind w:right="113"/>
              <w:rPr>
                <w:i/>
                <w:sz w:val="19"/>
              </w:rPr>
            </w:pPr>
            <w:r>
              <w:rPr>
                <w:i/>
                <w:sz w:val="19"/>
              </w:rPr>
              <w:t>Poisons Amendment Regulations (No. 5) 2010</w:t>
            </w:r>
          </w:p>
        </w:tc>
        <w:tc>
          <w:tcPr>
            <w:tcW w:w="1276" w:type="dxa"/>
          </w:tcPr>
          <w:p>
            <w:pPr>
              <w:pStyle w:val="nTable"/>
              <w:spacing w:after="40"/>
              <w:rPr>
                <w:sz w:val="19"/>
              </w:rPr>
            </w:pPr>
            <w:r>
              <w:rPr>
                <w:sz w:val="19"/>
              </w:rPr>
              <w:t>1 Oct 2010 p. 5078</w:t>
            </w:r>
            <w:r>
              <w:rPr>
                <w:sz w:val="19"/>
              </w:rPr>
              <w:noBreakHyphen/>
              <w:t>80</w:t>
            </w:r>
          </w:p>
        </w:tc>
        <w:tc>
          <w:tcPr>
            <w:tcW w:w="2693" w:type="dxa"/>
          </w:tcPr>
          <w:p>
            <w:pPr>
              <w:pStyle w:val="nTable"/>
              <w:spacing w:after="40"/>
              <w:rPr>
                <w:snapToGrid w:val="0"/>
                <w:spacing w:val="-2"/>
                <w:sz w:val="19"/>
              </w:rPr>
            </w:pPr>
            <w:r>
              <w:rPr>
                <w:sz w:val="19"/>
              </w:rPr>
              <w:t>r. 1 and 2: 1 Oct 2010 (see r. 2(a);</w:t>
            </w:r>
            <w:r>
              <w:rPr>
                <w:sz w:val="19"/>
              </w:rPr>
              <w:br/>
              <w:t xml:space="preserve">Regulations other than r. 1 and 2: 18 Oct 2010 (see r. 2(b) and </w:t>
            </w:r>
            <w:r>
              <w:rPr>
                <w:i/>
                <w:iCs/>
                <w:sz w:val="19"/>
              </w:rPr>
              <w:t>Gazette</w:t>
            </w:r>
            <w:r>
              <w:rPr>
                <w:sz w:val="19"/>
              </w:rPr>
              <w:t xml:space="preserve"> 1 Oct 2010 p. 5076)</w:t>
            </w:r>
          </w:p>
        </w:tc>
      </w:tr>
      <w:tr>
        <w:trPr>
          <w:cantSplit/>
        </w:trPr>
        <w:tc>
          <w:tcPr>
            <w:tcW w:w="3118" w:type="dxa"/>
          </w:tcPr>
          <w:p>
            <w:pPr>
              <w:pStyle w:val="nTable"/>
              <w:spacing w:after="40"/>
              <w:ind w:right="113"/>
              <w:rPr>
                <w:iCs/>
                <w:sz w:val="19"/>
                <w:vertAlign w:val="superscript"/>
              </w:rPr>
            </w:pPr>
            <w:r>
              <w:rPr>
                <w:i/>
                <w:sz w:val="19"/>
              </w:rPr>
              <w:t>Poisons Amendment Regulations (No. 7) 2010 </w:t>
            </w:r>
            <w:r>
              <w:rPr>
                <w:iCs/>
                <w:sz w:val="19"/>
                <w:vertAlign w:val="superscript"/>
              </w:rPr>
              <w:t>12</w:t>
            </w:r>
          </w:p>
        </w:tc>
        <w:tc>
          <w:tcPr>
            <w:tcW w:w="1276" w:type="dxa"/>
          </w:tcPr>
          <w:p>
            <w:pPr>
              <w:pStyle w:val="nTable"/>
              <w:spacing w:after="40"/>
              <w:rPr>
                <w:sz w:val="19"/>
              </w:rPr>
            </w:pPr>
            <w:r>
              <w:rPr>
                <w:sz w:val="19"/>
              </w:rPr>
              <w:t>22 Oct 2010 p. 5217</w:t>
            </w:r>
            <w:r>
              <w:rPr>
                <w:sz w:val="19"/>
              </w:rPr>
              <w:noBreakHyphen/>
              <w:t>19</w:t>
            </w:r>
          </w:p>
        </w:tc>
        <w:tc>
          <w:tcPr>
            <w:tcW w:w="2693" w:type="dxa"/>
          </w:tcPr>
          <w:p>
            <w:pPr>
              <w:pStyle w:val="nTable"/>
              <w:spacing w:after="40"/>
              <w:rPr>
                <w:sz w:val="19"/>
              </w:rPr>
            </w:pPr>
            <w:r>
              <w:rPr>
                <w:snapToGrid w:val="0"/>
                <w:spacing w:val="-2"/>
                <w:sz w:val="19"/>
              </w:rPr>
              <w:t>r. 1 and 2: 22 Oct 2010 (see r. 2(a));</w:t>
            </w:r>
            <w:r>
              <w:rPr>
                <w:snapToGrid w:val="0"/>
                <w:spacing w:val="-2"/>
                <w:sz w:val="19"/>
              </w:rPr>
              <w:br/>
              <w:t>Regulations other than r. 1 and 2: 23 Oct 2010 (see r. 2(b))</w:t>
            </w:r>
          </w:p>
        </w:tc>
      </w:tr>
      <w:tr>
        <w:trPr>
          <w:cantSplit/>
        </w:trPr>
        <w:tc>
          <w:tcPr>
            <w:tcW w:w="3118" w:type="dxa"/>
          </w:tcPr>
          <w:p>
            <w:pPr>
              <w:pStyle w:val="nTable"/>
              <w:spacing w:after="40"/>
              <w:ind w:right="113"/>
              <w:rPr>
                <w:i/>
                <w:sz w:val="19"/>
              </w:rPr>
            </w:pPr>
            <w:r>
              <w:rPr>
                <w:i/>
                <w:sz w:val="19"/>
              </w:rPr>
              <w:t>Poisons Amendment Regulations (No. 4) 2010 </w:t>
            </w:r>
          </w:p>
        </w:tc>
        <w:tc>
          <w:tcPr>
            <w:tcW w:w="1276" w:type="dxa"/>
          </w:tcPr>
          <w:p>
            <w:pPr>
              <w:pStyle w:val="nTable"/>
              <w:spacing w:after="40"/>
              <w:rPr>
                <w:sz w:val="19"/>
              </w:rPr>
            </w:pPr>
            <w:r>
              <w:rPr>
                <w:sz w:val="19"/>
              </w:rPr>
              <w:t>19 Nov 2010 p. 5709</w:t>
            </w:r>
            <w:r>
              <w:rPr>
                <w:sz w:val="19"/>
              </w:rPr>
              <w:noBreakHyphen/>
              <w:t>10</w:t>
            </w:r>
          </w:p>
        </w:tc>
        <w:tc>
          <w:tcPr>
            <w:tcW w:w="2693" w:type="dxa"/>
          </w:tcPr>
          <w:p>
            <w:pPr>
              <w:pStyle w:val="nTable"/>
              <w:spacing w:after="40"/>
              <w:rPr>
                <w:snapToGrid w:val="0"/>
                <w:spacing w:val="-2"/>
                <w:sz w:val="19"/>
              </w:rPr>
            </w:pPr>
            <w:r>
              <w:rPr>
                <w:snapToGrid w:val="0"/>
                <w:spacing w:val="-2"/>
                <w:sz w:val="19"/>
              </w:rPr>
              <w:t>r. 1 and 2: 19 Nov 2010 (see r. 2(a));</w:t>
            </w:r>
            <w:r>
              <w:rPr>
                <w:snapToGrid w:val="0"/>
                <w:spacing w:val="-2"/>
                <w:sz w:val="19"/>
              </w:rPr>
              <w:br/>
              <w:t>Regulations other than r. 1 and 2: 20 Nov 2010 (see r. 2(b))</w:t>
            </w:r>
          </w:p>
        </w:tc>
      </w:tr>
      <w:tr>
        <w:trPr>
          <w:cantSplit/>
        </w:trPr>
        <w:tc>
          <w:tcPr>
            <w:tcW w:w="3118" w:type="dxa"/>
            <w:tcBorders>
              <w:bottom w:val="single" w:sz="4" w:space="0" w:color="auto"/>
            </w:tcBorders>
          </w:tcPr>
          <w:p>
            <w:pPr>
              <w:pStyle w:val="nTable"/>
              <w:spacing w:after="40"/>
              <w:ind w:right="113"/>
              <w:rPr>
                <w:i/>
                <w:sz w:val="19"/>
              </w:rPr>
            </w:pPr>
            <w:r>
              <w:rPr>
                <w:i/>
                <w:sz w:val="19"/>
              </w:rPr>
              <w:t>Poisons Amendment Regulations (No. 6) 2010 </w:t>
            </w:r>
          </w:p>
        </w:tc>
        <w:tc>
          <w:tcPr>
            <w:tcW w:w="1276" w:type="dxa"/>
            <w:tcBorders>
              <w:bottom w:val="single" w:sz="4" w:space="0" w:color="auto"/>
            </w:tcBorders>
          </w:tcPr>
          <w:p>
            <w:pPr>
              <w:pStyle w:val="nTable"/>
              <w:spacing w:after="40"/>
              <w:rPr>
                <w:sz w:val="19"/>
              </w:rPr>
            </w:pPr>
            <w:r>
              <w:rPr>
                <w:sz w:val="19"/>
              </w:rPr>
              <w:t>19 Nov 2010 p. 5711</w:t>
            </w:r>
            <w:r>
              <w:rPr>
                <w:sz w:val="19"/>
              </w:rPr>
              <w:noBreakHyphen/>
              <w:t>15</w:t>
            </w:r>
          </w:p>
        </w:tc>
        <w:tc>
          <w:tcPr>
            <w:tcW w:w="2693" w:type="dxa"/>
            <w:tcBorders>
              <w:bottom w:val="single" w:sz="4" w:space="0" w:color="auto"/>
            </w:tcBorders>
          </w:tcPr>
          <w:p>
            <w:pPr>
              <w:pStyle w:val="nTable"/>
              <w:spacing w:after="40"/>
              <w:rPr>
                <w:snapToGrid w:val="0"/>
                <w:spacing w:val="-2"/>
                <w:sz w:val="19"/>
              </w:rPr>
            </w:pPr>
            <w:r>
              <w:rPr>
                <w:snapToGrid w:val="0"/>
                <w:spacing w:val="-2"/>
                <w:sz w:val="19"/>
              </w:rPr>
              <w:t>r. 1 and 2: 19 Nov 2010 (see r. 2(a));</w:t>
            </w:r>
            <w:r>
              <w:rPr>
                <w:snapToGrid w:val="0"/>
                <w:spacing w:val="-2"/>
                <w:sz w:val="19"/>
              </w:rPr>
              <w:br/>
              <w:t>Regulations other than r. 1 and 2: 20 Nov 2010 (see r. 2(b))</w:t>
            </w:r>
          </w:p>
        </w:tc>
      </w:tr>
    </w:tbl>
    <w:p>
      <w:pPr>
        <w:pStyle w:val="nSubsection"/>
        <w:spacing w:before="100"/>
        <w:rPr>
          <w:snapToGrid w:val="0"/>
        </w:rPr>
      </w:pPr>
      <w:r>
        <w:rPr>
          <w:snapToGrid w:val="0"/>
          <w:vertAlign w:val="superscript"/>
        </w:rPr>
        <w:t>2</w:t>
      </w:r>
      <w:r>
        <w:rPr>
          <w:snapToGrid w:val="0"/>
        </w:rPr>
        <w:tab/>
        <w:t xml:space="preserve">Repealed by the </w:t>
      </w:r>
      <w:r>
        <w:rPr>
          <w:i/>
          <w:iCs/>
          <w:snapToGrid w:val="0"/>
        </w:rPr>
        <w:t>Medical Practitioners Act 2008.</w:t>
      </w:r>
    </w:p>
    <w:p>
      <w:pPr>
        <w:pStyle w:val="nSubsection"/>
        <w:spacing w:before="100"/>
        <w:rPr>
          <w:snapToGrid w:val="0"/>
        </w:rPr>
      </w:pPr>
      <w:r>
        <w:rPr>
          <w:snapToGrid w:val="0"/>
          <w:vertAlign w:val="superscript"/>
        </w:rPr>
        <w:t>3</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spacing w:before="100"/>
        <w:rPr>
          <w:snapToGrid w:val="0"/>
        </w:rPr>
      </w:pPr>
      <w:r>
        <w:rPr>
          <w:snapToGrid w:val="0"/>
          <w:vertAlign w:val="superscript"/>
        </w:rPr>
        <w:t>4</w:t>
      </w:r>
      <w:r>
        <w:rPr>
          <w:snapToGrid w:val="0"/>
        </w:rPr>
        <w:tab/>
        <w:t xml:space="preserve">Repealed by the </w:t>
      </w:r>
      <w:r>
        <w:rPr>
          <w:i/>
          <w:color w:val="000000"/>
        </w:rPr>
        <w:t>Nurses and Midwives Act 2006</w:t>
      </w:r>
      <w:r>
        <w:rPr>
          <w:snapToGrid w:val="0"/>
        </w:rPr>
        <w:t>.</w:t>
      </w:r>
    </w:p>
    <w:p>
      <w:pPr>
        <w:pStyle w:val="nSubsection"/>
        <w:spacing w:before="100"/>
        <w:rPr>
          <w:rFonts w:ascii="Arial" w:hAnsi="Arial"/>
        </w:rPr>
      </w:pPr>
      <w:r>
        <w:rPr>
          <w:snapToGrid w:val="0"/>
          <w:vertAlign w:val="superscript"/>
        </w:rPr>
        <w:t>5</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00"/>
        <w:rPr>
          <w:snapToGrid w:val="0"/>
          <w:spacing w:val="-4"/>
        </w:rPr>
      </w:pPr>
      <w:r>
        <w:rPr>
          <w:snapToGrid w:val="0"/>
          <w:vertAlign w:val="superscript"/>
        </w:rPr>
        <w:t>6</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spacing w:before="100"/>
        <w:rPr>
          <w:rFonts w:ascii="Times" w:hAnsi="Times"/>
          <w:snapToGrid w:val="0"/>
        </w:rPr>
      </w:pPr>
      <w:r>
        <w:rPr>
          <w:snapToGrid w:val="0"/>
          <w:spacing w:val="-4"/>
          <w:vertAlign w:val="superscript"/>
        </w:rPr>
        <w:t>7</w:t>
      </w:r>
      <w:r>
        <w:rPr>
          <w:snapToGrid w:val="0"/>
          <w:spacing w:val="-4"/>
        </w:rPr>
        <w:tab/>
        <w:t xml:space="preserve">The Standards Association of </w:t>
      </w:r>
      <w:smartTag w:uri="urn:schemas-microsoft-com:office:smarttags" w:element="country-region">
        <w:r>
          <w:rPr>
            <w:snapToGrid w:val="0"/>
            <w:spacing w:val="-4"/>
          </w:rPr>
          <w:t>Australia</w:t>
        </w:r>
      </w:smartTag>
      <w:r>
        <w:rPr>
          <w:snapToGrid w:val="0"/>
          <w:spacing w:val="-4"/>
        </w:rPr>
        <w:t xml:space="preserve"> has changed its corporate status and its name.  It is now Standards Australia International Limited (ACN 087 326 690).  It also trades as Standards</w:t>
      </w:r>
      <w:r>
        <w:t xml:space="preserve"> Australia.</w:t>
      </w:r>
    </w:p>
    <w:p>
      <w:pPr>
        <w:pStyle w:val="nSubsection"/>
        <w:spacing w:before="10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0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reads as follows:</w:t>
      </w:r>
    </w:p>
    <w:p>
      <w:pPr>
        <w:pStyle w:val="BlankOpen"/>
      </w:pP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BlankClose"/>
      </w:pPr>
    </w:p>
    <w:p>
      <w:pPr>
        <w:pStyle w:val="nSubsection"/>
      </w:pPr>
      <w:r>
        <w:rPr>
          <w:vertAlign w:val="superscript"/>
        </w:rPr>
        <w:t>11</w:t>
      </w:r>
      <w:r>
        <w:tab/>
        <w:t xml:space="preserve">The </w:t>
      </w:r>
      <w:r>
        <w:rPr>
          <w:i/>
        </w:rPr>
        <w:t>Nurses Amendment Act 2003</w:t>
      </w:r>
      <w:r>
        <w:t xml:space="preserve"> s. 50 reads as follows:</w:t>
      </w:r>
    </w:p>
    <w:p>
      <w:pPr>
        <w:pStyle w:val="BlankOpen"/>
      </w:pP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BlankClose"/>
      </w:pPr>
    </w:p>
    <w:p>
      <w:pPr>
        <w:pStyle w:val="nSubsection"/>
      </w:pPr>
      <w:r>
        <w:rPr>
          <w:vertAlign w:val="superscript"/>
        </w:rPr>
        <w:t>12</w:t>
      </w:r>
      <w:r>
        <w:tab/>
        <w:t xml:space="preserve">The </w:t>
      </w:r>
      <w:r>
        <w:rPr>
          <w:i/>
        </w:rPr>
        <w:t>Poisons Amendment Regulations (No. 7) 2010</w:t>
      </w:r>
      <w:r>
        <w:rPr>
          <w:i/>
          <w:sz w:val="19"/>
        </w:rPr>
        <w:t> </w:t>
      </w:r>
      <w:r>
        <w:t xml:space="preserve"> r. 5 to amend r. 42(1)(d) is not included because the para it sought to amend had been amended by the </w:t>
      </w:r>
      <w:r>
        <w:rPr>
          <w:i/>
          <w:iCs/>
        </w:rPr>
        <w:t>Poisons Amendment Regulations (No. 5) 2010</w:t>
      </w:r>
      <w:r>
        <w:t xml:space="preserve"> r. 8(2).</w:t>
      </w:r>
    </w:p>
    <w:p>
      <w:pPr>
        <w:pStyle w:val="BlankClose"/>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pPr>
        <w:pStyle w:val="nHeading2"/>
        <w:rPr>
          <w:sz w:val="28"/>
        </w:rPr>
      </w:pPr>
      <w:bookmarkStart w:id="216" w:name="_Toc389746771"/>
      <w:r>
        <w:rPr>
          <w:sz w:val="28"/>
        </w:rPr>
        <w:t>Defined Terms</w:t>
      </w:r>
      <w:bookmarkEnd w:id="2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7" w:name="DefinedTerms"/>
      <w:bookmarkEnd w:id="217"/>
      <w:r>
        <w:t>access code</w:t>
      </w:r>
      <w:r>
        <w:tab/>
        <w:t>32A(1)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book</w:t>
      </w:r>
      <w:r>
        <w:tab/>
        <w:t>35A(1A)</w:t>
      </w:r>
    </w:p>
    <w:p>
      <w:pPr>
        <w:pStyle w:val="DefinedTerms"/>
      </w:pPr>
      <w:r>
        <w:t>Australian Register of Therapeutic Goods</w:t>
      </w:r>
      <w:r>
        <w:tab/>
        <w:t>35C(4), 64(1)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endorsed optometrist</w:t>
      </w:r>
      <w:r>
        <w:tab/>
        <w:t>2(1)</w:t>
      </w:r>
    </w:p>
    <w:p>
      <w:pPr>
        <w:pStyle w:val="DefinedTerms"/>
      </w:pPr>
      <w:r>
        <w:t>emergency supplies</w:t>
      </w:r>
      <w:r>
        <w:tab/>
        <w:t>36A(4)</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w:t>
      </w:r>
    </w:p>
    <w:p>
      <w:pPr>
        <w:pStyle w:val="DefinedTerms"/>
      </w:pPr>
      <w:r>
        <w:t>gynaecologist</w:t>
      </w:r>
      <w:r>
        <w:tab/>
        <w:t>2(1)</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Medical Board</w:t>
      </w:r>
      <w:r>
        <w:tab/>
        <w:t>2(1)</w:t>
      </w:r>
    </w:p>
    <w:p>
      <w:pPr>
        <w:pStyle w:val="DefinedTerms"/>
      </w:pPr>
      <w:r>
        <w:t>metropolitan region</w:t>
      </w:r>
      <w:r>
        <w:tab/>
        <w:t>36AAB(1)</w:t>
      </w:r>
    </w:p>
    <w:p>
      <w:pPr>
        <w:pStyle w:val="DefinedTerms"/>
      </w:pPr>
      <w:r>
        <w:t>new manager</w:t>
      </w:r>
      <w:r>
        <w:tab/>
        <w:t>51FK</w:t>
      </w:r>
    </w:p>
    <w:p>
      <w:pPr>
        <w:pStyle w:val="DefinedTerms"/>
      </w:pPr>
      <w:r>
        <w:t>new provisions</w:t>
      </w:r>
      <w:r>
        <w:tab/>
        <w:t>69</w:t>
      </w:r>
    </w:p>
    <w:p>
      <w:pPr>
        <w:pStyle w:val="DefinedTerms"/>
      </w:pPr>
      <w:r>
        <w:t>NIMC</w:t>
      </w:r>
      <w:r>
        <w:tab/>
        <w:t>38A, 51AAA</w:t>
      </w:r>
    </w:p>
    <w:p>
      <w:pPr>
        <w:pStyle w:val="DefinedTerms"/>
      </w:pPr>
      <w:r>
        <w:t>nominated co-prescriber</w:t>
      </w:r>
      <w:r>
        <w:tab/>
        <w:t>51FA</w:t>
      </w:r>
    </w:p>
    <w:p>
      <w:pPr>
        <w:pStyle w:val="DefinedTerms"/>
      </w:pPr>
      <w:r>
        <w:t>obstetrician</w:t>
      </w:r>
      <w:r>
        <w:tab/>
        <w:t>2(1)</w:t>
      </w:r>
    </w:p>
    <w:p>
      <w:pPr>
        <w:pStyle w:val="DefinedTerms"/>
      </w:pPr>
      <w:r>
        <w:t>old authorisation</w:t>
      </w:r>
      <w:r>
        <w:tab/>
        <w:t>67(1)(b), 68(1)(b)</w:t>
      </w:r>
    </w:p>
    <w:p>
      <w:pPr>
        <w:pStyle w:val="DefinedTerms"/>
      </w:pPr>
      <w:r>
        <w:t>optometrist</w:t>
      </w:r>
      <w:r>
        <w:tab/>
        <w:t>2(1)</w:t>
      </w:r>
    </w:p>
    <w:p>
      <w:pPr>
        <w:pStyle w:val="DefinedTerms"/>
      </w:pPr>
      <w:r>
        <w:t>permit</w:t>
      </w:r>
      <w:r>
        <w:tab/>
        <w:t>2(1)</w:t>
      </w:r>
    </w:p>
    <w:p>
      <w:pPr>
        <w:pStyle w:val="DefinedTerms"/>
      </w:pPr>
      <w:r>
        <w:t>personal supervision</w:t>
      </w:r>
      <w:r>
        <w:tab/>
        <w:t>2(1)</w:t>
      </w:r>
    </w:p>
    <w:p>
      <w:pPr>
        <w:pStyle w:val="DefinedTerms"/>
      </w:pPr>
      <w:r>
        <w:t>pharmacotherapy</w:t>
      </w:r>
      <w:r>
        <w:tab/>
        <w:t>51A(1)</w:t>
      </w:r>
    </w:p>
    <w:p>
      <w:pPr>
        <w:pStyle w:val="DefinedTerms"/>
      </w:pPr>
      <w:r>
        <w:t>pharmacist’s licence</w:t>
      </w:r>
      <w:r>
        <w:tab/>
        <w:t>2(1)</w:t>
      </w:r>
    </w:p>
    <w:p>
      <w:pPr>
        <w:pStyle w:val="DefinedTerms"/>
      </w:pPr>
      <w:r>
        <w:t>pharmacy</w:t>
      </w:r>
      <w:r>
        <w:tab/>
        <w:t>2(1)</w:t>
      </w:r>
    </w:p>
    <w:p>
      <w:pPr>
        <w:pStyle w:val="DefinedTerms"/>
      </w:pPr>
      <w:r>
        <w:t>physician</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prescription</w:t>
      </w:r>
      <w:r>
        <w:tab/>
        <w:t>66</w:t>
      </w: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rPr>
          <w:bCs/>
          <w:iCs/>
        </w:rPr>
        <w:t>SUSMP</w:t>
      </w:r>
      <w:r>
        <w:tab/>
        <w:t>2(1)</w:t>
      </w:r>
    </w:p>
    <w:p>
      <w:pPr>
        <w:pStyle w:val="DefinedTerms"/>
      </w:pPr>
      <w:r>
        <w:t>system identifier</w:t>
      </w:r>
      <w:r>
        <w:tab/>
        <w:t>32A(1)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the Act</w:t>
      </w:r>
      <w:r>
        <w:tab/>
        <w:t>2(1)</w:t>
      </w:r>
    </w:p>
    <w:p>
      <w:pPr>
        <w:pStyle w:val="DefinedTerms"/>
      </w:pPr>
      <w:r>
        <w:t>the HDWA Authorisation No.</w:t>
      </w:r>
      <w:r>
        <w:tab/>
        <w:t>51GB(2)</w:t>
      </w:r>
    </w:p>
    <w:p>
      <w:pPr>
        <w:pStyle w:val="DefinedTerms"/>
      </w:pPr>
      <w:r>
        <w:t>to sell</w:t>
      </w:r>
      <w:r>
        <w:tab/>
        <w:t>2(1)</w:t>
      </w:r>
    </w:p>
    <w:p>
      <w:pPr>
        <w:pStyle w:val="DefinedTerms"/>
      </w:pPr>
    </w:p>
    <w:p/>
    <w:p/>
    <w:p>
      <w:pPr>
        <w:sectPr>
          <w:headerReference w:type="even" r:id="rId36"/>
          <w:headerReference w:type="defaul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09-h0-04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Nov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Nov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09-h0-04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Nov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09-h0-04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09-h0-04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Nov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Nov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09-h0-04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Nov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09-h0-04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09-h0-04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Nov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Nov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09-h0-04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Nov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09-h0-04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 w:numId="2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2503"/>
    <w:docVar w:name="WAFER_20140605152026" w:val="RemoveTocBookmarks,RemoveUnusedBookmarks,RemoveLanguageTags,UsedStyles,ResetPageSize"/>
    <w:docVar w:name="WAFER_20140605152026_GUID" w:val="1465489e-e4d2-4cd5-997c-9132c829bed0"/>
    <w:docVar w:name="WAFER_20151208162503" w:val="RemoveTrackChanges"/>
    <w:docVar w:name="WAFER_20151208162503_GUID" w:val="1b4b1758-68f5-422f-8673-d8469fe4f8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197</Pages>
  <Words>45995</Words>
  <Characters>230440</Characters>
  <Application>Microsoft Office Word</Application>
  <DocSecurity>0</DocSecurity>
  <Lines>6584</Lines>
  <Paragraphs>3893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272542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1965 - 09-h0-04</dc:title>
  <dc:subject/>
  <dc:creator/>
  <cp:keywords/>
  <dc:description/>
  <cp:lastModifiedBy>svcMRProcess</cp:lastModifiedBy>
  <cp:revision>4</cp:revision>
  <cp:lastPrinted>2009-11-16T06:22:00Z</cp:lastPrinted>
  <dcterms:created xsi:type="dcterms:W3CDTF">2018-09-15T03:19:00Z</dcterms:created>
  <dcterms:modified xsi:type="dcterms:W3CDTF">2018-09-15T03:19:00Z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20101120</vt:lpwstr>
  </property>
  <property fmtid="{D5CDD505-2E9C-101B-9397-08002B2CF9AE}" pid="4" name="DocumentType">
    <vt:lpwstr>Reg</vt:lpwstr>
  </property>
  <property fmtid="{D5CDD505-2E9C-101B-9397-08002B2CF9AE}" pid="5" name="OwlsUID">
    <vt:i4>4701</vt:i4>
  </property>
  <property fmtid="{D5CDD505-2E9C-101B-9397-08002B2CF9AE}" pid="6" name="AsAtDate">
    <vt:lpwstr>20 Nov 2010</vt:lpwstr>
  </property>
  <property fmtid="{D5CDD505-2E9C-101B-9397-08002B2CF9AE}" pid="7" name="Suffix">
    <vt:lpwstr>09-h0-04</vt:lpwstr>
  </property>
  <property fmtid="{D5CDD505-2E9C-101B-9397-08002B2CF9AE}" pid="8" name="ReprintNo">
    <vt:lpwstr>9</vt:lpwstr>
  </property>
</Properties>
</file>