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Hope Valley-Wattleup Redevelopment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Hope Valley-Wattleup Redevelopment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_Toc278197782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_Toc278197783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_Toc278197784 \h </w:instrText>
      </w:r>
      <w:r>
        <w:fldChar w:fldCharType="separate"/>
      </w:r>
      <w:r>
        <w:t>2</w:t>
      </w:r>
      <w:r>
        <w:fldChar w:fldCharType="end"/>
      </w:r>
    </w:p>
    <w:p>
      <w:pPr>
        <w:pStyle w:val="TOC8"/>
        <w:rPr>
          <w:sz w:val="24"/>
          <w:szCs w:val="24"/>
        </w:rPr>
      </w:pPr>
      <w:r>
        <w:rPr>
          <w:szCs w:val="24"/>
        </w:rPr>
        <w:t>4.</w:t>
      </w:r>
      <w:r>
        <w:rPr>
          <w:szCs w:val="24"/>
        </w:rPr>
        <w:tab/>
        <w:t>Redevelopment area defined</w:t>
      </w:r>
      <w:r>
        <w:tab/>
      </w:r>
      <w:r>
        <w:fldChar w:fldCharType="begin"/>
      </w:r>
      <w:r>
        <w:instrText xml:space="preserve"> PAGEREF _Toc278197785 \h </w:instrText>
      </w:r>
      <w:r>
        <w:fldChar w:fldCharType="separate"/>
      </w:r>
      <w:r>
        <w:t>3</w:t>
      </w:r>
      <w:r>
        <w:fldChar w:fldCharType="end"/>
      </w:r>
    </w:p>
    <w:p>
      <w:pPr>
        <w:pStyle w:val="TOC2"/>
        <w:tabs>
          <w:tab w:val="right" w:leader="dot" w:pos="7086"/>
        </w:tabs>
        <w:rPr>
          <w:b w:val="0"/>
          <w:sz w:val="24"/>
          <w:szCs w:val="24"/>
        </w:rPr>
      </w:pPr>
      <w:r>
        <w:rPr>
          <w:szCs w:val="30"/>
        </w:rPr>
        <w:t>Part 2 — Functions</w:t>
      </w:r>
    </w:p>
    <w:p>
      <w:pPr>
        <w:pStyle w:val="TOC8"/>
        <w:rPr>
          <w:sz w:val="24"/>
          <w:szCs w:val="24"/>
        </w:rPr>
      </w:pPr>
      <w:r>
        <w:rPr>
          <w:szCs w:val="24"/>
        </w:rPr>
        <w:t>5.</w:t>
      </w:r>
      <w:r>
        <w:rPr>
          <w:szCs w:val="24"/>
        </w:rPr>
        <w:tab/>
        <w:t>Functions of the Authority under this Act</w:t>
      </w:r>
      <w:r>
        <w:tab/>
      </w:r>
      <w:r>
        <w:fldChar w:fldCharType="begin"/>
      </w:r>
      <w:r>
        <w:instrText xml:space="preserve"> PAGEREF _Toc278197787 \h </w:instrText>
      </w:r>
      <w:r>
        <w:fldChar w:fldCharType="separate"/>
      </w:r>
      <w:r>
        <w:t>4</w:t>
      </w:r>
      <w:r>
        <w:fldChar w:fldCharType="end"/>
      </w:r>
    </w:p>
    <w:p>
      <w:pPr>
        <w:pStyle w:val="TOC8"/>
        <w:rPr>
          <w:sz w:val="24"/>
          <w:szCs w:val="24"/>
        </w:rPr>
      </w:pPr>
      <w:r>
        <w:rPr>
          <w:szCs w:val="24"/>
        </w:rPr>
        <w:t>6.</w:t>
      </w:r>
      <w:r>
        <w:rPr>
          <w:szCs w:val="24"/>
        </w:rPr>
        <w:tab/>
        <w:t>Compulsory taking of land</w:t>
      </w:r>
      <w:r>
        <w:tab/>
      </w:r>
      <w:r>
        <w:fldChar w:fldCharType="begin"/>
      </w:r>
      <w:r>
        <w:instrText xml:space="preserve"> PAGEREF _Toc278197788 \h </w:instrText>
      </w:r>
      <w:r>
        <w:fldChar w:fldCharType="separate"/>
      </w:r>
      <w:r>
        <w:t>4</w:t>
      </w:r>
      <w:r>
        <w:fldChar w:fldCharType="end"/>
      </w:r>
    </w:p>
    <w:p>
      <w:pPr>
        <w:pStyle w:val="TOC8"/>
        <w:rPr>
          <w:sz w:val="24"/>
          <w:szCs w:val="24"/>
        </w:rPr>
      </w:pPr>
      <w:r>
        <w:rPr>
          <w:szCs w:val="24"/>
        </w:rPr>
        <w:t>7.</w:t>
      </w:r>
      <w:r>
        <w:rPr>
          <w:szCs w:val="24"/>
        </w:rPr>
        <w:tab/>
        <w:t>Power of Governor to direct transfer to Authority</w:t>
      </w:r>
      <w:r>
        <w:tab/>
      </w:r>
      <w:r>
        <w:fldChar w:fldCharType="begin"/>
      </w:r>
      <w:r>
        <w:instrText xml:space="preserve"> PAGEREF _Toc278197789 \h </w:instrText>
      </w:r>
      <w:r>
        <w:fldChar w:fldCharType="separate"/>
      </w:r>
      <w:r>
        <w:t>4</w:t>
      </w:r>
      <w:r>
        <w:fldChar w:fldCharType="end"/>
      </w:r>
    </w:p>
    <w:p>
      <w:pPr>
        <w:pStyle w:val="TOC8"/>
        <w:rPr>
          <w:sz w:val="24"/>
          <w:szCs w:val="24"/>
        </w:rPr>
      </w:pPr>
      <w:r>
        <w:rPr>
          <w:szCs w:val="24"/>
        </w:rPr>
        <w:t>8.</w:t>
      </w:r>
      <w:r>
        <w:rPr>
          <w:szCs w:val="24"/>
        </w:rPr>
        <w:tab/>
        <w:t>Temporary closure of streets</w:t>
      </w:r>
      <w:r>
        <w:tab/>
      </w:r>
      <w:r>
        <w:fldChar w:fldCharType="begin"/>
      </w:r>
      <w:r>
        <w:instrText xml:space="preserve"> PAGEREF _Toc278197790 \h </w:instrText>
      </w:r>
      <w:r>
        <w:fldChar w:fldCharType="separate"/>
      </w:r>
      <w:r>
        <w:t>5</w:t>
      </w:r>
      <w:r>
        <w:fldChar w:fldCharType="end"/>
      </w:r>
    </w:p>
    <w:p>
      <w:pPr>
        <w:pStyle w:val="TOC8"/>
        <w:rPr>
          <w:sz w:val="24"/>
          <w:szCs w:val="24"/>
        </w:rPr>
      </w:pPr>
      <w:r>
        <w:rPr>
          <w:szCs w:val="24"/>
        </w:rPr>
        <w:t>9.</w:t>
      </w:r>
      <w:r>
        <w:rPr>
          <w:szCs w:val="24"/>
        </w:rPr>
        <w:tab/>
        <w:t>Permanent closure of streets</w:t>
      </w:r>
      <w:r>
        <w:tab/>
      </w:r>
      <w:r>
        <w:fldChar w:fldCharType="begin"/>
      </w:r>
      <w:r>
        <w:instrText xml:space="preserve"> PAGEREF _Toc278197791 \h </w:instrText>
      </w:r>
      <w:r>
        <w:fldChar w:fldCharType="separate"/>
      </w:r>
      <w:r>
        <w:t>6</w:t>
      </w:r>
      <w:r>
        <w:fldChar w:fldCharType="end"/>
      </w:r>
    </w:p>
    <w:p>
      <w:pPr>
        <w:pStyle w:val="TOC2"/>
        <w:tabs>
          <w:tab w:val="right" w:leader="dot" w:pos="7086"/>
        </w:tabs>
        <w:rPr>
          <w:b w:val="0"/>
          <w:sz w:val="24"/>
          <w:szCs w:val="24"/>
        </w:rPr>
      </w:pPr>
      <w:r>
        <w:rPr>
          <w:szCs w:val="30"/>
        </w:rPr>
        <w:t>Part 3 — Master plan</w:t>
      </w:r>
    </w:p>
    <w:p>
      <w:pPr>
        <w:pStyle w:val="TOC4"/>
        <w:tabs>
          <w:tab w:val="right" w:leader="dot" w:pos="7086"/>
        </w:tabs>
        <w:rPr>
          <w:b w:val="0"/>
          <w:sz w:val="24"/>
          <w:szCs w:val="24"/>
        </w:rPr>
      </w:pPr>
      <w:r>
        <w:rPr>
          <w:szCs w:val="26"/>
        </w:rPr>
        <w:t>Division 1 — General</w:t>
      </w:r>
    </w:p>
    <w:p>
      <w:pPr>
        <w:pStyle w:val="TOC8"/>
        <w:rPr>
          <w:sz w:val="24"/>
          <w:szCs w:val="24"/>
        </w:rPr>
      </w:pPr>
      <w:r>
        <w:rPr>
          <w:szCs w:val="24"/>
        </w:rPr>
        <w:t>10.</w:t>
      </w:r>
      <w:r>
        <w:rPr>
          <w:szCs w:val="24"/>
        </w:rPr>
        <w:tab/>
        <w:t>Authority to comply with master plan or FRIARS Final Strategy document</w:t>
      </w:r>
      <w:r>
        <w:tab/>
      </w:r>
      <w:r>
        <w:fldChar w:fldCharType="begin"/>
      </w:r>
      <w:r>
        <w:instrText xml:space="preserve"> PAGEREF _Toc278197794 \h </w:instrText>
      </w:r>
      <w:r>
        <w:fldChar w:fldCharType="separate"/>
      </w:r>
      <w:r>
        <w:t>7</w:t>
      </w:r>
      <w:r>
        <w:fldChar w:fldCharType="end"/>
      </w:r>
    </w:p>
    <w:p>
      <w:pPr>
        <w:pStyle w:val="TOC4"/>
        <w:tabs>
          <w:tab w:val="right" w:leader="dot" w:pos="7086"/>
        </w:tabs>
        <w:rPr>
          <w:b w:val="0"/>
          <w:sz w:val="24"/>
          <w:szCs w:val="24"/>
        </w:rPr>
      </w:pPr>
      <w:r>
        <w:rPr>
          <w:szCs w:val="26"/>
        </w:rPr>
        <w:t>Division 2 — Preparation and approval of master plan</w:t>
      </w:r>
    </w:p>
    <w:p>
      <w:pPr>
        <w:pStyle w:val="TOC8"/>
        <w:rPr>
          <w:sz w:val="24"/>
          <w:szCs w:val="24"/>
        </w:rPr>
      </w:pPr>
      <w:r>
        <w:rPr>
          <w:szCs w:val="24"/>
        </w:rPr>
        <w:t>11.</w:t>
      </w:r>
      <w:r>
        <w:rPr>
          <w:szCs w:val="24"/>
        </w:rPr>
        <w:tab/>
        <w:t>Contents of master plan</w:t>
      </w:r>
      <w:r>
        <w:tab/>
      </w:r>
      <w:r>
        <w:fldChar w:fldCharType="begin"/>
      </w:r>
      <w:r>
        <w:instrText xml:space="preserve"> PAGEREF _Toc278197796 \h </w:instrText>
      </w:r>
      <w:r>
        <w:fldChar w:fldCharType="separate"/>
      </w:r>
      <w:r>
        <w:t>7</w:t>
      </w:r>
      <w:r>
        <w:fldChar w:fldCharType="end"/>
      </w:r>
    </w:p>
    <w:p>
      <w:pPr>
        <w:pStyle w:val="TOC8"/>
        <w:rPr>
          <w:sz w:val="24"/>
          <w:szCs w:val="24"/>
        </w:rPr>
      </w:pPr>
      <w:r>
        <w:rPr>
          <w:szCs w:val="24"/>
        </w:rPr>
        <w:t>12.</w:t>
      </w:r>
      <w:r>
        <w:rPr>
          <w:szCs w:val="24"/>
        </w:rPr>
        <w:tab/>
        <w:t>Proposed master plan</w:t>
      </w:r>
      <w:r>
        <w:tab/>
      </w:r>
      <w:r>
        <w:fldChar w:fldCharType="begin"/>
      </w:r>
      <w:r>
        <w:instrText xml:space="preserve"> PAGEREF _Toc278197797 \h </w:instrText>
      </w:r>
      <w:r>
        <w:fldChar w:fldCharType="separate"/>
      </w:r>
      <w:r>
        <w:t>7</w:t>
      </w:r>
      <w:r>
        <w:fldChar w:fldCharType="end"/>
      </w:r>
    </w:p>
    <w:p>
      <w:pPr>
        <w:pStyle w:val="TOC8"/>
        <w:rPr>
          <w:sz w:val="24"/>
          <w:szCs w:val="24"/>
        </w:rPr>
      </w:pPr>
      <w:r>
        <w:rPr>
          <w:szCs w:val="24"/>
        </w:rPr>
        <w:t>13.</w:t>
      </w:r>
      <w:r>
        <w:rPr>
          <w:szCs w:val="24"/>
        </w:rPr>
        <w:tab/>
        <w:t>Proposed master plan to be publicly notified</w:t>
      </w:r>
      <w:r>
        <w:tab/>
      </w:r>
      <w:r>
        <w:fldChar w:fldCharType="begin"/>
      </w:r>
      <w:r>
        <w:instrText xml:space="preserve"> PAGEREF _Toc278197798 \h </w:instrText>
      </w:r>
      <w:r>
        <w:fldChar w:fldCharType="separate"/>
      </w:r>
      <w:r>
        <w:t>8</w:t>
      </w:r>
      <w:r>
        <w:fldChar w:fldCharType="end"/>
      </w:r>
    </w:p>
    <w:p>
      <w:pPr>
        <w:pStyle w:val="TOC8"/>
        <w:rPr>
          <w:sz w:val="24"/>
          <w:szCs w:val="24"/>
        </w:rPr>
      </w:pPr>
      <w:r>
        <w:rPr>
          <w:szCs w:val="24"/>
        </w:rPr>
        <w:t>14.</w:t>
      </w:r>
      <w:r>
        <w:rPr>
          <w:szCs w:val="24"/>
        </w:rPr>
        <w:tab/>
        <w:t>Public submissions</w:t>
      </w:r>
      <w:r>
        <w:tab/>
      </w:r>
      <w:r>
        <w:fldChar w:fldCharType="begin"/>
      </w:r>
      <w:r>
        <w:instrText xml:space="preserve"> PAGEREF _Toc278197799 \h </w:instrText>
      </w:r>
      <w:r>
        <w:fldChar w:fldCharType="separate"/>
      </w:r>
      <w:r>
        <w:t>9</w:t>
      </w:r>
      <w:r>
        <w:fldChar w:fldCharType="end"/>
      </w:r>
    </w:p>
    <w:p>
      <w:pPr>
        <w:pStyle w:val="TOC8"/>
        <w:rPr>
          <w:sz w:val="24"/>
          <w:szCs w:val="24"/>
        </w:rPr>
      </w:pPr>
      <w:r>
        <w:rPr>
          <w:szCs w:val="24"/>
        </w:rPr>
        <w:t>15.</w:t>
      </w:r>
      <w:r>
        <w:rPr>
          <w:szCs w:val="24"/>
        </w:rPr>
        <w:tab/>
        <w:t>Submission of plan to Commission and approval by Minister</w:t>
      </w:r>
      <w:r>
        <w:tab/>
      </w:r>
      <w:r>
        <w:fldChar w:fldCharType="begin"/>
      </w:r>
      <w:r>
        <w:instrText xml:space="preserve"> PAGEREF _Toc278197800 \h </w:instrText>
      </w:r>
      <w:r>
        <w:fldChar w:fldCharType="separate"/>
      </w:r>
      <w:r>
        <w:t>10</w:t>
      </w:r>
      <w:r>
        <w:fldChar w:fldCharType="end"/>
      </w:r>
    </w:p>
    <w:p>
      <w:pPr>
        <w:pStyle w:val="TOC8"/>
        <w:rPr>
          <w:sz w:val="24"/>
          <w:szCs w:val="24"/>
        </w:rPr>
      </w:pPr>
      <w:r>
        <w:rPr>
          <w:szCs w:val="24"/>
        </w:rPr>
        <w:t>16.</w:t>
      </w:r>
      <w:r>
        <w:rPr>
          <w:szCs w:val="24"/>
        </w:rPr>
        <w:tab/>
        <w:t>Notice of approval</w:t>
      </w:r>
      <w:r>
        <w:tab/>
      </w:r>
      <w:r>
        <w:fldChar w:fldCharType="begin"/>
      </w:r>
      <w:r>
        <w:instrText xml:space="preserve"> PAGEREF _Toc278197801 \h </w:instrText>
      </w:r>
      <w:r>
        <w:fldChar w:fldCharType="separate"/>
      </w:r>
      <w:r>
        <w:t>11</w:t>
      </w:r>
      <w:r>
        <w:fldChar w:fldCharType="end"/>
      </w:r>
    </w:p>
    <w:p>
      <w:pPr>
        <w:pStyle w:val="TOC4"/>
        <w:tabs>
          <w:tab w:val="right" w:leader="dot" w:pos="7086"/>
        </w:tabs>
        <w:rPr>
          <w:b w:val="0"/>
          <w:sz w:val="24"/>
          <w:szCs w:val="24"/>
        </w:rPr>
      </w:pPr>
      <w:r>
        <w:rPr>
          <w:szCs w:val="26"/>
        </w:rPr>
        <w:t>Division 3 — Amendment of master plan</w:t>
      </w:r>
    </w:p>
    <w:p>
      <w:pPr>
        <w:pStyle w:val="TOC8"/>
        <w:rPr>
          <w:sz w:val="24"/>
          <w:szCs w:val="24"/>
        </w:rPr>
      </w:pPr>
      <w:r>
        <w:rPr>
          <w:szCs w:val="24"/>
        </w:rPr>
        <w:t>17.</w:t>
      </w:r>
      <w:r>
        <w:rPr>
          <w:szCs w:val="24"/>
        </w:rPr>
        <w:tab/>
        <w:t>Amendment of master plan</w:t>
      </w:r>
      <w:r>
        <w:tab/>
      </w:r>
      <w:r>
        <w:fldChar w:fldCharType="begin"/>
      </w:r>
      <w:r>
        <w:instrText xml:space="preserve"> PAGEREF _Toc278197803 \h </w:instrText>
      </w:r>
      <w:r>
        <w:fldChar w:fldCharType="separate"/>
      </w:r>
      <w:r>
        <w:t>11</w:t>
      </w:r>
      <w:r>
        <w:fldChar w:fldCharType="end"/>
      </w:r>
    </w:p>
    <w:p>
      <w:pPr>
        <w:pStyle w:val="TOC4"/>
        <w:tabs>
          <w:tab w:val="right" w:leader="dot" w:pos="7086"/>
        </w:tabs>
        <w:rPr>
          <w:b w:val="0"/>
          <w:sz w:val="24"/>
          <w:szCs w:val="24"/>
        </w:rPr>
      </w:pPr>
      <w:r>
        <w:rPr>
          <w:szCs w:val="26"/>
        </w:rPr>
        <w:t>Division 4 — Role of Environmental Protection Authority in respect of master plans, etc.</w:t>
      </w:r>
    </w:p>
    <w:p>
      <w:pPr>
        <w:pStyle w:val="TOC8"/>
        <w:rPr>
          <w:sz w:val="24"/>
          <w:szCs w:val="24"/>
        </w:rPr>
      </w:pPr>
      <w:r>
        <w:rPr>
          <w:szCs w:val="24"/>
        </w:rPr>
        <w:t>18.</w:t>
      </w:r>
      <w:r>
        <w:rPr>
          <w:szCs w:val="24"/>
        </w:rPr>
        <w:tab/>
        <w:t>Reference of proposed master plans, and proposed amendments to master plans, to Environmental Protection Authority</w:t>
      </w:r>
      <w:r>
        <w:tab/>
      </w:r>
      <w:r>
        <w:fldChar w:fldCharType="begin"/>
      </w:r>
      <w:r>
        <w:instrText xml:space="preserve"> PAGEREF _Toc278197805 \h </w:instrText>
      </w:r>
      <w:r>
        <w:fldChar w:fldCharType="separate"/>
      </w:r>
      <w:r>
        <w:t>12</w:t>
      </w:r>
      <w:r>
        <w:fldChar w:fldCharType="end"/>
      </w:r>
    </w:p>
    <w:p>
      <w:pPr>
        <w:pStyle w:val="TOC8"/>
        <w:rPr>
          <w:sz w:val="24"/>
          <w:szCs w:val="24"/>
        </w:rPr>
      </w:pPr>
      <w:r>
        <w:rPr>
          <w:szCs w:val="24"/>
        </w:rPr>
        <w:t>19.</w:t>
      </w:r>
      <w:r>
        <w:rPr>
          <w:szCs w:val="24"/>
        </w:rPr>
        <w:tab/>
        <w:t>Prerequisite to submission of proposed master plans, and proposed amendments to master plans, to Commission for approval before public notification</w:t>
      </w:r>
      <w:r>
        <w:tab/>
      </w:r>
      <w:r>
        <w:fldChar w:fldCharType="begin"/>
      </w:r>
      <w:r>
        <w:instrText xml:space="preserve"> PAGEREF _Toc278197806 \h </w:instrText>
      </w:r>
      <w:r>
        <w:fldChar w:fldCharType="separate"/>
      </w:r>
      <w:r>
        <w:t>12</w:t>
      </w:r>
      <w:r>
        <w:fldChar w:fldCharType="end"/>
      </w:r>
    </w:p>
    <w:p>
      <w:pPr>
        <w:pStyle w:val="TOC8"/>
        <w:rPr>
          <w:sz w:val="24"/>
          <w:szCs w:val="24"/>
        </w:rPr>
      </w:pPr>
      <w:r>
        <w:rPr>
          <w:szCs w:val="24"/>
        </w:rPr>
        <w:t>20.</w:t>
      </w:r>
      <w:r>
        <w:rPr>
          <w:szCs w:val="24"/>
        </w:rPr>
        <w:tab/>
        <w:t>Role of Authority in relation to environmental submissions</w:t>
      </w:r>
      <w:r>
        <w:tab/>
      </w:r>
      <w:r>
        <w:fldChar w:fldCharType="begin"/>
      </w:r>
      <w:r>
        <w:instrText xml:space="preserve"> PAGEREF _Toc278197807 \h </w:instrText>
      </w:r>
      <w:r>
        <w:fldChar w:fldCharType="separate"/>
      </w:r>
      <w:r>
        <w:t>13</w:t>
      </w:r>
      <w:r>
        <w:fldChar w:fldCharType="end"/>
      </w:r>
    </w:p>
    <w:p>
      <w:pPr>
        <w:pStyle w:val="TOC8"/>
        <w:rPr>
          <w:sz w:val="24"/>
          <w:szCs w:val="24"/>
        </w:rPr>
      </w:pPr>
      <w:r>
        <w:rPr>
          <w:szCs w:val="24"/>
        </w:rPr>
        <w:t>21.</w:t>
      </w:r>
      <w:r>
        <w:rPr>
          <w:szCs w:val="24"/>
        </w:rPr>
        <w:tab/>
        <w:t>Prerequisite to final approval by Minister of proposed master plan and proposed amendments to master plan</w:t>
      </w:r>
      <w:r>
        <w:tab/>
      </w:r>
      <w:r>
        <w:fldChar w:fldCharType="begin"/>
      </w:r>
      <w:r>
        <w:instrText xml:space="preserve"> PAGEREF _Toc278197808 \h </w:instrText>
      </w:r>
      <w:r>
        <w:fldChar w:fldCharType="separate"/>
      </w:r>
      <w:r>
        <w:t>14</w:t>
      </w:r>
      <w:r>
        <w:fldChar w:fldCharType="end"/>
      </w:r>
    </w:p>
    <w:p>
      <w:pPr>
        <w:pStyle w:val="TOC2"/>
        <w:tabs>
          <w:tab w:val="right" w:leader="dot" w:pos="7086"/>
        </w:tabs>
        <w:rPr>
          <w:b w:val="0"/>
          <w:sz w:val="24"/>
          <w:szCs w:val="24"/>
        </w:rPr>
      </w:pPr>
      <w:r>
        <w:rPr>
          <w:szCs w:val="30"/>
        </w:rPr>
        <w:t>Part 4 — Development control</w:t>
      </w:r>
    </w:p>
    <w:p>
      <w:pPr>
        <w:pStyle w:val="TOC8"/>
        <w:rPr>
          <w:sz w:val="24"/>
          <w:szCs w:val="24"/>
        </w:rPr>
      </w:pPr>
      <w:r>
        <w:rPr>
          <w:szCs w:val="24"/>
        </w:rPr>
        <w:t>22.</w:t>
      </w:r>
      <w:r>
        <w:rPr>
          <w:szCs w:val="24"/>
        </w:rPr>
        <w:tab/>
        <w:t>Crown bound</w:t>
      </w:r>
      <w:r>
        <w:tab/>
      </w:r>
      <w:r>
        <w:fldChar w:fldCharType="begin"/>
      </w:r>
      <w:r>
        <w:instrText xml:space="preserve"> PAGEREF _Toc278197810 \h </w:instrText>
      </w:r>
      <w:r>
        <w:fldChar w:fldCharType="separate"/>
      </w:r>
      <w:r>
        <w:t>16</w:t>
      </w:r>
      <w:r>
        <w:fldChar w:fldCharType="end"/>
      </w:r>
    </w:p>
    <w:p>
      <w:pPr>
        <w:pStyle w:val="TOC8"/>
        <w:rPr>
          <w:sz w:val="24"/>
          <w:szCs w:val="24"/>
        </w:rPr>
      </w:pPr>
      <w:r>
        <w:rPr>
          <w:szCs w:val="24"/>
        </w:rPr>
        <w:t>23.</w:t>
      </w:r>
      <w:r>
        <w:rPr>
          <w:szCs w:val="24"/>
        </w:rPr>
        <w:tab/>
        <w:t>Certain planning schemes cease to apply</w:t>
      </w:r>
      <w:r>
        <w:tab/>
      </w:r>
      <w:r>
        <w:fldChar w:fldCharType="begin"/>
      </w:r>
      <w:r>
        <w:instrText xml:space="preserve"> PAGEREF _Toc278197811 \h </w:instrText>
      </w:r>
      <w:r>
        <w:fldChar w:fldCharType="separate"/>
      </w:r>
      <w:r>
        <w:t>16</w:t>
      </w:r>
      <w:r>
        <w:fldChar w:fldCharType="end"/>
      </w:r>
    </w:p>
    <w:p>
      <w:pPr>
        <w:pStyle w:val="TOC8"/>
        <w:rPr>
          <w:sz w:val="24"/>
          <w:szCs w:val="24"/>
        </w:rPr>
      </w:pPr>
      <w:r>
        <w:rPr>
          <w:szCs w:val="24"/>
        </w:rPr>
        <w:t>24.</w:t>
      </w:r>
      <w:r>
        <w:rPr>
          <w:szCs w:val="24"/>
        </w:rPr>
        <w:tab/>
        <w:t>Saving</w:t>
      </w:r>
      <w:r>
        <w:tab/>
      </w:r>
      <w:r>
        <w:fldChar w:fldCharType="begin"/>
      </w:r>
      <w:r>
        <w:instrText xml:space="preserve"> PAGEREF _Toc278197812 \h </w:instrText>
      </w:r>
      <w:r>
        <w:fldChar w:fldCharType="separate"/>
      </w:r>
      <w:r>
        <w:t>16</w:t>
      </w:r>
      <w:r>
        <w:fldChar w:fldCharType="end"/>
      </w:r>
    </w:p>
    <w:p>
      <w:pPr>
        <w:pStyle w:val="TOC8"/>
        <w:rPr>
          <w:sz w:val="24"/>
          <w:szCs w:val="24"/>
        </w:rPr>
      </w:pPr>
      <w:r>
        <w:rPr>
          <w:szCs w:val="24"/>
        </w:rPr>
        <w:t>25.</w:t>
      </w:r>
      <w:r>
        <w:rPr>
          <w:szCs w:val="24"/>
        </w:rPr>
        <w:tab/>
        <w:t>Development to be approved</w:t>
      </w:r>
      <w:r>
        <w:tab/>
      </w:r>
      <w:r>
        <w:fldChar w:fldCharType="begin"/>
      </w:r>
      <w:r>
        <w:instrText xml:space="preserve"> PAGEREF _Toc278197813 \h </w:instrText>
      </w:r>
      <w:r>
        <w:fldChar w:fldCharType="separate"/>
      </w:r>
      <w:r>
        <w:t>17</w:t>
      </w:r>
      <w:r>
        <w:fldChar w:fldCharType="end"/>
      </w:r>
    </w:p>
    <w:p>
      <w:pPr>
        <w:pStyle w:val="TOC8"/>
        <w:rPr>
          <w:sz w:val="24"/>
          <w:szCs w:val="24"/>
        </w:rPr>
      </w:pPr>
      <w:r>
        <w:rPr>
          <w:szCs w:val="24"/>
        </w:rPr>
        <w:t>26.</w:t>
      </w:r>
      <w:r>
        <w:rPr>
          <w:szCs w:val="24"/>
        </w:rPr>
        <w:tab/>
        <w:t>Applications for approval</w:t>
      </w:r>
      <w:r>
        <w:tab/>
      </w:r>
      <w:r>
        <w:fldChar w:fldCharType="begin"/>
      </w:r>
      <w:r>
        <w:instrText xml:space="preserve"> PAGEREF _Toc278197814 \h </w:instrText>
      </w:r>
      <w:r>
        <w:fldChar w:fldCharType="separate"/>
      </w:r>
      <w:r>
        <w:t>17</w:t>
      </w:r>
      <w:r>
        <w:fldChar w:fldCharType="end"/>
      </w:r>
    </w:p>
    <w:p>
      <w:pPr>
        <w:pStyle w:val="TOC8"/>
        <w:rPr>
          <w:sz w:val="24"/>
          <w:szCs w:val="24"/>
        </w:rPr>
      </w:pPr>
      <w:r>
        <w:rPr>
          <w:szCs w:val="24"/>
        </w:rPr>
        <w:t>27.</w:t>
      </w:r>
      <w:r>
        <w:rPr>
          <w:szCs w:val="24"/>
        </w:rPr>
        <w:tab/>
        <w:t>Consultation with public authorities</w:t>
      </w:r>
      <w:r>
        <w:tab/>
      </w:r>
      <w:r>
        <w:fldChar w:fldCharType="begin"/>
      </w:r>
      <w:r>
        <w:instrText xml:space="preserve"> PAGEREF _Toc278197815 \h </w:instrText>
      </w:r>
      <w:r>
        <w:fldChar w:fldCharType="separate"/>
      </w:r>
      <w:r>
        <w:t>18</w:t>
      </w:r>
      <w:r>
        <w:fldChar w:fldCharType="end"/>
      </w:r>
    </w:p>
    <w:p>
      <w:pPr>
        <w:pStyle w:val="TOC8"/>
        <w:rPr>
          <w:sz w:val="24"/>
          <w:szCs w:val="24"/>
        </w:rPr>
      </w:pPr>
      <w:r>
        <w:rPr>
          <w:szCs w:val="24"/>
        </w:rPr>
        <w:t>28.</w:t>
      </w:r>
      <w:r>
        <w:rPr>
          <w:szCs w:val="24"/>
        </w:rPr>
        <w:tab/>
        <w:t>Commission’s decision</w:t>
      </w:r>
      <w:r>
        <w:tab/>
      </w:r>
      <w:r>
        <w:fldChar w:fldCharType="begin"/>
      </w:r>
      <w:r>
        <w:instrText xml:space="preserve"> PAGEREF _Toc278197816 \h </w:instrText>
      </w:r>
      <w:r>
        <w:fldChar w:fldCharType="separate"/>
      </w:r>
      <w:r>
        <w:t>18</w:t>
      </w:r>
      <w:r>
        <w:fldChar w:fldCharType="end"/>
      </w:r>
    </w:p>
    <w:p>
      <w:pPr>
        <w:pStyle w:val="TOC8"/>
        <w:rPr>
          <w:sz w:val="24"/>
          <w:szCs w:val="24"/>
        </w:rPr>
      </w:pPr>
      <w:r>
        <w:rPr>
          <w:szCs w:val="24"/>
        </w:rPr>
        <w:t>29.</w:t>
      </w:r>
      <w:r>
        <w:rPr>
          <w:szCs w:val="24"/>
        </w:rPr>
        <w:tab/>
        <w:t>Review</w:t>
      </w:r>
      <w:r>
        <w:tab/>
      </w:r>
      <w:r>
        <w:fldChar w:fldCharType="begin"/>
      </w:r>
      <w:r>
        <w:instrText xml:space="preserve"> PAGEREF _Toc278197817 \h </w:instrText>
      </w:r>
      <w:r>
        <w:fldChar w:fldCharType="separate"/>
      </w:r>
      <w:r>
        <w:t>19</w:t>
      </w:r>
      <w:r>
        <w:fldChar w:fldCharType="end"/>
      </w:r>
    </w:p>
    <w:p>
      <w:pPr>
        <w:pStyle w:val="TOC8"/>
        <w:rPr>
          <w:sz w:val="24"/>
          <w:szCs w:val="24"/>
        </w:rPr>
      </w:pPr>
      <w:r>
        <w:rPr>
          <w:szCs w:val="24"/>
        </w:rPr>
        <w:t>30.</w:t>
      </w:r>
      <w:r>
        <w:rPr>
          <w:szCs w:val="24"/>
        </w:rPr>
        <w:tab/>
        <w:t>Liability of officers for offence committed by body corporate</w:t>
      </w:r>
      <w:r>
        <w:tab/>
      </w:r>
      <w:r>
        <w:fldChar w:fldCharType="begin"/>
      </w:r>
      <w:r>
        <w:instrText xml:space="preserve"> PAGEREF _Toc278197818 \h </w:instrText>
      </w:r>
      <w:r>
        <w:fldChar w:fldCharType="separate"/>
      </w:r>
      <w:r>
        <w:t>19</w:t>
      </w:r>
      <w:r>
        <w:fldChar w:fldCharType="end"/>
      </w:r>
    </w:p>
    <w:p>
      <w:pPr>
        <w:pStyle w:val="TOC8"/>
        <w:rPr>
          <w:sz w:val="24"/>
          <w:szCs w:val="24"/>
        </w:rPr>
      </w:pPr>
      <w:r>
        <w:rPr>
          <w:szCs w:val="24"/>
        </w:rPr>
        <w:t>31.</w:t>
      </w:r>
      <w:r>
        <w:rPr>
          <w:szCs w:val="24"/>
        </w:rPr>
        <w:tab/>
        <w:t>Power to direct cessation or removal of unlawful development</w:t>
      </w:r>
      <w:r>
        <w:tab/>
      </w:r>
      <w:r>
        <w:fldChar w:fldCharType="begin"/>
      </w:r>
      <w:r>
        <w:instrText xml:space="preserve"> PAGEREF _Toc278197819 \h </w:instrText>
      </w:r>
      <w:r>
        <w:fldChar w:fldCharType="separate"/>
      </w:r>
      <w:r>
        <w:t>20</w:t>
      </w:r>
      <w:r>
        <w:fldChar w:fldCharType="end"/>
      </w:r>
    </w:p>
    <w:p>
      <w:pPr>
        <w:pStyle w:val="TOC8"/>
        <w:rPr>
          <w:sz w:val="24"/>
          <w:szCs w:val="24"/>
        </w:rPr>
      </w:pPr>
      <w:r>
        <w:rPr>
          <w:szCs w:val="24"/>
        </w:rPr>
        <w:t>32.</w:t>
      </w:r>
      <w:r>
        <w:rPr>
          <w:szCs w:val="24"/>
        </w:rPr>
        <w:tab/>
        <w:t>Powers of Minister to ensure that environmental conditions are met</w:t>
      </w:r>
      <w:r>
        <w:tab/>
      </w:r>
      <w:r>
        <w:fldChar w:fldCharType="begin"/>
      </w:r>
      <w:r>
        <w:instrText xml:space="preserve"> PAGEREF _Toc278197820 \h </w:instrText>
      </w:r>
      <w:r>
        <w:fldChar w:fldCharType="separate"/>
      </w:r>
      <w:r>
        <w:t>22</w:t>
      </w:r>
      <w:r>
        <w:fldChar w:fldCharType="end"/>
      </w:r>
    </w:p>
    <w:p>
      <w:pPr>
        <w:pStyle w:val="TOC8"/>
        <w:rPr>
          <w:sz w:val="24"/>
          <w:szCs w:val="24"/>
        </w:rPr>
      </w:pPr>
      <w:r>
        <w:rPr>
          <w:szCs w:val="24"/>
        </w:rPr>
        <w:t>33.</w:t>
      </w:r>
      <w:r>
        <w:rPr>
          <w:szCs w:val="24"/>
        </w:rPr>
        <w:tab/>
        <w:t>Compensation</w:t>
      </w:r>
      <w:r>
        <w:tab/>
      </w:r>
      <w:r>
        <w:fldChar w:fldCharType="begin"/>
      </w:r>
      <w:r>
        <w:instrText xml:space="preserve"> PAGEREF _Toc278197821 \h </w:instrText>
      </w:r>
      <w:r>
        <w:fldChar w:fldCharType="separate"/>
      </w:r>
      <w:r>
        <w:t>23</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34.</w:t>
      </w:r>
      <w:r>
        <w:rPr>
          <w:szCs w:val="24"/>
        </w:rPr>
        <w:tab/>
        <w:t>Modification of other laws</w:t>
      </w:r>
      <w:r>
        <w:tab/>
      </w:r>
      <w:r>
        <w:fldChar w:fldCharType="begin"/>
      </w:r>
      <w:r>
        <w:instrText xml:space="preserve"> PAGEREF _Toc278197823 \h </w:instrText>
      </w:r>
      <w:r>
        <w:fldChar w:fldCharType="separate"/>
      </w:r>
      <w:r>
        <w:t>25</w:t>
      </w:r>
      <w:r>
        <w:fldChar w:fldCharType="end"/>
      </w:r>
    </w:p>
    <w:p>
      <w:pPr>
        <w:pStyle w:val="TOC8"/>
        <w:rPr>
          <w:sz w:val="24"/>
          <w:szCs w:val="24"/>
        </w:rPr>
      </w:pPr>
      <w:r>
        <w:rPr>
          <w:szCs w:val="24"/>
        </w:rPr>
        <w:t>35.</w:t>
      </w:r>
      <w:r>
        <w:rPr>
          <w:szCs w:val="24"/>
        </w:rPr>
        <w:tab/>
        <w:t>Regulations</w:t>
      </w:r>
      <w:r>
        <w:tab/>
      </w:r>
      <w:r>
        <w:fldChar w:fldCharType="begin"/>
      </w:r>
      <w:r>
        <w:instrText xml:space="preserve"> PAGEREF _Toc278197824 \h </w:instrText>
      </w:r>
      <w:r>
        <w:fldChar w:fldCharType="separate"/>
      </w:r>
      <w:r>
        <w:t>26</w:t>
      </w:r>
      <w:r>
        <w:fldChar w:fldCharType="end"/>
      </w:r>
    </w:p>
    <w:p>
      <w:pPr>
        <w:pStyle w:val="TOC8"/>
        <w:rPr>
          <w:sz w:val="24"/>
          <w:szCs w:val="24"/>
        </w:rPr>
      </w:pPr>
      <w:r>
        <w:rPr>
          <w:szCs w:val="24"/>
        </w:rPr>
        <w:t>36.</w:t>
      </w:r>
      <w:r>
        <w:rPr>
          <w:szCs w:val="24"/>
        </w:rPr>
        <w:tab/>
        <w:t>Review of Act</w:t>
      </w:r>
      <w:r>
        <w:tab/>
      </w:r>
      <w:r>
        <w:fldChar w:fldCharType="begin"/>
      </w:r>
      <w:r>
        <w:instrText xml:space="preserve"> PAGEREF _Toc278197825 \h </w:instrText>
      </w:r>
      <w:r>
        <w:fldChar w:fldCharType="separate"/>
      </w:r>
      <w:r>
        <w:t>26</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_Toc278197828 \h </w:instrText>
      </w:r>
      <w:r>
        <w:fldChar w:fldCharType="separate"/>
      </w:r>
      <w:r>
        <w:t>30</w:t>
      </w:r>
      <w:r>
        <w:fldChar w:fldCharType="end"/>
      </w:r>
    </w:p>
    <w:p>
      <w:pPr>
        <w:pStyle w:val="TOC2"/>
        <w:ind w:left="0" w:firstLine="0"/>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r>
        <w:fldChar w:fldCharType="end"/>
      </w:r>
    </w:p>
    <w:p>
      <w:pPr>
        <w:pStyle w:val="WA"/>
      </w:pPr>
      <w:r>
        <w:t>Western Australia</w:t>
      </w:r>
    </w:p>
    <w:p>
      <w:pPr>
        <w:pStyle w:val="NameofActReg"/>
        <w:suppressLineNumbers/>
        <w:spacing w:before="600" w:after="720"/>
      </w:pPr>
      <w:r>
        <w:t>Hope Valley</w:t>
      </w:r>
      <w:r>
        <w:noBreakHyphen/>
        <w:t>Wattleup Redevelopment Act 2000</w:t>
      </w:r>
    </w:p>
    <w:p>
      <w:pPr>
        <w:pStyle w:val="LongTitle"/>
        <w:suppressLineNumbers/>
        <w:spacing w:before="240"/>
        <w:rPr>
          <w:snapToGrid w:val="0"/>
        </w:rPr>
      </w:pPr>
      <w:r>
        <w:rPr>
          <w:snapToGrid w:val="0"/>
        </w:rPr>
        <w:t>An Act to provide for the development and redevelopment of certain land in the local government districts of Cockburn and Kwinana, to confer planning, development control and other functions in respect of that land, and for related purposes.</w:t>
      </w:r>
    </w:p>
    <w:p>
      <w:pPr>
        <w:pStyle w:val="Heading2"/>
      </w:pPr>
      <w:bookmarkStart w:id="2" w:name="_Toc90956918"/>
      <w:bookmarkStart w:id="3" w:name="_Toc90957127"/>
      <w:bookmarkStart w:id="4" w:name="_Toc90957178"/>
      <w:bookmarkStart w:id="5" w:name="_Toc92858166"/>
      <w:bookmarkStart w:id="6" w:name="_Toc122752690"/>
      <w:bookmarkStart w:id="7" w:name="_Toc122752743"/>
      <w:bookmarkStart w:id="8" w:name="_Toc131396461"/>
      <w:bookmarkStart w:id="9" w:name="_Toc137630150"/>
      <w:bookmarkStart w:id="10" w:name="_Toc142796862"/>
      <w:bookmarkStart w:id="11" w:name="_Toc144090463"/>
      <w:bookmarkStart w:id="12" w:name="_Toc144090958"/>
      <w:bookmarkStart w:id="13" w:name="_Toc145732727"/>
      <w:bookmarkStart w:id="14" w:name="_Toc157914173"/>
      <w:bookmarkStart w:id="15" w:name="_Toc270321156"/>
      <w:bookmarkStart w:id="16" w:name="_Toc27819778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66088219"/>
      <w:bookmarkStart w:id="18" w:name="_Toc499994287"/>
      <w:bookmarkStart w:id="19" w:name="_Toc90957128"/>
      <w:bookmarkStart w:id="20" w:name="_Toc122752691"/>
      <w:bookmarkStart w:id="21" w:name="_Toc278197782"/>
      <w:r>
        <w:rPr>
          <w:rStyle w:val="CharSectno"/>
        </w:rPr>
        <w:t>1</w:t>
      </w:r>
      <w:r>
        <w:rPr>
          <w:snapToGrid w:val="0"/>
        </w:rPr>
        <w:t>.</w:t>
      </w:r>
      <w:r>
        <w:rPr>
          <w:snapToGrid w:val="0"/>
        </w:rPr>
        <w:tab/>
        <w:t>Short title</w:t>
      </w:r>
      <w:bookmarkEnd w:id="17"/>
      <w:bookmarkEnd w:id="18"/>
      <w:bookmarkEnd w:id="19"/>
      <w:bookmarkEnd w:id="20"/>
      <w:bookmarkEnd w:id="21"/>
    </w:p>
    <w:p>
      <w:pPr>
        <w:pStyle w:val="Subsection"/>
        <w:rPr>
          <w:snapToGrid w:val="0"/>
        </w:rPr>
      </w:pPr>
      <w:r>
        <w:rPr>
          <w:snapToGrid w:val="0"/>
        </w:rPr>
        <w:tab/>
      </w:r>
      <w:r>
        <w:rPr>
          <w:snapToGrid w:val="0"/>
        </w:rPr>
        <w:tab/>
        <w:t>This Act may be cited as the</w:t>
      </w:r>
      <w:r>
        <w:rPr>
          <w:i/>
          <w:snapToGrid w:val="0"/>
        </w:rPr>
        <w:t xml:space="preserve"> Hope Valley</w:t>
      </w:r>
      <w:r>
        <w:rPr>
          <w:i/>
          <w:snapToGrid w:val="0"/>
        </w:rPr>
        <w:noBreakHyphen/>
        <w:t>Wattleup Redevelopment Act 2000</w:t>
      </w:r>
      <w:r>
        <w:rPr>
          <w:i/>
          <w:snapToGrid w:val="0"/>
          <w:vertAlign w:val="superscript"/>
        </w:rPr>
        <w:t> </w:t>
      </w:r>
      <w:r>
        <w:rPr>
          <w:iCs/>
          <w:snapToGrid w:val="0"/>
          <w:vertAlign w:val="superscript"/>
        </w:rPr>
        <w:t>1</w:t>
      </w:r>
      <w:r>
        <w:rPr>
          <w:i/>
          <w:snapToGrid w:val="0"/>
        </w:rPr>
        <w:t>.</w:t>
      </w:r>
    </w:p>
    <w:p>
      <w:pPr>
        <w:pStyle w:val="Heading5"/>
        <w:rPr>
          <w:snapToGrid w:val="0"/>
        </w:rPr>
      </w:pPr>
      <w:bookmarkStart w:id="22" w:name="_Toc466088220"/>
      <w:bookmarkStart w:id="23" w:name="_Toc499994288"/>
      <w:bookmarkStart w:id="24" w:name="_Toc90957129"/>
      <w:bookmarkStart w:id="25" w:name="_Toc122752692"/>
      <w:bookmarkStart w:id="26" w:name="_Toc278197783"/>
      <w:r>
        <w:rPr>
          <w:rStyle w:val="CharSectno"/>
        </w:rPr>
        <w:t>2</w:t>
      </w:r>
      <w:r>
        <w:rPr>
          <w:snapToGrid w:val="0"/>
        </w:rPr>
        <w:t>.</w:t>
      </w:r>
      <w:r>
        <w:rPr>
          <w:snapToGrid w:val="0"/>
        </w:rPr>
        <w:tab/>
        <w:t>Commencement</w:t>
      </w:r>
      <w:bookmarkEnd w:id="22"/>
      <w:bookmarkEnd w:id="23"/>
      <w:bookmarkEnd w:id="24"/>
      <w:bookmarkEnd w:id="25"/>
      <w:bookmarkEnd w:id="26"/>
    </w:p>
    <w:p>
      <w:pPr>
        <w:pStyle w:val="Subsection"/>
      </w:pPr>
      <w:r>
        <w:tab/>
        <w:t>(1)</w:t>
      </w:r>
      <w:r>
        <w:tab/>
        <w:t>Subject to this section, this Act comes into operation on a day fixed by proclamation</w:t>
      </w:r>
      <w:r>
        <w:rPr>
          <w:vertAlign w:val="superscript"/>
        </w:rPr>
        <w:t> 1</w:t>
      </w:r>
      <w:r>
        <w:t>.</w:t>
      </w:r>
    </w:p>
    <w:p>
      <w:pPr>
        <w:pStyle w:val="Subsection"/>
      </w:pPr>
      <w:r>
        <w:tab/>
        <w:t>(2)</w:t>
      </w:r>
      <w:r>
        <w:tab/>
        <w:t>The day fixed under subsection (1) is to be after the day that the Minister approves the FRIARS Final Strategy document under section 3(2).</w:t>
      </w:r>
    </w:p>
    <w:p>
      <w:pPr>
        <w:pStyle w:val="Subsection"/>
      </w:pPr>
      <w:r>
        <w:tab/>
        <w:t>(3)</w:t>
      </w:r>
      <w:r>
        <w:tab/>
        <w:t>Section 3(2) comes into operation on the day on which this Act receives the Royal Assent</w:t>
      </w:r>
      <w:r>
        <w:rPr>
          <w:vertAlign w:val="superscript"/>
        </w:rPr>
        <w:t> 1</w:t>
      </w:r>
      <w:r>
        <w:t>.</w:t>
      </w:r>
    </w:p>
    <w:p>
      <w:pPr>
        <w:pStyle w:val="Heading5"/>
      </w:pPr>
      <w:bookmarkStart w:id="27" w:name="_Toc466088221"/>
      <w:bookmarkStart w:id="28" w:name="_Toc499994289"/>
      <w:bookmarkStart w:id="29" w:name="_Toc90957130"/>
      <w:bookmarkStart w:id="30" w:name="_Toc122752693"/>
      <w:bookmarkStart w:id="31" w:name="_Toc278197784"/>
      <w:r>
        <w:rPr>
          <w:rStyle w:val="CharSectno"/>
        </w:rPr>
        <w:t>3</w:t>
      </w:r>
      <w:r>
        <w:t>.</w:t>
      </w:r>
      <w:r>
        <w:tab/>
        <w:t>Interpretation</w:t>
      </w:r>
      <w:bookmarkEnd w:id="27"/>
      <w:bookmarkEnd w:id="28"/>
      <w:bookmarkEnd w:id="29"/>
      <w:bookmarkEnd w:id="30"/>
      <w:bookmarkEnd w:id="31"/>
    </w:p>
    <w:p>
      <w:pPr>
        <w:pStyle w:val="Subsection"/>
      </w:pPr>
      <w:r>
        <w:tab/>
        <w:t>(1)</w:t>
      </w:r>
      <w:r>
        <w:tab/>
        <w:t xml:space="preserve">In this Act, unless the contrary intention appears — </w:t>
      </w:r>
    </w:p>
    <w:p>
      <w:pPr>
        <w:pStyle w:val="Defstart"/>
      </w:pPr>
      <w:r>
        <w:tab/>
      </w:r>
      <w:r>
        <w:rPr>
          <w:rStyle w:val="CharDefText"/>
        </w:rPr>
        <w:t>Authority</w:t>
      </w:r>
      <w:r>
        <w:t xml:space="preserve"> means the Western Australian Land Authority established by section 5(1) of the </w:t>
      </w:r>
      <w:r>
        <w:rPr>
          <w:i/>
        </w:rPr>
        <w:t>Western Australian Land Authority Act 1992</w:t>
      </w:r>
      <w:r>
        <w:t>;</w:t>
      </w:r>
    </w:p>
    <w:p>
      <w:pPr>
        <w:pStyle w:val="Defstart"/>
      </w:pPr>
      <w:r>
        <w:tab/>
      </w:r>
      <w:r>
        <w:rPr>
          <w:rStyle w:val="CharDefText"/>
        </w:rPr>
        <w:t>commencement of this Act</w:t>
      </w:r>
      <w:r>
        <w:t xml:space="preserve"> means the day fixed by proclamation under section 2(1);</w:t>
      </w:r>
    </w:p>
    <w:p>
      <w:pPr>
        <w:pStyle w:val="Defstart"/>
      </w:pPr>
      <w:r>
        <w:tab/>
      </w:r>
      <w:r>
        <w:rPr>
          <w:rStyle w:val="CharDefText"/>
        </w:rPr>
        <w:t>Commission</w:t>
      </w:r>
      <w:r>
        <w:t xml:space="preserve"> means the Western Australian Planning Commission established under the </w:t>
      </w:r>
      <w:r>
        <w:rPr>
          <w:i/>
        </w:rPr>
        <w:t>Planning and Development Act 2005</w:t>
      </w:r>
      <w:r>
        <w:t>;</w:t>
      </w:r>
    </w:p>
    <w:p>
      <w:pPr>
        <w:pStyle w:val="Defstart"/>
      </w:pPr>
      <w:r>
        <w:tab/>
      </w:r>
      <w:r>
        <w:rPr>
          <w:rStyle w:val="CharDefText"/>
        </w:rPr>
        <w:t>development</w:t>
      </w:r>
      <w:r>
        <w:t xml:space="preserve"> has the same meaning as it has in the</w:t>
      </w:r>
      <w:r>
        <w:rPr>
          <w:i/>
        </w:rPr>
        <w:t xml:space="preserve"> Planning and Development Act 2005</w:t>
      </w:r>
      <w:r>
        <w:t>, but does not include any work, act or activity declared by regulations made under section 35 not to constitute development;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FRIARS Final Strategy document</w:t>
      </w:r>
      <w:r>
        <w:t xml:space="preserve"> means the document approved in writing by the Minister under subsection (2);</w:t>
      </w:r>
    </w:p>
    <w:p>
      <w:pPr>
        <w:pStyle w:val="Defstart"/>
      </w:pPr>
      <w:r>
        <w:tab/>
      </w:r>
      <w:r>
        <w:rPr>
          <w:rStyle w:val="CharDefText"/>
        </w:rPr>
        <w:t>master plan</w:t>
      </w:r>
      <w:r>
        <w:t xml:space="preserve"> means a master plan in force under Part 3;</w:t>
      </w:r>
    </w:p>
    <w:p>
      <w:pPr>
        <w:pStyle w:val="Defstart"/>
      </w:pPr>
      <w:r>
        <w:tab/>
      </w:r>
      <w:r>
        <w:rPr>
          <w:rStyle w:val="CharDefText"/>
        </w:rPr>
        <w:t>Metropolitan Region Scheme</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spacing w:val="-2"/>
        </w:rPr>
      </w:pPr>
      <w:r>
        <w:tab/>
      </w:r>
      <w:r>
        <w:rPr>
          <w:rStyle w:val="CharDefText"/>
          <w:spacing w:val="-2"/>
        </w:rPr>
        <w:t>public authority</w:t>
      </w:r>
      <w:r>
        <w:rPr>
          <w:spacing w:val="-2"/>
        </w:rPr>
        <w:t xml:space="preserve"> means a Minister of the Crown in right of the State, Government department, State trading concern, State instrumentality, State public utility and 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Subsection"/>
      </w:pPr>
      <w:r>
        <w:tab/>
        <w:t>(2)</w:t>
      </w:r>
      <w:r>
        <w:tab/>
        <w:t xml:space="preserve">The Minister is to approve in writing a document as being the Fremantle Rockingham Industrial Area Regional Strategy Final Strategy document (the </w:t>
      </w:r>
      <w:r>
        <w:rPr>
          <w:rStyle w:val="CharDefText"/>
        </w:rPr>
        <w:t>FRIARS Final Strategy document</w:t>
      </w:r>
      <w:r>
        <w:t>) for the purposes of this Act.</w:t>
      </w:r>
    </w:p>
    <w:p>
      <w:pPr>
        <w:pStyle w:val="Footnotesection"/>
      </w:pPr>
      <w:r>
        <w:tab/>
        <w:t>[Section 3 amended by No. 38 of 2005 s. 15.]</w:t>
      </w:r>
    </w:p>
    <w:p>
      <w:pPr>
        <w:pStyle w:val="Heading5"/>
      </w:pPr>
      <w:bookmarkStart w:id="32" w:name="_Toc466088222"/>
      <w:bookmarkStart w:id="33" w:name="_Toc499994290"/>
      <w:bookmarkStart w:id="34" w:name="_Toc90957131"/>
      <w:bookmarkStart w:id="35" w:name="_Toc122752694"/>
      <w:bookmarkStart w:id="36" w:name="_Toc278197785"/>
      <w:r>
        <w:rPr>
          <w:rStyle w:val="CharSectno"/>
        </w:rPr>
        <w:t>4</w:t>
      </w:r>
      <w:r>
        <w:t>.</w:t>
      </w:r>
      <w:r>
        <w:tab/>
        <w:t>Redevelopment area defined</w:t>
      </w:r>
      <w:bookmarkEnd w:id="32"/>
      <w:bookmarkEnd w:id="33"/>
      <w:bookmarkEnd w:id="34"/>
      <w:bookmarkEnd w:id="35"/>
      <w:bookmarkEnd w:id="36"/>
    </w:p>
    <w:p>
      <w:pPr>
        <w:pStyle w:val="Subsection"/>
      </w:pPr>
      <w:bookmarkStart w:id="37" w:name="_Hlt476469843"/>
      <w:bookmarkStart w:id="38" w:name="_Hlt477754048"/>
      <w:bookmarkEnd w:id="37"/>
      <w:bookmarkEnd w:id="38"/>
      <w:r>
        <w:tab/>
        <w:t>(1)</w:t>
      </w:r>
      <w:r>
        <w:tab/>
        <w:t>The redevelopment area for the purposes of this Act is the area referred to in Schedule 1.</w:t>
      </w:r>
    </w:p>
    <w:p>
      <w:pPr>
        <w:pStyle w:val="Subsection"/>
      </w:pPr>
      <w:r>
        <w:tab/>
        <w:t>(2)</w:t>
      </w:r>
      <w:r>
        <w:tab/>
        <w:t>In any proceedings, a plan purporting to be a copy of a plan referred to in Schedule 1 showing the boundaries or any boundary of the redevelopment area is evidence of those boundaries or that boundary.</w:t>
      </w:r>
    </w:p>
    <w:p>
      <w:pPr>
        <w:pStyle w:val="Heading2"/>
      </w:pPr>
      <w:bookmarkStart w:id="39" w:name="_Toc90956923"/>
      <w:bookmarkStart w:id="40" w:name="_Toc90957132"/>
      <w:bookmarkStart w:id="41" w:name="_Toc90957183"/>
      <w:bookmarkStart w:id="42" w:name="_Toc92858171"/>
      <w:bookmarkStart w:id="43" w:name="_Toc122752695"/>
      <w:bookmarkStart w:id="44" w:name="_Toc122752748"/>
      <w:bookmarkStart w:id="45" w:name="_Toc131396466"/>
      <w:bookmarkStart w:id="46" w:name="_Toc137630155"/>
      <w:bookmarkStart w:id="47" w:name="_Toc142796867"/>
      <w:bookmarkStart w:id="48" w:name="_Toc144090468"/>
      <w:bookmarkStart w:id="49" w:name="_Toc144090963"/>
      <w:bookmarkStart w:id="50" w:name="_Toc145732732"/>
      <w:bookmarkStart w:id="51" w:name="_Toc157914178"/>
      <w:bookmarkStart w:id="52" w:name="_Toc270321161"/>
      <w:bookmarkStart w:id="53" w:name="_Toc278197786"/>
      <w:r>
        <w:rPr>
          <w:rStyle w:val="CharPartNo"/>
        </w:rPr>
        <w:t>Part 2</w:t>
      </w:r>
      <w:r>
        <w:rPr>
          <w:rStyle w:val="CharDivNo"/>
        </w:rPr>
        <w:t xml:space="preserve"> </w:t>
      </w:r>
      <w:r>
        <w:t>—</w:t>
      </w:r>
      <w:r>
        <w:rPr>
          <w:rStyle w:val="CharDivText"/>
        </w:rPr>
        <w:t xml:space="preserve"> </w:t>
      </w:r>
      <w:r>
        <w:rPr>
          <w:rStyle w:val="CharPartText"/>
        </w:rPr>
        <w:t>Functions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4" w:name="_Toc90957133"/>
      <w:bookmarkStart w:id="55" w:name="_Toc122752696"/>
      <w:bookmarkStart w:id="56" w:name="_Toc278197787"/>
      <w:r>
        <w:rPr>
          <w:rStyle w:val="CharSectno"/>
        </w:rPr>
        <w:t>5</w:t>
      </w:r>
      <w:r>
        <w:t>.</w:t>
      </w:r>
      <w:r>
        <w:tab/>
        <w:t>Functions of the Authority under this Act</w:t>
      </w:r>
      <w:bookmarkEnd w:id="54"/>
      <w:bookmarkEnd w:id="55"/>
      <w:bookmarkEnd w:id="56"/>
    </w:p>
    <w:p>
      <w:pPr>
        <w:pStyle w:val="Subsection"/>
      </w:pPr>
      <w:r>
        <w:tab/>
        <w:t>(1)</w:t>
      </w:r>
      <w:r>
        <w:tab/>
        <w:t>The functions of the Authority under this Act are to plan, undertake, promote and coordinate the development and redevelopment of land in the redevelopment area.</w:t>
      </w:r>
    </w:p>
    <w:p>
      <w:pPr>
        <w:pStyle w:val="Subsection"/>
      </w:pPr>
      <w:r>
        <w:tab/>
        <w:t>(2)</w:t>
      </w:r>
      <w:r>
        <w:tab/>
        <w:t>For the purpose set out in subsection (1), the Authority is to prepare and keep under review the master plan for the redevelopment area in accordance with Part 3.</w:t>
      </w:r>
    </w:p>
    <w:p>
      <w:pPr>
        <w:pStyle w:val="Subsection"/>
      </w:pPr>
      <w:r>
        <w:tab/>
        <w:t>(3)</w:t>
      </w:r>
      <w:r>
        <w:tab/>
        <w:t xml:space="preserve">The Authority may exercise any of its powers under the </w:t>
      </w:r>
      <w:r>
        <w:rPr>
          <w:i/>
        </w:rPr>
        <w:t>Western Australian Land Authority Act 1992</w:t>
      </w:r>
      <w:r>
        <w:t xml:space="preserve"> for the purpose of performing a function conferred on it under this Act.</w:t>
      </w:r>
    </w:p>
    <w:p>
      <w:pPr>
        <w:pStyle w:val="Heading5"/>
      </w:pPr>
      <w:bookmarkStart w:id="57" w:name="_Toc90957134"/>
      <w:bookmarkStart w:id="58" w:name="_Toc122752697"/>
      <w:bookmarkStart w:id="59" w:name="_Toc278197788"/>
      <w:r>
        <w:rPr>
          <w:rStyle w:val="CharSectno"/>
        </w:rPr>
        <w:t>6</w:t>
      </w:r>
      <w:r>
        <w:t>.</w:t>
      </w:r>
      <w:r>
        <w:tab/>
        <w:t>Compulsory taking of land</w:t>
      </w:r>
      <w:bookmarkEnd w:id="57"/>
      <w:bookmarkEnd w:id="58"/>
      <w:bookmarkEnd w:id="59"/>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r>
        <w:t>.</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sections 187, 188, 189, 190, and 191 of the </w:t>
      </w:r>
      <w:r>
        <w:rPr>
          <w:i/>
        </w:rPr>
        <w:t>Land Administration Act 1997</w:t>
      </w:r>
      <w:r>
        <w:t xml:space="preserve"> do not apply to land in the redevelopment area taken or acquired under the </w:t>
      </w:r>
      <w:r>
        <w:rPr>
          <w:i/>
        </w:rPr>
        <w:t>Public Works Act 1902</w:t>
      </w:r>
      <w:r>
        <w:t xml:space="preserve"> before the commencement of this Act.</w:t>
      </w:r>
    </w:p>
    <w:p>
      <w:pPr>
        <w:pStyle w:val="Subsection"/>
      </w:pPr>
      <w:r>
        <w:tab/>
        <w:t>(3)</w:t>
      </w:r>
      <w:r>
        <w:tab/>
        <w:t>If land referred to in subsection (2) is not required for the public work for which it was taken or acquired, the land may be held or used for some other purpose authorised by this Act.</w:t>
      </w:r>
    </w:p>
    <w:p>
      <w:pPr>
        <w:pStyle w:val="Heading5"/>
      </w:pPr>
      <w:bookmarkStart w:id="60" w:name="_Toc90957135"/>
      <w:bookmarkStart w:id="61" w:name="_Toc122752698"/>
      <w:bookmarkStart w:id="62" w:name="_Toc278197789"/>
      <w:r>
        <w:rPr>
          <w:rStyle w:val="CharSectno"/>
        </w:rPr>
        <w:t>7</w:t>
      </w:r>
      <w:r>
        <w:t>.</w:t>
      </w:r>
      <w:r>
        <w:tab/>
        <w:t>Power of Governor to direct transfer to Authority</w:t>
      </w:r>
      <w:bookmarkEnd w:id="60"/>
      <w:bookmarkEnd w:id="61"/>
      <w:bookmarkEnd w:id="62"/>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63" w:name="_Toc90957136"/>
      <w:bookmarkStart w:id="64" w:name="_Toc122752699"/>
      <w:bookmarkStart w:id="65" w:name="_Toc278197790"/>
      <w:r>
        <w:rPr>
          <w:rStyle w:val="CharSectno"/>
        </w:rPr>
        <w:t>8</w:t>
      </w:r>
      <w:r>
        <w:t>.</w:t>
      </w:r>
      <w:r>
        <w:tab/>
        <w:t>Temporary closure of streets</w:t>
      </w:r>
      <w:bookmarkEnd w:id="63"/>
      <w:bookmarkEnd w:id="64"/>
      <w:bookmarkEnd w:id="65"/>
    </w:p>
    <w:p>
      <w:pPr>
        <w:pStyle w:val="Subsection"/>
      </w:pPr>
      <w:r>
        <w:tab/>
        <w:t>(1)</w:t>
      </w:r>
      <w:r>
        <w:tab/>
        <w:t xml:space="preserve">Despite any provision of the </w:t>
      </w:r>
      <w:r>
        <w:rPr>
          <w:i/>
        </w:rPr>
        <w:t>Local Government Act 1995</w:t>
      </w:r>
      <w:r>
        <w:t>, the Commission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pPr>
      <w:r>
        <w:tab/>
      </w:r>
      <w:r>
        <w:tab/>
        <w:t>if, and for the period that, the Commission considers that the closure or restriction is necessary to facilitate development in accordance with this Act.</w:t>
      </w:r>
    </w:p>
    <w:p>
      <w:pPr>
        <w:pStyle w:val="Subsection"/>
      </w:pPr>
      <w:r>
        <w:tab/>
        <w:t>(2)</w:t>
      </w:r>
      <w:r>
        <w:tab/>
        <w:t>A street may be closed for more than 3 days under subsection (1) only if the Commission has given at least 14 days’ notice of the closure to the chief executive officers of the City of Cockburn or the Town of Kwinana, or both, as is relevant.</w:t>
      </w:r>
    </w:p>
    <w:p>
      <w:pPr>
        <w:pStyle w:val="Subsection"/>
      </w:pPr>
      <w:r>
        <w:tab/>
        <w:t>(3)</w:t>
      </w:r>
      <w:r>
        <w:tab/>
        <w:t xml:space="preserve">For the avoidance of doubt, the Authority is a public authority to whom the Commission can, under section 16 of the </w:t>
      </w:r>
      <w:r>
        <w:rPr>
          <w:i/>
        </w:rPr>
        <w:t>Planning and Development Act 2005</w:t>
      </w:r>
      <w:r>
        <w:t>, delegate a function conferred under this section.</w:t>
      </w:r>
    </w:p>
    <w:p>
      <w:pPr>
        <w:pStyle w:val="Subsection"/>
        <w:keepNext/>
      </w:pPr>
      <w:r>
        <w:tab/>
        <w:t>(4)</w:t>
      </w:r>
      <w:r>
        <w:tab/>
        <w:t>In this section and section 9 —</w:t>
      </w:r>
    </w:p>
    <w:p>
      <w:pPr>
        <w:pStyle w:val="Defstart"/>
      </w:pPr>
      <w:r>
        <w:tab/>
      </w:r>
      <w:r>
        <w:rPr>
          <w:rStyle w:val="CharDefText"/>
        </w:rPr>
        <w:t>street</w:t>
      </w:r>
      <w:r>
        <w:t xml:space="preserve"> means a thoroughfare as defined in the </w:t>
      </w:r>
      <w:r>
        <w:rPr>
          <w:i/>
        </w:rPr>
        <w:t>Local Government Act 1995</w:t>
      </w:r>
      <w:r>
        <w:t>.</w:t>
      </w:r>
    </w:p>
    <w:p>
      <w:pPr>
        <w:pStyle w:val="Footnotesection"/>
      </w:pPr>
      <w:r>
        <w:tab/>
        <w:t>[Section 8 amended by No. 38 of 2005 s. 15.]</w:t>
      </w:r>
    </w:p>
    <w:p>
      <w:pPr>
        <w:pStyle w:val="Heading5"/>
      </w:pPr>
      <w:bookmarkStart w:id="66" w:name="_Toc90957137"/>
      <w:bookmarkStart w:id="67" w:name="_Toc122752700"/>
      <w:bookmarkStart w:id="68" w:name="_Toc278197791"/>
      <w:r>
        <w:rPr>
          <w:rStyle w:val="CharSectno"/>
        </w:rPr>
        <w:t>9</w:t>
      </w:r>
      <w:r>
        <w:t>.</w:t>
      </w:r>
      <w:r>
        <w:tab/>
        <w:t>Permanent closure of streets</w:t>
      </w:r>
      <w:bookmarkEnd w:id="66"/>
      <w:bookmarkEnd w:id="67"/>
      <w:bookmarkEnd w:id="68"/>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bCs/>
        </w:rPr>
        <w:t>“</w:t>
      </w:r>
      <w:r>
        <w:rPr>
          <w:b/>
        </w:rPr>
        <w:t>local government</w:t>
      </w:r>
      <w:r>
        <w:rPr>
          <w:b/>
          <w:bCs/>
        </w:rPr>
        <w:t>”</w:t>
      </w:r>
      <w:r>
        <w:t xml:space="preserve"> in that section and in those regulations —</w:t>
      </w:r>
    </w:p>
    <w:p>
      <w:pPr>
        <w:pStyle w:val="Indenta"/>
      </w:pPr>
      <w:r>
        <w:tab/>
        <w:t>(a)</w:t>
      </w:r>
      <w:r>
        <w:tab/>
        <w:t>includes the Commission; and</w:t>
      </w:r>
    </w:p>
    <w:p>
      <w:pPr>
        <w:pStyle w:val="Indenta"/>
      </w:pPr>
      <w:r>
        <w:tab/>
        <w:t>(b)</w:t>
      </w:r>
      <w:r>
        <w:tab/>
        <w:t>does not include the City of Cockburn or the Town of Kwinana, or both, as is relevant,</w:t>
      </w:r>
    </w:p>
    <w:p>
      <w:pPr>
        <w:pStyle w:val="Subsection"/>
      </w:pPr>
      <w:r>
        <w:tab/>
      </w:r>
      <w:r>
        <w:tab/>
        <w:t>in relation to any such street.</w:t>
      </w:r>
    </w:p>
    <w:p>
      <w:pPr>
        <w:pStyle w:val="Heading2"/>
      </w:pPr>
      <w:bookmarkStart w:id="69" w:name="_Toc90956929"/>
      <w:bookmarkStart w:id="70" w:name="_Toc90957138"/>
      <w:bookmarkStart w:id="71" w:name="_Toc90957189"/>
      <w:bookmarkStart w:id="72" w:name="_Toc92858177"/>
      <w:bookmarkStart w:id="73" w:name="_Toc122752701"/>
      <w:bookmarkStart w:id="74" w:name="_Toc122752754"/>
      <w:bookmarkStart w:id="75" w:name="_Toc131396472"/>
      <w:bookmarkStart w:id="76" w:name="_Toc137630161"/>
      <w:bookmarkStart w:id="77" w:name="_Toc142796873"/>
      <w:bookmarkStart w:id="78" w:name="_Toc144090474"/>
      <w:bookmarkStart w:id="79" w:name="_Toc144090969"/>
      <w:bookmarkStart w:id="80" w:name="_Toc145732738"/>
      <w:bookmarkStart w:id="81" w:name="_Toc157914184"/>
      <w:bookmarkStart w:id="82" w:name="_Toc270321167"/>
      <w:bookmarkStart w:id="83" w:name="_Toc278197792"/>
      <w:r>
        <w:rPr>
          <w:rStyle w:val="CharPartNo"/>
        </w:rPr>
        <w:t>Part 3</w:t>
      </w:r>
      <w:r>
        <w:t xml:space="preserve"> — </w:t>
      </w:r>
      <w:r>
        <w:rPr>
          <w:rStyle w:val="CharPartText"/>
        </w:rPr>
        <w:t>Master plan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3"/>
      </w:pPr>
      <w:bookmarkStart w:id="84" w:name="_Toc90956930"/>
      <w:bookmarkStart w:id="85" w:name="_Toc90957139"/>
      <w:bookmarkStart w:id="86" w:name="_Toc90957190"/>
      <w:bookmarkStart w:id="87" w:name="_Toc92858178"/>
      <w:bookmarkStart w:id="88" w:name="_Toc122752702"/>
      <w:bookmarkStart w:id="89" w:name="_Toc122752755"/>
      <w:bookmarkStart w:id="90" w:name="_Toc131396473"/>
      <w:bookmarkStart w:id="91" w:name="_Toc137630162"/>
      <w:bookmarkStart w:id="92" w:name="_Toc142796874"/>
      <w:bookmarkStart w:id="93" w:name="_Toc144090475"/>
      <w:bookmarkStart w:id="94" w:name="_Toc144090970"/>
      <w:bookmarkStart w:id="95" w:name="_Toc145732739"/>
      <w:bookmarkStart w:id="96" w:name="_Toc157914185"/>
      <w:bookmarkStart w:id="97" w:name="_Toc270321168"/>
      <w:bookmarkStart w:id="98" w:name="_Toc278197793"/>
      <w:r>
        <w:rPr>
          <w:rStyle w:val="CharDivNo"/>
        </w:rPr>
        <w:t>Division 1</w:t>
      </w:r>
      <w:r>
        <w:t xml:space="preserve"> — </w:t>
      </w:r>
      <w:r>
        <w:rPr>
          <w:rStyle w:val="CharDivText"/>
        </w:rPr>
        <w:t>General</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Hlt476462137"/>
      <w:bookmarkStart w:id="100" w:name="_Toc90957140"/>
      <w:bookmarkStart w:id="101" w:name="_Toc122752703"/>
      <w:bookmarkStart w:id="102" w:name="_Toc278197794"/>
      <w:bookmarkEnd w:id="99"/>
      <w:r>
        <w:rPr>
          <w:rStyle w:val="CharSectno"/>
        </w:rPr>
        <w:t>10</w:t>
      </w:r>
      <w:r>
        <w:t>.</w:t>
      </w:r>
      <w:r>
        <w:tab/>
        <w:t>Authority to comply with master plan or FRIARS Final Strategy document</w:t>
      </w:r>
      <w:bookmarkEnd w:id="100"/>
      <w:bookmarkEnd w:id="101"/>
      <w:bookmarkEnd w:id="102"/>
    </w:p>
    <w:p>
      <w:pPr>
        <w:pStyle w:val="Subsection"/>
      </w:pPr>
      <w:r>
        <w:tab/>
        <w:t>(1)</w:t>
      </w:r>
      <w:r>
        <w:tab/>
        <w:t xml:space="preserve">The Authority is to perform its functions under this Act in accordance with — </w:t>
      </w:r>
    </w:p>
    <w:p>
      <w:pPr>
        <w:pStyle w:val="Indenta"/>
      </w:pPr>
      <w:r>
        <w:tab/>
        <w:t>(a)</w:t>
      </w:r>
      <w:r>
        <w:tab/>
        <w:t>any master plan;</w:t>
      </w:r>
    </w:p>
    <w:p>
      <w:pPr>
        <w:pStyle w:val="Indenta"/>
      </w:pPr>
      <w:r>
        <w:tab/>
        <w:t>(b)</w:t>
      </w:r>
      <w:r>
        <w:tab/>
        <w:t>the FRIARS Final Strategy document in respect of any part of the redevelopment area to which a master plan does not apply.</w:t>
      </w:r>
    </w:p>
    <w:p>
      <w:pPr>
        <w:pStyle w:val="Subsection"/>
      </w:pPr>
      <w:r>
        <w:tab/>
        <w:t>(2)</w:t>
      </w:r>
      <w:r>
        <w:tab/>
        <w:t>A copy of the master plan is to be kept in the offices of the Authority and is to be available for inspection by the public during office hours free of charge.</w:t>
      </w:r>
    </w:p>
    <w:p>
      <w:pPr>
        <w:pStyle w:val="Heading3"/>
      </w:pPr>
      <w:bookmarkStart w:id="103" w:name="_Toc90956932"/>
      <w:bookmarkStart w:id="104" w:name="_Toc90957141"/>
      <w:bookmarkStart w:id="105" w:name="_Toc90957192"/>
      <w:bookmarkStart w:id="106" w:name="_Toc92858180"/>
      <w:bookmarkStart w:id="107" w:name="_Toc122752704"/>
      <w:bookmarkStart w:id="108" w:name="_Toc122752757"/>
      <w:bookmarkStart w:id="109" w:name="_Toc131396475"/>
      <w:bookmarkStart w:id="110" w:name="_Toc137630164"/>
      <w:bookmarkStart w:id="111" w:name="_Toc142796876"/>
      <w:bookmarkStart w:id="112" w:name="_Toc144090477"/>
      <w:bookmarkStart w:id="113" w:name="_Toc144090972"/>
      <w:bookmarkStart w:id="114" w:name="_Toc145732741"/>
      <w:bookmarkStart w:id="115" w:name="_Toc157914187"/>
      <w:bookmarkStart w:id="116" w:name="_Toc270321170"/>
      <w:bookmarkStart w:id="117" w:name="_Toc278197795"/>
      <w:r>
        <w:rPr>
          <w:rStyle w:val="CharDivNo"/>
        </w:rPr>
        <w:t>Division 2</w:t>
      </w:r>
      <w:r>
        <w:t xml:space="preserve"> — </w:t>
      </w:r>
      <w:r>
        <w:rPr>
          <w:rStyle w:val="CharDivText"/>
        </w:rPr>
        <w:t>Preparation and approval of master plan</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Hlt475423247"/>
      <w:bookmarkStart w:id="119" w:name="_Toc90957142"/>
      <w:bookmarkStart w:id="120" w:name="_Toc122752705"/>
      <w:bookmarkStart w:id="121" w:name="_Toc278197796"/>
      <w:bookmarkEnd w:id="118"/>
      <w:r>
        <w:rPr>
          <w:rStyle w:val="CharSectno"/>
        </w:rPr>
        <w:t>11</w:t>
      </w:r>
      <w:r>
        <w:t>.</w:t>
      </w:r>
      <w:r>
        <w:tab/>
        <w:t>Contents of master plan</w:t>
      </w:r>
      <w:bookmarkEnd w:id="119"/>
      <w:bookmarkEnd w:id="120"/>
      <w:bookmarkEnd w:id="121"/>
      <w:r>
        <w:t xml:space="preserve"> </w:t>
      </w:r>
    </w:p>
    <w:p>
      <w:pPr>
        <w:pStyle w:val="Subsection"/>
      </w:pPr>
      <w:r>
        <w:tab/>
      </w:r>
      <w:r>
        <w:tab/>
        <w:t xml:space="preserve">A master plan to be prepared and submitted under this Division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r>
        <w:tab/>
        <w:t>[Section 11 amended by No. 38 of 2005 s. 15.]</w:t>
      </w:r>
    </w:p>
    <w:p>
      <w:pPr>
        <w:pStyle w:val="Heading5"/>
      </w:pPr>
      <w:bookmarkStart w:id="122" w:name="_Toc90957143"/>
      <w:bookmarkStart w:id="123" w:name="_Toc122752706"/>
      <w:bookmarkStart w:id="124" w:name="_Toc278197797"/>
      <w:r>
        <w:rPr>
          <w:rStyle w:val="CharSectno"/>
        </w:rPr>
        <w:t>12</w:t>
      </w:r>
      <w:r>
        <w:t>.</w:t>
      </w:r>
      <w:r>
        <w:tab/>
        <w:t>Proposed master plan</w:t>
      </w:r>
      <w:bookmarkEnd w:id="122"/>
      <w:bookmarkEnd w:id="123"/>
      <w:bookmarkEnd w:id="124"/>
    </w:p>
    <w:p>
      <w:pPr>
        <w:pStyle w:val="Subsection"/>
      </w:pPr>
      <w:r>
        <w:tab/>
        <w:t>(1)</w:t>
      </w:r>
      <w:r>
        <w:tab/>
        <w:t>The Authority is to submit a proposed master plan to the Commission as soon as is practicable after the commencement of this Act, and in any case, not later than 4 years from that commencement.</w:t>
      </w:r>
    </w:p>
    <w:p>
      <w:pPr>
        <w:pStyle w:val="Subsection"/>
        <w:keepNext/>
      </w:pPr>
      <w:r>
        <w:tab/>
        <w:t>(2)</w:t>
      </w:r>
      <w:r>
        <w:tab/>
        <w:t xml:space="preserve">The Authority may, under subsection (1), submit a proposed master plan in 2 or more stages, each one being applicable to a part of the redevelopment area, and if it does so — </w:t>
      </w:r>
    </w:p>
    <w:p>
      <w:pPr>
        <w:pStyle w:val="Indenta"/>
      </w:pPr>
      <w:r>
        <w:tab/>
        <w:t>(a)</w:t>
      </w:r>
      <w:r>
        <w:tab/>
        <w:t>this Part applies to each stage separately; and</w:t>
      </w:r>
    </w:p>
    <w:p>
      <w:pPr>
        <w:pStyle w:val="Indenta"/>
      </w:pPr>
      <w:r>
        <w:tab/>
        <w:t>(b)</w:t>
      </w:r>
      <w:r>
        <w:tab/>
        <w:t>a reference in this Act or another written law to a, or the, master plan may be read as a reference to a master plan for part of the redevelopment area as provided for by this subsection.</w:t>
      </w:r>
    </w:p>
    <w:p>
      <w:pPr>
        <w:pStyle w:val="Subsection"/>
      </w:pPr>
      <w:r>
        <w:tab/>
        <w:t>(3)</w:t>
      </w:r>
      <w:r>
        <w:tab/>
        <w:t xml:space="preserve">A proposed master plan is not to be submitted to the Commission unless sections 18 and 19 have been complied with in respect of that master plan and it was prepared — </w:t>
      </w:r>
    </w:p>
    <w:p>
      <w:pPr>
        <w:pStyle w:val="Indenta"/>
      </w:pPr>
      <w:r>
        <w:tab/>
        <w:t>(a)</w:t>
      </w:r>
      <w:r>
        <w:tab/>
        <w:t>after consultation with the City of Cockburn and the Town of Kwinana (whether that consultation occurred before or after the commencement of this Act); and</w:t>
      </w:r>
    </w:p>
    <w:p>
      <w:pPr>
        <w:pStyle w:val="Indenta"/>
      </w:pPr>
      <w:r>
        <w:tab/>
        <w:t>(b)</w:t>
      </w:r>
      <w:r>
        <w:tab/>
        <w:t>having regard to the views of those local governments.</w:t>
      </w:r>
    </w:p>
    <w:p>
      <w:pPr>
        <w:pStyle w:val="Subsection"/>
      </w:pPr>
      <w:r>
        <w:tab/>
        <w:t>(4)</w:t>
      </w:r>
      <w:r>
        <w:tab/>
        <w:t xml:space="preserve">The Commission may — </w:t>
      </w:r>
    </w:p>
    <w:p>
      <w:pPr>
        <w:pStyle w:val="Indenta"/>
      </w:pPr>
      <w:r>
        <w:tab/>
        <w:t>(a)</w:t>
      </w:r>
      <w:r>
        <w:tab/>
        <w:t>consent or refuse to consent to the public notification of a proposed master plan submitted under this section; or</w:t>
      </w:r>
    </w:p>
    <w:p>
      <w:pPr>
        <w:pStyle w:val="Indenta"/>
      </w:pPr>
      <w:r>
        <w:tab/>
        <w:t>(b)</w:t>
      </w:r>
      <w:r>
        <w:tab/>
        <w:t>consent to such public notification subject to modifications being made to the plan, as directed by the Commission.</w:t>
      </w:r>
    </w:p>
    <w:p>
      <w:pPr>
        <w:pStyle w:val="Subsection"/>
      </w:pPr>
      <w:r>
        <w:tab/>
        <w:t>(5)</w:t>
      </w:r>
      <w:r>
        <w:tab/>
        <w:t>If the Commission refuses to consent to the public notification of a proposed master plan submitted under this section, the Commission is to give directions to the Authority as to the preparation of a further plan to be submitted under this section.</w:t>
      </w:r>
    </w:p>
    <w:p>
      <w:pPr>
        <w:pStyle w:val="Subsection"/>
      </w:pPr>
      <w:r>
        <w:tab/>
        <w:t>(6)</w:t>
      </w:r>
      <w:r>
        <w:tab/>
        <w:t>The Authority is to comply with any direction of the Commission under subsection (4) or (5).</w:t>
      </w:r>
    </w:p>
    <w:p>
      <w:pPr>
        <w:pStyle w:val="Heading5"/>
        <w:spacing w:before="180"/>
      </w:pPr>
      <w:bookmarkStart w:id="125" w:name="_Toc90957144"/>
      <w:bookmarkStart w:id="126" w:name="_Toc122752707"/>
      <w:bookmarkStart w:id="127" w:name="_Toc278197798"/>
      <w:r>
        <w:rPr>
          <w:rStyle w:val="CharSectno"/>
        </w:rPr>
        <w:t>13</w:t>
      </w:r>
      <w:r>
        <w:t>.</w:t>
      </w:r>
      <w:r>
        <w:tab/>
        <w:t>Proposed master plan to be publicly notified</w:t>
      </w:r>
      <w:bookmarkEnd w:id="125"/>
      <w:bookmarkEnd w:id="126"/>
      <w:bookmarkEnd w:id="127"/>
      <w:r>
        <w:t xml:space="preserve"> </w:t>
      </w:r>
    </w:p>
    <w:p>
      <w:pPr>
        <w:pStyle w:val="Subsection"/>
        <w:spacing w:before="120"/>
      </w:pPr>
      <w:r>
        <w:rPr>
          <w:rStyle w:val="CharSectno"/>
        </w:rPr>
        <w:tab/>
      </w:r>
      <w:r>
        <w:t>(1)</w:t>
      </w:r>
      <w:r>
        <w:tab/>
        <w:t>Public notification of a proposed master plan in respect of which the Commission has given consent under section 12(4) is to be given in accordance with subsection (2).</w:t>
      </w:r>
    </w:p>
    <w:p>
      <w:pPr>
        <w:pStyle w:val="Subsection"/>
        <w:spacing w:before="120"/>
      </w:pPr>
      <w:r>
        <w:tab/>
        <w:t>(2)</w:t>
      </w:r>
      <w:r>
        <w:tab/>
        <w:t xml:space="preserve">The proposed master plan is to be publicly notified by the Authority by the publication — </w:t>
      </w:r>
    </w:p>
    <w:p>
      <w:pPr>
        <w:pStyle w:val="Indenta"/>
      </w:pPr>
      <w:r>
        <w:tab/>
        <w:t>(a)</w:t>
      </w:r>
      <w:r>
        <w:tab/>
        <w:t xml:space="preserve">in the </w:t>
      </w:r>
      <w:r>
        <w:rPr>
          <w:i/>
        </w:rPr>
        <w:t>Gazette</w:t>
      </w:r>
      <w:r>
        <w:t>; and</w:t>
      </w:r>
    </w:p>
    <w:p>
      <w:pPr>
        <w:pStyle w:val="Indenta"/>
      </w:pPr>
      <w:r>
        <w:tab/>
        <w:t>(b)</w:t>
      </w:r>
      <w:r>
        <w:tab/>
        <w:t>in 2 issues of a daily newspaper circulating in the local government districts of Cockburn and Kwinana,</w:t>
      </w:r>
    </w:p>
    <w:p>
      <w:pPr>
        <w:pStyle w:val="Subsection"/>
      </w:pPr>
      <w:r>
        <w:tab/>
      </w:r>
      <w:r>
        <w:tab/>
        <w:t xml:space="preserve">of a notice — </w:t>
      </w:r>
    </w:p>
    <w:p>
      <w:pPr>
        <w:pStyle w:val="Indenta"/>
      </w:pPr>
      <w:r>
        <w:tab/>
        <w:t>(c)</w:t>
      </w:r>
      <w:r>
        <w:tab/>
        <w:t xml:space="preserve">specifying the places at which — </w:t>
      </w:r>
    </w:p>
    <w:p>
      <w:pPr>
        <w:pStyle w:val="Indenti"/>
      </w:pPr>
      <w:r>
        <w:tab/>
        <w:t>(i)</w:t>
      </w:r>
      <w:r>
        <w:tab/>
        <w:t>a copy of the proposed master plan may be inspected; and</w:t>
      </w:r>
    </w:p>
    <w:p>
      <w:pPr>
        <w:pStyle w:val="Indenti"/>
      </w:pPr>
      <w:r>
        <w:tab/>
        <w:t>(ii)</w:t>
      </w:r>
      <w:r>
        <w:tab/>
        <w:t>copies of the proposed master plan may be obtained;</w:t>
      </w:r>
    </w:p>
    <w:p>
      <w:pPr>
        <w:pStyle w:val="Indenta"/>
      </w:pPr>
      <w:r>
        <w:tab/>
      </w:r>
      <w:r>
        <w:tab/>
        <w:t>and</w:t>
      </w:r>
    </w:p>
    <w:p>
      <w:pPr>
        <w:pStyle w:val="Indenta"/>
      </w:pPr>
      <w:r>
        <w:tab/>
        <w:t>(d)</w:t>
      </w:r>
      <w:r>
        <w:tab/>
        <w:t>stating the effect of section 14 and specifying the period referred to in that section.</w:t>
      </w:r>
    </w:p>
    <w:p>
      <w:pPr>
        <w:pStyle w:val="Subsection"/>
      </w:pPr>
      <w:r>
        <w:tab/>
        <w:t>(3)</w:t>
      </w:r>
      <w:r>
        <w:tab/>
        <w:t>The Authority may fix and charge a fee for supplying copies of a proposed master plan.</w:t>
      </w:r>
    </w:p>
    <w:p>
      <w:pPr>
        <w:pStyle w:val="Subsection"/>
      </w:pPr>
      <w:r>
        <w:tab/>
        <w:t>(4)</w:t>
      </w:r>
      <w:r>
        <w:tab/>
        <w:t>The Authority must, in addition to complying with subsection (2), make reasonable endeavours to consult in respect of the proposed master plan such public authorities and persons as appear to the Authority to be likely to be affected by that master plan.</w:t>
      </w:r>
    </w:p>
    <w:p>
      <w:pPr>
        <w:pStyle w:val="Heading5"/>
      </w:pPr>
      <w:bookmarkStart w:id="128" w:name="_Toc90957145"/>
      <w:bookmarkStart w:id="129" w:name="_Toc122752708"/>
      <w:bookmarkStart w:id="130" w:name="_Toc278197799"/>
      <w:r>
        <w:rPr>
          <w:rStyle w:val="CharSectno"/>
        </w:rPr>
        <w:t>14</w:t>
      </w:r>
      <w:r>
        <w:t>.</w:t>
      </w:r>
      <w:r>
        <w:tab/>
        <w:t>Public submissions</w:t>
      </w:r>
      <w:bookmarkEnd w:id="128"/>
      <w:bookmarkEnd w:id="129"/>
      <w:bookmarkEnd w:id="130"/>
    </w:p>
    <w:p>
      <w:pPr>
        <w:pStyle w:val="Subsection"/>
      </w:pPr>
      <w:r>
        <w:tab/>
        <w:t>(1)</w:t>
      </w:r>
      <w:r>
        <w:tab/>
        <w:t xml:space="preserve">Written submissions on the proposed master plan may be made by any person —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master plan as it thinks fit to give effect to any submission so received by it.</w:t>
      </w:r>
    </w:p>
    <w:p>
      <w:pPr>
        <w:pStyle w:val="Heading5"/>
      </w:pPr>
      <w:bookmarkStart w:id="131" w:name="_Toc90957146"/>
      <w:bookmarkStart w:id="132" w:name="_Toc122752709"/>
      <w:bookmarkStart w:id="133" w:name="_Toc278197800"/>
      <w:r>
        <w:rPr>
          <w:rStyle w:val="CharSectno"/>
        </w:rPr>
        <w:t>15</w:t>
      </w:r>
      <w:r>
        <w:t>.</w:t>
      </w:r>
      <w:r>
        <w:tab/>
        <w:t>Submission of plan to Commission and approval by Minister</w:t>
      </w:r>
      <w:bookmarkEnd w:id="131"/>
      <w:bookmarkEnd w:id="132"/>
      <w:bookmarkEnd w:id="133"/>
    </w:p>
    <w:p>
      <w:pPr>
        <w:pStyle w:val="Subsection"/>
      </w:pPr>
      <w:r>
        <w:tab/>
        <w:t>(1)</w:t>
      </w:r>
      <w:r>
        <w:tab/>
        <w:t>After sections 20 and 21 have been complied with, the Authority is to submit the proposed master plan, with any modifications made under section 14(2), to the Commission.</w:t>
      </w:r>
    </w:p>
    <w:p>
      <w:pPr>
        <w:pStyle w:val="Subsection"/>
      </w:pPr>
      <w:r>
        <w:tab/>
        <w:t>(2)</w:t>
      </w:r>
      <w:r>
        <w:tab/>
        <w:t xml:space="preserve">The plan as so submitted is to be accompanied by — </w:t>
      </w:r>
    </w:p>
    <w:p>
      <w:pPr>
        <w:pStyle w:val="Indenta"/>
      </w:pPr>
      <w:r>
        <w:tab/>
        <w:t>(a)</w:t>
      </w:r>
      <w:r>
        <w:tab/>
        <w:t>a summary of all submissions made under section 14; and</w:t>
      </w:r>
    </w:p>
    <w:p>
      <w:pPr>
        <w:pStyle w:val="Indenta"/>
      </w:pPr>
      <w:r>
        <w:tab/>
        <w:t>(b)</w:t>
      </w:r>
      <w:r>
        <w:tab/>
        <w:t>a report by the Authority on the merits of those submissions.</w:t>
      </w:r>
    </w:p>
    <w:p>
      <w:pPr>
        <w:pStyle w:val="Subsection"/>
      </w:pPr>
      <w:r>
        <w:tab/>
        <w:t>(3)</w:t>
      </w:r>
      <w:r>
        <w:tab/>
        <w:t xml:space="preserve">The Commission is to consider the proposed master plan and the summary and report accompanying it and make a recommendation to the Minister that the Minister — </w:t>
      </w:r>
    </w:p>
    <w:p>
      <w:pPr>
        <w:pStyle w:val="Indenta"/>
      </w:pPr>
      <w:r>
        <w:tab/>
        <w:t>(a)</w:t>
      </w:r>
      <w:r>
        <w:tab/>
        <w:t>approve or refuse to approve the proposed master plan; or</w:t>
      </w:r>
    </w:p>
    <w:p>
      <w:pPr>
        <w:pStyle w:val="Indenta"/>
      </w:pPr>
      <w:r>
        <w:tab/>
        <w:t>(b)</w:t>
      </w:r>
      <w:r>
        <w:tab/>
        <w:t>approve the plan subject to modifications being made to the plan, as recommended by the Commission.</w:t>
      </w:r>
    </w:p>
    <w:p>
      <w:pPr>
        <w:pStyle w:val="Subsection"/>
      </w:pPr>
      <w:r>
        <w:tab/>
        <w:t>(4)</w:t>
      </w:r>
      <w:r>
        <w:tab/>
        <w:t xml:space="preserve">The Minister, after taking into account the recommendations of the Commission, is to — </w:t>
      </w:r>
    </w:p>
    <w:p>
      <w:pPr>
        <w:pStyle w:val="Indenta"/>
      </w:pPr>
      <w:r>
        <w:tab/>
        <w:t>(a)</w:t>
      </w:r>
      <w:r>
        <w:tab/>
        <w:t>approve or refuse to approve the proposed master plan; or</w:t>
      </w:r>
    </w:p>
    <w:p>
      <w:pPr>
        <w:pStyle w:val="Indenta"/>
      </w:pPr>
      <w:r>
        <w:tab/>
        <w:t>(b)</w:t>
      </w:r>
      <w:r>
        <w:tab/>
        <w:t>approve the plan subject to modifications being made to the plan, as directed by the Minister.</w:t>
      </w:r>
    </w:p>
    <w:p>
      <w:pPr>
        <w:pStyle w:val="Subsection"/>
      </w:pPr>
      <w:r>
        <w:tab/>
        <w:t>(5)</w:t>
      </w:r>
      <w:r>
        <w:tab/>
        <w:t>If the Minister refuses to approve a proposed master plan submitted under this section, the Minister is to give directions to the Authority as to the preparation of a further plan to be submitted under section 12 or under subsection (1), as the Minister may specify.</w:t>
      </w:r>
    </w:p>
    <w:p>
      <w:pPr>
        <w:pStyle w:val="Subsection"/>
      </w:pPr>
      <w:r>
        <w:tab/>
        <w:t>(6)</w:t>
      </w:r>
      <w:r>
        <w:tab/>
        <w:t>The Authority is to comply with any direction of the Minister under subsection (4) or (5).</w:t>
      </w:r>
    </w:p>
    <w:p>
      <w:pPr>
        <w:pStyle w:val="Subsection"/>
        <w:keepNext/>
      </w:pPr>
      <w:r>
        <w:tab/>
        <w:t>(7)</w:t>
      </w:r>
      <w:r>
        <w:tab/>
        <w:t xml:space="preserve">The text of any direction given under subsection (4) or (5) is to be —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15 amended by No. 77 of 2006 s. 17.]</w:t>
      </w:r>
    </w:p>
    <w:p>
      <w:pPr>
        <w:pStyle w:val="Heading5"/>
      </w:pPr>
      <w:bookmarkStart w:id="134" w:name="_Toc90957147"/>
      <w:bookmarkStart w:id="135" w:name="_Toc122752710"/>
      <w:bookmarkStart w:id="136" w:name="_Toc278197801"/>
      <w:r>
        <w:rPr>
          <w:rStyle w:val="CharSectno"/>
        </w:rPr>
        <w:t>16</w:t>
      </w:r>
      <w:r>
        <w:t>.</w:t>
      </w:r>
      <w:r>
        <w:tab/>
        <w:t>Notice of approval</w:t>
      </w:r>
      <w:bookmarkEnd w:id="134"/>
      <w:bookmarkEnd w:id="135"/>
      <w:bookmarkEnd w:id="136"/>
    </w:p>
    <w:p>
      <w:pPr>
        <w:pStyle w:val="Subsection"/>
      </w:pPr>
      <w:r>
        <w:tab/>
        <w:t>(1)</w:t>
      </w:r>
      <w:r>
        <w:tab/>
        <w:t xml:space="preserve">Notice that a master plan has been approved by the Minister under section 15 is to be published by the Authority in the </w:t>
      </w:r>
      <w:r>
        <w:rPr>
          <w:i/>
        </w:rPr>
        <w:t>Gazette</w:t>
      </w:r>
      <w:r>
        <w:t xml:space="preserve"> together with a note showing where a copy of the master plan may be inspected or obtained.</w:t>
      </w:r>
    </w:p>
    <w:p>
      <w:pPr>
        <w:pStyle w:val="Subsection"/>
      </w:pPr>
      <w:r>
        <w:tab/>
        <w:t>(2)</w:t>
      </w:r>
      <w:r>
        <w:tab/>
        <w:t xml:space="preserve">A master plan comes into operation on the day of publication in the </w:t>
      </w:r>
      <w:r>
        <w:rPr>
          <w:i/>
        </w:rPr>
        <w:t>Gazette</w:t>
      </w:r>
      <w:r>
        <w:t xml:space="preserve"> of a notice under subsection (1), or on any later day that is specified in the plan.</w:t>
      </w:r>
    </w:p>
    <w:p>
      <w:pPr>
        <w:pStyle w:val="Subsection"/>
      </w:pPr>
      <w:r>
        <w:tab/>
        <w:t>(3)</w:t>
      </w:r>
      <w:r>
        <w:tab/>
        <w:t>The Authority may fix and charge a fee for supplying copies of a master plan.</w:t>
      </w:r>
    </w:p>
    <w:p>
      <w:pPr>
        <w:pStyle w:val="Heading3"/>
      </w:pPr>
      <w:bookmarkStart w:id="137" w:name="_Toc90956939"/>
      <w:bookmarkStart w:id="138" w:name="_Toc90957148"/>
      <w:bookmarkStart w:id="139" w:name="_Toc90957199"/>
      <w:bookmarkStart w:id="140" w:name="_Toc92858187"/>
      <w:bookmarkStart w:id="141" w:name="_Toc122752711"/>
      <w:bookmarkStart w:id="142" w:name="_Toc122752764"/>
      <w:bookmarkStart w:id="143" w:name="_Toc131396482"/>
      <w:bookmarkStart w:id="144" w:name="_Toc137630171"/>
      <w:bookmarkStart w:id="145" w:name="_Toc142796883"/>
      <w:bookmarkStart w:id="146" w:name="_Toc144090484"/>
      <w:bookmarkStart w:id="147" w:name="_Toc144090979"/>
      <w:bookmarkStart w:id="148" w:name="_Toc145732748"/>
      <w:bookmarkStart w:id="149" w:name="_Toc157914194"/>
      <w:bookmarkStart w:id="150" w:name="_Toc270321177"/>
      <w:bookmarkStart w:id="151" w:name="_Toc278197802"/>
      <w:r>
        <w:rPr>
          <w:rStyle w:val="CharDivNo"/>
        </w:rPr>
        <w:t>Division 3</w:t>
      </w:r>
      <w:r>
        <w:t xml:space="preserve"> — </w:t>
      </w:r>
      <w:r>
        <w:rPr>
          <w:rStyle w:val="CharDivText"/>
        </w:rPr>
        <w:t>Amendment of master plan</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90957149"/>
      <w:bookmarkStart w:id="153" w:name="_Toc122752712"/>
      <w:bookmarkStart w:id="154" w:name="_Toc278197803"/>
      <w:r>
        <w:rPr>
          <w:rStyle w:val="CharSectno"/>
        </w:rPr>
        <w:t>17</w:t>
      </w:r>
      <w:r>
        <w:t>.</w:t>
      </w:r>
      <w:r>
        <w:tab/>
        <w:t>Amendment of master plan</w:t>
      </w:r>
      <w:bookmarkEnd w:id="152"/>
      <w:bookmarkEnd w:id="153"/>
      <w:bookmarkEnd w:id="154"/>
    </w:p>
    <w:p>
      <w:pPr>
        <w:pStyle w:val="Subsection"/>
      </w:pPr>
      <w:r>
        <w:tab/>
        <w:t>(1)</w:t>
      </w:r>
      <w:r>
        <w:tab/>
        <w:t>A master plan may be amended in accordance with this section.</w:t>
      </w:r>
    </w:p>
    <w:p>
      <w:pPr>
        <w:pStyle w:val="Subsection"/>
      </w:pPr>
      <w:r>
        <w:tab/>
        <w:t>(2)</w:t>
      </w:r>
      <w:r>
        <w:tab/>
        <w:t>The Authority is to submit any proposed amendment to the Commission.</w:t>
      </w:r>
    </w:p>
    <w:p>
      <w:pPr>
        <w:pStyle w:val="Subsection"/>
      </w:pPr>
      <w:r>
        <w:tab/>
        <w:t>(3)</w:t>
      </w:r>
      <w:r>
        <w:tab/>
        <w:t xml:space="preserve">The following provisions apply for the purposes of this section, with all necessary changes — </w:t>
      </w:r>
    </w:p>
    <w:p>
      <w:pPr>
        <w:pStyle w:val="Indenta"/>
      </w:pPr>
      <w:r>
        <w:tab/>
        <w:t>(a)</w:t>
      </w:r>
      <w:r>
        <w:tab/>
        <w:t>sections 12(3) and (4), 13 and 15, as if references in those sections to a, or the, proposed master plan were references to the proposed amendment to the master plan;</w:t>
      </w:r>
    </w:p>
    <w:p>
      <w:pPr>
        <w:pStyle w:val="Indenta"/>
        <w:keepNext/>
      </w:pPr>
      <w:r>
        <w:tab/>
        <w:t>(b)</w:t>
      </w:r>
      <w:r>
        <w:tab/>
        <w:t xml:space="preserve">section 12(5) and (6), as if, in section 12(5) — </w:t>
      </w:r>
    </w:p>
    <w:p>
      <w:pPr>
        <w:pStyle w:val="Indenti"/>
      </w:pPr>
      <w:r>
        <w:tab/>
        <w:t>(i)</w:t>
      </w:r>
      <w:r>
        <w:tab/>
        <w:t>the reference to a proposed master plan were a reference to the proposed amendment to the master plan; and</w:t>
      </w:r>
    </w:p>
    <w:p>
      <w:pPr>
        <w:pStyle w:val="Indenti"/>
      </w:pPr>
      <w:r>
        <w:tab/>
        <w:t>(ii)</w:t>
      </w:r>
      <w:r>
        <w:tab/>
        <w:t>the reference to a further plan were a reference to another amendment;</w:t>
      </w:r>
    </w:p>
    <w:p>
      <w:pPr>
        <w:pStyle w:val="Indenta"/>
      </w:pPr>
      <w:r>
        <w:tab/>
        <w:t>(c)</w:t>
      </w:r>
      <w:r>
        <w:tab/>
        <w:t xml:space="preserve">section 14 as if a reference in that section — </w:t>
      </w:r>
    </w:p>
    <w:p>
      <w:pPr>
        <w:pStyle w:val="Indenti"/>
      </w:pPr>
      <w:r>
        <w:tab/>
        <w:t>(i)</w:t>
      </w:r>
      <w:r>
        <w:tab/>
        <w:t>to the proposed master plan were a reference to a proposed amendment to the master plan; and</w:t>
      </w:r>
    </w:p>
    <w:p>
      <w:pPr>
        <w:pStyle w:val="Indenti"/>
      </w:pPr>
      <w:r>
        <w:tab/>
        <w:t>(ii)</w:t>
      </w:r>
      <w:r>
        <w:tab/>
        <w:t>to 60 days were a reference to 42 days;</w:t>
      </w:r>
    </w:p>
    <w:p>
      <w:pPr>
        <w:pStyle w:val="Indenta"/>
      </w:pPr>
      <w:r>
        <w:tab/>
        <w:t>(d)</w:t>
      </w:r>
      <w:r>
        <w:tab/>
        <w:t>section 16, as if references in that section to a master plan were references to the amendment to a master plan.</w:t>
      </w:r>
    </w:p>
    <w:p>
      <w:pPr>
        <w:pStyle w:val="Heading3"/>
      </w:pPr>
      <w:bookmarkStart w:id="155" w:name="_Hlt477755019"/>
      <w:bookmarkStart w:id="156" w:name="_Toc90956941"/>
      <w:bookmarkStart w:id="157" w:name="_Toc90957150"/>
      <w:bookmarkStart w:id="158" w:name="_Toc90957201"/>
      <w:bookmarkStart w:id="159" w:name="_Toc92858189"/>
      <w:bookmarkStart w:id="160" w:name="_Toc122752713"/>
      <w:bookmarkStart w:id="161" w:name="_Toc122752766"/>
      <w:bookmarkStart w:id="162" w:name="_Toc131396484"/>
      <w:bookmarkStart w:id="163" w:name="_Toc137630173"/>
      <w:bookmarkStart w:id="164" w:name="_Toc142796885"/>
      <w:bookmarkStart w:id="165" w:name="_Toc144090486"/>
      <w:bookmarkStart w:id="166" w:name="_Toc144090981"/>
      <w:bookmarkStart w:id="167" w:name="_Toc145732750"/>
      <w:bookmarkStart w:id="168" w:name="_Toc157914196"/>
      <w:bookmarkStart w:id="169" w:name="_Toc270321179"/>
      <w:bookmarkStart w:id="170" w:name="_Toc278197804"/>
      <w:bookmarkEnd w:id="155"/>
      <w:r>
        <w:rPr>
          <w:rStyle w:val="CharDivNo"/>
        </w:rPr>
        <w:t>Division 4</w:t>
      </w:r>
      <w:r>
        <w:t xml:space="preserve"> — </w:t>
      </w:r>
      <w:r>
        <w:rPr>
          <w:rStyle w:val="CharDivText"/>
        </w:rPr>
        <w:t>Role of Environmental Protection Authority in respect of master plans, etc.</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Hlt476464250"/>
      <w:bookmarkStart w:id="172" w:name="_Toc90957151"/>
      <w:bookmarkStart w:id="173" w:name="_Toc122752714"/>
      <w:bookmarkStart w:id="174" w:name="_Toc278197805"/>
      <w:bookmarkEnd w:id="171"/>
      <w:r>
        <w:rPr>
          <w:rStyle w:val="CharSectno"/>
        </w:rPr>
        <w:t>18</w:t>
      </w:r>
      <w:r>
        <w:t>.</w:t>
      </w:r>
      <w:r>
        <w:tab/>
        <w:t>Reference of proposed master plans, and proposed amendments to master plans, to Environmental Protection Authority</w:t>
      </w:r>
      <w:bookmarkEnd w:id="172"/>
      <w:bookmarkEnd w:id="173"/>
      <w:bookmarkEnd w:id="174"/>
      <w:r>
        <w:t xml:space="preserve"> </w:t>
      </w:r>
    </w:p>
    <w:p>
      <w:pPr>
        <w:pStyle w:val="Subsection"/>
      </w:pPr>
      <w:r>
        <w:tab/>
      </w:r>
      <w:r>
        <w:tab/>
        <w:t xml:space="preserve">When the Authority resolves to prepare a master plan, or an amendment to a master plan, the Authority must forthwith refer the master plan or amendment to the EPA by giving to the EPA — </w:t>
      </w:r>
    </w:p>
    <w:p>
      <w:pPr>
        <w:pStyle w:val="Indenta"/>
      </w:pPr>
      <w:r>
        <w:tab/>
        <w:t>(a)</w:t>
      </w:r>
      <w:r>
        <w:tab/>
        <w:t>written notice of that resolution; and</w:t>
      </w:r>
    </w:p>
    <w:p>
      <w:pPr>
        <w:pStyle w:val="Indenta"/>
      </w:pPr>
      <w:r>
        <w:tab/>
        <w:t>(b)</w:t>
      </w:r>
      <w:r>
        <w:tab/>
        <w:t>such written information about the master plan or amendment as is sufficient to enable the EPA to comply with section 48A of the EP Act in relation to the master plan or amendment.</w:t>
      </w:r>
    </w:p>
    <w:p>
      <w:pPr>
        <w:pStyle w:val="Heading5"/>
      </w:pPr>
      <w:bookmarkStart w:id="175" w:name="_Toc90957152"/>
      <w:bookmarkStart w:id="176" w:name="_Toc122752715"/>
      <w:bookmarkStart w:id="177" w:name="_Toc278197806"/>
      <w:r>
        <w:rPr>
          <w:rStyle w:val="CharSectno"/>
        </w:rPr>
        <w:t>19</w:t>
      </w:r>
      <w:r>
        <w:t>.</w:t>
      </w:r>
      <w:r>
        <w:tab/>
        <w:t>Prerequisite to submission of proposed master plans, and proposed amendments to master plans, to Commission for approval before public notification</w:t>
      </w:r>
      <w:bookmarkEnd w:id="175"/>
      <w:bookmarkEnd w:id="176"/>
      <w:bookmarkEnd w:id="177"/>
    </w:p>
    <w:p>
      <w:pPr>
        <w:pStyle w:val="Subsection"/>
        <w:spacing w:before="120"/>
      </w:pPr>
      <w:r>
        <w:tab/>
        <w:t>(1)</w:t>
      </w:r>
      <w:r>
        <w:tab/>
        <w:t xml:space="preserve">When the EPA has acted under section 48C(1)(a) of the EP Act in relation to a proposed master plan or a proposed amendment to a master plan, the Authority must, if it wishes to proceed with that master plan or amendment, undertake an environmental review of that master plan or amendment in accordance with the relevant instructions issued under that section and must not submit that master plan or amendment to the Commission for consent to public notification under section 12, or section 17 as read with section 12, as the case requires, until —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 xml:space="preserve">If the EPA has advised that the review has not been undertaken in accordance with the relevant instructions issued under section 48C(1)(a) of the EP Act, the Authority may — </w:t>
      </w:r>
    </w:p>
    <w:p>
      <w:pPr>
        <w:pStyle w:val="Indenta"/>
      </w:pPr>
      <w:r>
        <w:tab/>
        <w:t>(a)</w:t>
      </w:r>
      <w:r>
        <w:tab/>
        <w:t>comply with subsection (1) in respect of the master plan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 xml:space="preserve">If the Minister, having complied with a request under subsection (2), and the Minister for the Environment —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178" w:name="_Toc90957153"/>
      <w:bookmarkStart w:id="179" w:name="_Toc122752716"/>
      <w:bookmarkStart w:id="180" w:name="_Toc278197807"/>
      <w:r>
        <w:rPr>
          <w:rStyle w:val="CharSectno"/>
        </w:rPr>
        <w:t>20</w:t>
      </w:r>
      <w:r>
        <w:t>.</w:t>
      </w:r>
      <w:r>
        <w:tab/>
        <w:t>Role of Authority in relation to environmental submissions</w:t>
      </w:r>
      <w:bookmarkEnd w:id="178"/>
      <w:bookmarkEnd w:id="179"/>
      <w:bookmarkEnd w:id="180"/>
      <w:r>
        <w:t xml:space="preserve"> </w:t>
      </w:r>
    </w:p>
    <w:p>
      <w:pPr>
        <w:pStyle w:val="Subsection"/>
      </w:pPr>
      <w:r>
        <w:tab/>
      </w:r>
      <w:r>
        <w:tab/>
        <w:t xml:space="preserve">When the Authority has been informed under section 48A(1)(b)(i) of the EP Act that the proposed master plan or amendment should be assessed by the EPA under Part IV Division 3 of the EP Act, the Authority must — </w:t>
      </w:r>
    </w:p>
    <w:p>
      <w:pPr>
        <w:pStyle w:val="Indenta"/>
      </w:pPr>
      <w:r>
        <w:tab/>
        <w:t>(a)</w:t>
      </w:r>
      <w:r>
        <w:tab/>
        <w:t xml:space="preserve">as soon as practicable, but in any event within 7 days after the expiry of the period referred to in section 14(1)(a), or section 17 as read with section 14(1)(a) as the case requires, transmit to the EPA a copy of each submission — </w:t>
      </w:r>
    </w:p>
    <w:p>
      <w:pPr>
        <w:pStyle w:val="Indenti"/>
      </w:pPr>
      <w:r>
        <w:tab/>
        <w:t>(i)</w:t>
      </w:r>
      <w:r>
        <w:tab/>
        <w:t>made under section 14, or under section 17 as read with section 14 as the case requires; and</w:t>
      </w:r>
    </w:p>
    <w:p>
      <w:pPr>
        <w:pStyle w:val="Indenti"/>
      </w:pPr>
      <w:r>
        <w:tab/>
        <w:t>(ii)</w:t>
      </w:r>
      <w:r>
        <w:tab/>
        <w:t>relating wholly or in part to environmental issues raised by that master plan or amendment;</w:t>
      </w:r>
    </w:p>
    <w:p>
      <w:pPr>
        <w:pStyle w:val="Indenta"/>
      </w:pPr>
      <w:r>
        <w:tab/>
      </w:r>
      <w:r>
        <w:tab/>
        <w:t>and</w:t>
      </w:r>
    </w:p>
    <w:p>
      <w:pPr>
        <w:pStyle w:val="Indenta"/>
      </w:pPr>
      <w:r>
        <w:tab/>
        <w:t>(b)</w:t>
      </w:r>
      <w:r>
        <w:tab/>
        <w:t>within 42 days, or such longer period as the Minister allows, after the expiry of the period referred to in section 14(1)(a), or section 17 as read with section 14(1)(a) as the case requires, inform the EPA of its views on and response to the environmental issues raised by submissions referred to in paragraph (a) and received within that period.</w:t>
      </w:r>
    </w:p>
    <w:p>
      <w:pPr>
        <w:pStyle w:val="Heading5"/>
      </w:pPr>
      <w:bookmarkStart w:id="181" w:name="_Toc90957154"/>
      <w:bookmarkStart w:id="182" w:name="_Toc122752717"/>
      <w:bookmarkStart w:id="183" w:name="_Toc278197808"/>
      <w:r>
        <w:rPr>
          <w:rStyle w:val="CharSectno"/>
        </w:rPr>
        <w:t>21</w:t>
      </w:r>
      <w:r>
        <w:t>.</w:t>
      </w:r>
      <w:r>
        <w:tab/>
        <w:t>Prerequisite to final approval by Minister of proposed master plan and proposed amendments to master plan</w:t>
      </w:r>
      <w:bookmarkEnd w:id="181"/>
      <w:bookmarkEnd w:id="182"/>
      <w:bookmarkEnd w:id="183"/>
      <w:r>
        <w:t xml:space="preserve"> </w:t>
      </w:r>
    </w:p>
    <w:p>
      <w:pPr>
        <w:pStyle w:val="Subsection"/>
      </w:pPr>
      <w:r>
        <w:tab/>
      </w:r>
      <w:r>
        <w:tab/>
        <w:t xml:space="preserve">The Minister is not to approve under section 15, or section 17 as read with section 15, a proposed master plan or amendment referred to the EPA under section 19 if he or she has reached agreement with the Minister for the Environment under section 48A(2)(b) of the EP Act, or until — </w:t>
      </w:r>
    </w:p>
    <w:p>
      <w:pPr>
        <w:pStyle w:val="Indenta"/>
      </w:pPr>
      <w:r>
        <w:tab/>
        <w:t>(a)</w:t>
      </w:r>
      <w:r>
        <w:tab/>
        <w:t>he or she is informed under section 48A(1)(a) of the EP Act that the EPA considers that that master plan or amendment should not be assessed by the EPA under Part IV Division 3 of the EP Act;</w:t>
      </w:r>
    </w:p>
    <w:p>
      <w:pPr>
        <w:pStyle w:val="Indenta"/>
      </w:pPr>
      <w:r>
        <w:tab/>
        <w:t>(b)</w:t>
      </w:r>
      <w:r>
        <w:tab/>
        <w:t>he or she has received a statement delivered under section 48F(2), or a decision has been made under section 48J, of the EP Act in respect of the conditions, if any, to which that master plan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master plan or amendment is subject have been incorporated into that master plan or amendment.</w:t>
      </w:r>
    </w:p>
    <w:p>
      <w:pPr>
        <w:pStyle w:val="Heading2"/>
      </w:pPr>
      <w:bookmarkStart w:id="184" w:name="_Toc90956946"/>
      <w:bookmarkStart w:id="185" w:name="_Toc90957155"/>
      <w:bookmarkStart w:id="186" w:name="_Toc90957206"/>
      <w:bookmarkStart w:id="187" w:name="_Toc92858194"/>
      <w:bookmarkStart w:id="188" w:name="_Toc122752718"/>
      <w:bookmarkStart w:id="189" w:name="_Toc122752771"/>
      <w:bookmarkStart w:id="190" w:name="_Toc131396489"/>
      <w:bookmarkStart w:id="191" w:name="_Toc137630178"/>
      <w:bookmarkStart w:id="192" w:name="_Toc142796890"/>
      <w:bookmarkStart w:id="193" w:name="_Toc144090491"/>
      <w:bookmarkStart w:id="194" w:name="_Toc144090986"/>
      <w:bookmarkStart w:id="195" w:name="_Toc145732755"/>
      <w:bookmarkStart w:id="196" w:name="_Toc157914201"/>
      <w:bookmarkStart w:id="197" w:name="_Toc270321184"/>
      <w:bookmarkStart w:id="198" w:name="_Toc278197809"/>
      <w:r>
        <w:rPr>
          <w:rStyle w:val="CharPartNo"/>
        </w:rPr>
        <w:t>Part 4</w:t>
      </w:r>
      <w:r>
        <w:rPr>
          <w:rStyle w:val="CharDivNo"/>
        </w:rPr>
        <w:t xml:space="preserve"> </w:t>
      </w:r>
      <w:r>
        <w:t>—</w:t>
      </w:r>
      <w:r>
        <w:rPr>
          <w:rStyle w:val="CharDivText"/>
        </w:rPr>
        <w:t xml:space="preserve"> </w:t>
      </w:r>
      <w:r>
        <w:rPr>
          <w:rStyle w:val="CharPartText"/>
        </w:rPr>
        <w:t>Development control</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Hlt475169185"/>
      <w:bookmarkStart w:id="200" w:name="_Toc90957156"/>
      <w:bookmarkStart w:id="201" w:name="_Toc122752719"/>
      <w:bookmarkStart w:id="202" w:name="_Toc278197810"/>
      <w:bookmarkEnd w:id="199"/>
      <w:r>
        <w:rPr>
          <w:rStyle w:val="CharSectno"/>
        </w:rPr>
        <w:t>22</w:t>
      </w:r>
      <w:r>
        <w:t>.</w:t>
      </w:r>
      <w:r>
        <w:tab/>
        <w:t>Crown bound</w:t>
      </w:r>
      <w:bookmarkEnd w:id="200"/>
      <w:bookmarkEnd w:id="201"/>
      <w:bookmarkEnd w:id="202"/>
    </w:p>
    <w:p>
      <w:pPr>
        <w:pStyle w:val="Subsection"/>
      </w:pPr>
      <w:r>
        <w:tab/>
      </w:r>
      <w:r>
        <w:tab/>
        <w:t>This Part binds the Crown.</w:t>
      </w:r>
    </w:p>
    <w:p>
      <w:pPr>
        <w:pStyle w:val="Heading5"/>
      </w:pPr>
      <w:bookmarkStart w:id="203" w:name="_Toc90957157"/>
      <w:bookmarkStart w:id="204" w:name="_Toc122752720"/>
      <w:bookmarkStart w:id="205" w:name="_Toc278197811"/>
      <w:r>
        <w:rPr>
          <w:rStyle w:val="CharSectno"/>
        </w:rPr>
        <w:t>23</w:t>
      </w:r>
      <w:r>
        <w:t>.</w:t>
      </w:r>
      <w:r>
        <w:tab/>
        <w:t>Certain planning schemes cease to apply</w:t>
      </w:r>
      <w:bookmarkEnd w:id="203"/>
      <w:bookmarkEnd w:id="204"/>
      <w:bookmarkEnd w:id="205"/>
    </w:p>
    <w:p>
      <w:pPr>
        <w:pStyle w:val="Subsection"/>
      </w:pPr>
      <w:r>
        <w:tab/>
        <w:t>(1)</w:t>
      </w:r>
      <w:r>
        <w:tab/>
        <w:t>The planning schemes are repealed in relation to the redevelopment area so that they do not apply to a development that commences in that area under this Act.</w:t>
      </w:r>
    </w:p>
    <w:p>
      <w:pPr>
        <w:pStyle w:val="Subsection"/>
      </w:pPr>
      <w:r>
        <w:tab/>
        <w:t>(2)</w:t>
      </w:r>
      <w:r>
        <w:tab/>
        <w:t xml:space="preserve">Section 37 of the </w:t>
      </w:r>
      <w:r>
        <w:rPr>
          <w:i/>
        </w:rPr>
        <w:t>Interpretation Act 19</w:t>
      </w:r>
      <w:r>
        <w:rPr>
          <w:i/>
          <w:iCs/>
        </w:rPr>
        <w:t>84</w:t>
      </w:r>
      <w:r>
        <w:t xml:space="preserve"> applies in respect of the repeal effected by subsection (1) as if the planning schemes were enactments within the meaning of that section.</w:t>
      </w:r>
    </w:p>
    <w:p>
      <w:pPr>
        <w:pStyle w:val="Subsection"/>
      </w:pPr>
      <w:r>
        <w:tab/>
        <w:t>(3)</w:t>
      </w:r>
      <w:r>
        <w:tab/>
        <w:t xml:space="preserve">In this section — </w:t>
      </w:r>
    </w:p>
    <w:p>
      <w:pPr>
        <w:pStyle w:val="Defstart"/>
      </w:pPr>
      <w:r>
        <w:tab/>
      </w:r>
      <w:r>
        <w:rPr>
          <w:rStyle w:val="CharDefText"/>
        </w:rPr>
        <w:t>planning schemes</w:t>
      </w:r>
      <w:r>
        <w:t xml:space="preserve"> means — </w:t>
      </w:r>
    </w:p>
    <w:p>
      <w:pPr>
        <w:pStyle w:val="Defpara"/>
      </w:pPr>
      <w:r>
        <w:tab/>
        <w:t>(a)</w:t>
      </w:r>
      <w:r>
        <w:tab/>
        <w:t xml:space="preserve">any town planning scheme under the </w:t>
      </w:r>
      <w:r>
        <w:rPr>
          <w:i/>
        </w:rPr>
        <w:t>Town Planning and Development Act 1928</w:t>
      </w:r>
      <w:r>
        <w:rPr>
          <w:vertAlign w:val="superscript"/>
        </w:rPr>
        <w:t> 2</w:t>
      </w:r>
      <w:r>
        <w:rPr>
          <w:iCs/>
        </w:rPr>
        <w:t xml:space="preserve"> that</w:t>
      </w:r>
      <w:r>
        <w:t xml:space="preserve"> is in operation in the redevelopment area immediately before the commencement of this Act;</w:t>
      </w:r>
    </w:p>
    <w:p>
      <w:pPr>
        <w:pStyle w:val="Defpar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master plan relating to non</w:t>
      </w:r>
      <w:r>
        <w:noBreakHyphen/>
        <w:t>conforming uses.</w:t>
      </w:r>
    </w:p>
    <w:p>
      <w:pPr>
        <w:pStyle w:val="Footnotesection"/>
      </w:pPr>
      <w:r>
        <w:tab/>
        <w:t>[Section 23 amended by No. 38 of 2005 s. 15; No. 28 of 2010 s. 32.]</w:t>
      </w:r>
    </w:p>
    <w:p>
      <w:pPr>
        <w:pStyle w:val="Heading5"/>
      </w:pPr>
      <w:bookmarkStart w:id="206" w:name="_Toc90957158"/>
      <w:bookmarkStart w:id="207" w:name="_Toc122752721"/>
      <w:bookmarkStart w:id="208" w:name="_Toc278197812"/>
      <w:r>
        <w:rPr>
          <w:rStyle w:val="CharSectno"/>
        </w:rPr>
        <w:t>24</w:t>
      </w:r>
      <w:r>
        <w:t>.</w:t>
      </w:r>
      <w:r>
        <w:tab/>
        <w:t>Saving</w:t>
      </w:r>
      <w:bookmarkEnd w:id="206"/>
      <w:bookmarkEnd w:id="207"/>
      <w:bookmarkEnd w:id="208"/>
    </w:p>
    <w:p>
      <w:pPr>
        <w:pStyle w:val="Subsection"/>
      </w:pPr>
      <w:r>
        <w:tab/>
        <w:t>(1)</w:t>
      </w:r>
      <w:r>
        <w:tab/>
        <w:t>This Part does not apply to a development that was lawfully being carried out in the redevelopment area immediately before the commencement of this Act.</w:t>
      </w:r>
    </w:p>
    <w:p>
      <w:pPr>
        <w:pStyle w:val="Subsection"/>
      </w:pPr>
      <w:r>
        <w:tab/>
        <w:t>(2)</w:t>
      </w:r>
      <w:r>
        <w:tab/>
        <w:t>A development referred to in subsection (1), or in respect of which all necessary approvals under the planning schemes referred to in section 23(3) were in force immediately before the commencement of this Act —</w:t>
      </w:r>
    </w:p>
    <w:p>
      <w:pPr>
        <w:pStyle w:val="Indenta"/>
      </w:pPr>
      <w:r>
        <w:tab/>
        <w:t>(a)</w:t>
      </w:r>
      <w:r>
        <w:tab/>
        <w:t>may be lawfully carried out as if this Part had not been passed; and</w:t>
      </w:r>
    </w:p>
    <w:p>
      <w:pPr>
        <w:pStyle w:val="Indenta"/>
      </w:pPr>
      <w:r>
        <w:tab/>
        <w:t>(b)</w:t>
      </w:r>
      <w:r>
        <w:tab/>
        <w:t>is to be governed by those schemes despite section 23(1).</w:t>
      </w:r>
    </w:p>
    <w:p>
      <w:pPr>
        <w:pStyle w:val="Subsection"/>
      </w:pPr>
      <w:r>
        <w:tab/>
        <w:t>(3)</w:t>
      </w:r>
      <w:r>
        <w:tab/>
        <w:t xml:space="preserve">A development in respect of which an approval under section 28 is in force immediately before — </w:t>
      </w:r>
    </w:p>
    <w:p>
      <w:pPr>
        <w:pStyle w:val="Indenta"/>
      </w:pPr>
      <w:r>
        <w:tab/>
        <w:t>(a)</w:t>
      </w:r>
      <w:r>
        <w:tab/>
        <w:t xml:space="preserve">a master plan comes into force in respect of the land the subject of the approval; or </w:t>
      </w:r>
    </w:p>
    <w:p>
      <w:pPr>
        <w:pStyle w:val="Indenta"/>
      </w:pPr>
      <w:r>
        <w:tab/>
        <w:t>(b)</w:t>
      </w:r>
      <w:r>
        <w:tab/>
        <w:t>an amendment to a master plan comes into force under section 17,</w:t>
      </w:r>
    </w:p>
    <w:p>
      <w:pPr>
        <w:pStyle w:val="Subsection"/>
      </w:pPr>
      <w:r>
        <w:tab/>
      </w:r>
      <w:r>
        <w:tab/>
        <w:t>may be lawfully carried out as if the master plan or amendment had not come into force.</w:t>
      </w:r>
    </w:p>
    <w:p>
      <w:pPr>
        <w:pStyle w:val="Heading5"/>
      </w:pPr>
      <w:bookmarkStart w:id="209" w:name="_Toc90957159"/>
      <w:bookmarkStart w:id="210" w:name="_Toc122752722"/>
      <w:bookmarkStart w:id="211" w:name="_Toc278197813"/>
      <w:r>
        <w:rPr>
          <w:rStyle w:val="CharSectno"/>
        </w:rPr>
        <w:t>25</w:t>
      </w:r>
      <w:r>
        <w:t>.</w:t>
      </w:r>
      <w:r>
        <w:tab/>
        <w:t>Development to be approved</w:t>
      </w:r>
      <w:bookmarkEnd w:id="209"/>
      <w:bookmarkEnd w:id="210"/>
      <w:bookmarkEnd w:id="211"/>
    </w:p>
    <w:p>
      <w:pPr>
        <w:pStyle w:val="Subsection"/>
      </w:pPr>
      <w:r>
        <w:tab/>
        <w:t>(1)</w:t>
      </w:r>
      <w:r>
        <w:tab/>
        <w:t>A person must not undertake any development or cause any development to be undertaken on land that is in, or partly in, the redevelopment area without the approval of the Commission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212" w:name="_Toc90957160"/>
      <w:bookmarkStart w:id="213" w:name="_Toc122752723"/>
      <w:bookmarkStart w:id="214" w:name="_Toc278197814"/>
      <w:r>
        <w:rPr>
          <w:rStyle w:val="CharSectno"/>
        </w:rPr>
        <w:t>26</w:t>
      </w:r>
      <w:r>
        <w:t>.</w:t>
      </w:r>
      <w:r>
        <w:tab/>
        <w:t>Applications for approval</w:t>
      </w:r>
      <w:bookmarkEnd w:id="212"/>
      <w:bookmarkEnd w:id="213"/>
      <w:bookmarkEnd w:id="214"/>
    </w:p>
    <w:p>
      <w:pPr>
        <w:pStyle w:val="Subsection"/>
      </w:pPr>
      <w:r>
        <w:tab/>
        <w:t>(1)</w:t>
      </w:r>
      <w:r>
        <w:tab/>
        <w:t>An application for approval under section 25 is to be made in the prescribed form with the prescribed fee (if any) to the City of Cockburn or the Town of Kwinana, or both, as is relevant.</w:t>
      </w:r>
    </w:p>
    <w:p>
      <w:pPr>
        <w:pStyle w:val="Subsection"/>
      </w:pPr>
      <w:r>
        <w:tab/>
        <w:t>(2)</w:t>
      </w:r>
      <w:r>
        <w:tab/>
        <w:t>An application is to be accompanied by plans and specifications of the proposed development, and an applicant is also to provide any information or documents relating to the proposed development that the Commission may reasonably require.</w:t>
      </w:r>
    </w:p>
    <w:p>
      <w:pPr>
        <w:pStyle w:val="Subsection"/>
      </w:pPr>
      <w:r>
        <w:tab/>
        <w:t>(3)</w:t>
      </w:r>
      <w:r>
        <w:tab/>
        <w:t>A local government which receives an application under subsection (1) is to forward it to the Commission within 7 days of receiving it.</w:t>
      </w:r>
    </w:p>
    <w:p>
      <w:pPr>
        <w:pStyle w:val="Subsection"/>
      </w:pPr>
      <w:r>
        <w:tab/>
        <w:t>(4)</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215" w:name="_Toc90957161"/>
      <w:bookmarkStart w:id="216" w:name="_Toc122752724"/>
      <w:bookmarkStart w:id="217" w:name="_Toc278197815"/>
      <w:r>
        <w:rPr>
          <w:rStyle w:val="CharSectno"/>
        </w:rPr>
        <w:t>27</w:t>
      </w:r>
      <w:r>
        <w:t>.</w:t>
      </w:r>
      <w:r>
        <w:tab/>
        <w:t>Consultation with public authorities</w:t>
      </w:r>
      <w:bookmarkEnd w:id="215"/>
      <w:bookmarkEnd w:id="216"/>
      <w:bookmarkEnd w:id="217"/>
    </w:p>
    <w:p>
      <w:pPr>
        <w:pStyle w:val="Subsection"/>
      </w:pPr>
      <w:r>
        <w:tab/>
      </w:r>
      <w:r>
        <w:tab/>
        <w:t>The Commission may consult on a proposed development with any public authority that has functions relevant to, or whose operations are likely to be affected by, the proposed development.</w:t>
      </w:r>
    </w:p>
    <w:p>
      <w:pPr>
        <w:pStyle w:val="Heading5"/>
      </w:pPr>
      <w:bookmarkStart w:id="218" w:name="_Toc90957162"/>
      <w:bookmarkStart w:id="219" w:name="_Toc122752725"/>
      <w:bookmarkStart w:id="220" w:name="_Toc278197816"/>
      <w:r>
        <w:rPr>
          <w:rStyle w:val="CharSectno"/>
        </w:rPr>
        <w:t>28</w:t>
      </w:r>
      <w:r>
        <w:t>.</w:t>
      </w:r>
      <w:r>
        <w:tab/>
        <w:t>Commission’s decision</w:t>
      </w:r>
      <w:bookmarkEnd w:id="218"/>
      <w:bookmarkEnd w:id="219"/>
      <w:bookmarkEnd w:id="220"/>
    </w:p>
    <w:p>
      <w:pPr>
        <w:pStyle w:val="Subsection"/>
      </w:pPr>
      <w:r>
        <w:tab/>
        <w:t>(1)</w:t>
      </w:r>
      <w:r>
        <w:tab/>
        <w:t>After the expiry of the period referred to in section 26(4) within which the local government may make recommendations, the Commission may grant or refuse to grant approval of the proposed development having regard to —</w:t>
      </w:r>
    </w:p>
    <w:p>
      <w:pPr>
        <w:pStyle w:val="Indenta"/>
      </w:pPr>
      <w:r>
        <w:tab/>
        <w:t>(a)</w:t>
      </w:r>
      <w:r>
        <w:tab/>
        <w:t>any master plan in force under Part 3;</w:t>
      </w:r>
    </w:p>
    <w:p>
      <w:pPr>
        <w:pStyle w:val="Indenta"/>
      </w:pPr>
      <w:r>
        <w:tab/>
        <w:t>(b)</w:t>
      </w:r>
      <w:r>
        <w:tab/>
        <w:t>if a master plan is not in force in respect of the land the subject of the application, the FRIARS Final Strategy document;</w:t>
      </w:r>
    </w:p>
    <w:p>
      <w:pPr>
        <w:pStyle w:val="Indenta"/>
        <w:rPr>
          <w:i/>
        </w:rPr>
      </w:pPr>
      <w:r>
        <w:tab/>
        <w:t>(c)</w:t>
      </w:r>
      <w:r>
        <w:tab/>
        <w:t>any relevant environmental protection policy approved under Part III of the EP Act;</w:t>
      </w:r>
    </w:p>
    <w:p>
      <w:pPr>
        <w:pStyle w:val="Indenta"/>
      </w:pPr>
      <w:r>
        <w:tab/>
        <w:t>(d)</w:t>
      </w:r>
      <w:r>
        <w:tab/>
        <w:t>recommendations under section 26(4);</w:t>
      </w:r>
    </w:p>
    <w:p>
      <w:pPr>
        <w:pStyle w:val="Indenta"/>
      </w:pPr>
      <w:r>
        <w:tab/>
        <w:t>(e)</w:t>
      </w:r>
      <w:r>
        <w:tab/>
        <w:t>consultations under section 27; and</w:t>
      </w:r>
    </w:p>
    <w:p>
      <w:pPr>
        <w:pStyle w:val="Indenta"/>
      </w:pPr>
      <w:r>
        <w:tab/>
        <w:t>(f)</w:t>
      </w:r>
      <w:r>
        <w:tab/>
        <w:t>the requirements of orderly and proper planning.</w:t>
      </w:r>
    </w:p>
    <w:p>
      <w:pPr>
        <w:pStyle w:val="Subsection"/>
      </w:pPr>
      <w:r>
        <w:tab/>
        <w:t>(2)</w:t>
      </w:r>
      <w:r>
        <w:tab/>
        <w:t>The Commission may attach to an approval any condition that is within the objects of this Act.</w:t>
      </w:r>
    </w:p>
    <w:p>
      <w:pPr>
        <w:pStyle w:val="Subsection"/>
      </w:pPr>
      <w:r>
        <w:tab/>
        <w:t>(3)</w:t>
      </w:r>
      <w:r>
        <w:tab/>
        <w:t>The Commission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Subject to subsection (6), the Commission is to cause notice in writing of its decision to be given to the applicant, the relevant local government and any public authority consulted under section 27.</w:t>
      </w:r>
    </w:p>
    <w:p>
      <w:pPr>
        <w:pStyle w:val="Subsection"/>
      </w:pPr>
      <w:r>
        <w:tab/>
        <w:t>(6)</w:t>
      </w:r>
      <w:r>
        <w:tab/>
        <w:t>The Commission is to be taken to have made a decision to refuse approval of a proposed development if the applicant has not received notice in writing of the Commission’s decision under subsection (5) within 60 days of the application being forwarded to the Commission, or such longer period as is agreed in writing by the applicant and the Commission before the expiry of the 60 day period.</w:t>
      </w:r>
    </w:p>
    <w:p>
      <w:pPr>
        <w:pStyle w:val="Heading5"/>
      </w:pPr>
      <w:bookmarkStart w:id="221" w:name="_Toc90957163"/>
      <w:bookmarkStart w:id="222" w:name="_Toc122752726"/>
      <w:bookmarkStart w:id="223" w:name="_Toc278197817"/>
      <w:r>
        <w:rPr>
          <w:rStyle w:val="CharSectno"/>
        </w:rPr>
        <w:t>29</w:t>
      </w:r>
      <w:r>
        <w:t>.</w:t>
      </w:r>
      <w:r>
        <w:tab/>
      </w:r>
      <w:bookmarkEnd w:id="221"/>
      <w:bookmarkEnd w:id="222"/>
      <w:r>
        <w:t>Review</w:t>
      </w:r>
      <w:bookmarkEnd w:id="223"/>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Commission under section 28 in respect of the applicant’s application.</w:t>
      </w:r>
    </w:p>
    <w:p>
      <w:pPr>
        <w:pStyle w:val="Ednotesubsection"/>
      </w:pPr>
      <w:r>
        <w:tab/>
        <w:t>[(2)</w:t>
      </w:r>
      <w:r>
        <w:tab/>
        <w:t>deleted]</w:t>
      </w:r>
    </w:p>
    <w:p>
      <w:pPr>
        <w:pStyle w:val="Footnotesection"/>
      </w:pPr>
      <w:r>
        <w:tab/>
        <w:t>[Section 29 amended by No. 55 of 2004 s. 514; No. 38 of 2005 s. 15.]</w:t>
      </w:r>
    </w:p>
    <w:p>
      <w:pPr>
        <w:pStyle w:val="Heading5"/>
      </w:pPr>
      <w:bookmarkStart w:id="224" w:name="_Toc90957164"/>
      <w:bookmarkStart w:id="225" w:name="_Toc122752727"/>
      <w:bookmarkStart w:id="226" w:name="_Toc278197818"/>
      <w:r>
        <w:rPr>
          <w:rStyle w:val="CharSectno"/>
        </w:rPr>
        <w:t>30</w:t>
      </w:r>
      <w:r>
        <w:t>.</w:t>
      </w:r>
      <w:r>
        <w:tab/>
        <w:t>Liability of officers for offence committed by body corporate</w:t>
      </w:r>
      <w:bookmarkEnd w:id="224"/>
      <w:bookmarkEnd w:id="225"/>
      <w:bookmarkEnd w:id="226"/>
    </w:p>
    <w:p>
      <w:pPr>
        <w:pStyle w:val="Subsection"/>
      </w:pPr>
      <w:r>
        <w:tab/>
        <w:t>(1)</w:t>
      </w:r>
      <w:r>
        <w:tab/>
        <w:t>If a body corporate is guilty of an offence against section 25 and it is proved that —</w:t>
      </w:r>
    </w:p>
    <w:p>
      <w:pPr>
        <w:pStyle w:val="Indenta"/>
        <w:spacing w:before="60"/>
      </w:pPr>
      <w:r>
        <w:tab/>
        <w:t>(a)</w:t>
      </w:r>
      <w:r>
        <w:tab/>
        <w:t>the offence was committed with the consent or connivance of an officer of the body corporate; or</w:t>
      </w:r>
    </w:p>
    <w:p>
      <w:pPr>
        <w:pStyle w:val="Indenta"/>
        <w:spacing w:before="60"/>
      </w:pPr>
      <w:r>
        <w:tab/>
        <w:t>(b)</w:t>
      </w:r>
      <w:r>
        <w:tab/>
      </w:r>
      <w:r>
        <w:rPr>
          <w:spacing w:val="-4"/>
        </w:rPr>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pPr>
      <w:r>
        <w:tab/>
        <w:t>and any other person, by whatever name called and whether or not a director of the body corporate, who is concerned, or takes part, in the management of the body corporate.</w:t>
      </w:r>
    </w:p>
    <w:p>
      <w:pPr>
        <w:pStyle w:val="Heading5"/>
      </w:pPr>
      <w:bookmarkStart w:id="227" w:name="_Toc90957165"/>
      <w:bookmarkStart w:id="228" w:name="_Toc122752728"/>
      <w:bookmarkStart w:id="229" w:name="_Toc278197819"/>
      <w:r>
        <w:rPr>
          <w:rStyle w:val="CharSectno"/>
        </w:rPr>
        <w:t>31</w:t>
      </w:r>
      <w:r>
        <w:t>.</w:t>
      </w:r>
      <w:r>
        <w:tab/>
        <w:t>Power to direct cessation or removal of unlawful development</w:t>
      </w:r>
      <w:bookmarkEnd w:id="227"/>
      <w:bookmarkEnd w:id="228"/>
      <w:bookmarkEnd w:id="229"/>
    </w:p>
    <w:p>
      <w:pPr>
        <w:pStyle w:val="Subsection"/>
      </w:pPr>
      <w:r>
        <w:tab/>
        <w:t>(1)</w:t>
      </w:r>
      <w:r>
        <w:tab/>
        <w:t>The Commission may —</w:t>
      </w:r>
    </w:p>
    <w:p>
      <w:pPr>
        <w:pStyle w:val="Indenta"/>
      </w:pPr>
      <w:r>
        <w:tab/>
        <w:t>(a)</w:t>
      </w:r>
      <w:r>
        <w:tab/>
        <w:t>by notice in writing served on a person who is undertaking any development in contravention of section 25, direct the person to stop doing so immediately; or</w:t>
      </w:r>
    </w:p>
    <w:p>
      <w:pPr>
        <w:pStyle w:val="Indenta"/>
      </w:pPr>
      <w:r>
        <w:tab/>
        <w:t>(b)</w:t>
      </w:r>
      <w:r>
        <w:tab/>
      </w:r>
      <w:r>
        <w:rPr>
          <w:spacing w:val="-2"/>
        </w:rPr>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w:t>
      </w:r>
      <w:r>
        <w:rPr>
          <w:snapToGrid w:val="0"/>
        </w:rPr>
        <w:t>State</w:t>
      </w:r>
      <w:r>
        <w:t xml:space="preserv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 xml:space="preserve">If the </w:t>
      </w:r>
      <w:r>
        <w:rPr>
          <w:snapToGrid w:val="0"/>
        </w:rPr>
        <w:t>State Administrative Tribunal</w:t>
      </w:r>
      <w:r>
        <w:t xml:space="preserve">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Commission, after the expiry of the period within which an application may be made under subsection (2) and subject to the determination of any such appeal, may itself remove, pull down, take up or alter the development and may recover from the person the costs incurred by the Commission in so doing as a debt in a court of competent jurisdiction.</w:t>
      </w:r>
    </w:p>
    <w:p>
      <w:pPr>
        <w:pStyle w:val="Footnotesection"/>
      </w:pPr>
      <w:r>
        <w:tab/>
        <w:t>[Section 31 amended by No. 24 of 2002 s. 25; No. 55 of 2004 s. 515; No. 38 of 2005 s. 15.]</w:t>
      </w:r>
    </w:p>
    <w:p>
      <w:pPr>
        <w:pStyle w:val="Heading5"/>
      </w:pPr>
      <w:bookmarkStart w:id="230" w:name="_Toc90957166"/>
      <w:bookmarkStart w:id="231" w:name="_Toc122752729"/>
      <w:bookmarkStart w:id="232" w:name="_Toc278197820"/>
      <w:r>
        <w:rPr>
          <w:rStyle w:val="CharSectno"/>
        </w:rPr>
        <w:t>32</w:t>
      </w:r>
      <w:r>
        <w:t>.</w:t>
      </w:r>
      <w:r>
        <w:tab/>
        <w:t>Powers of Minister to ensure that environmental conditions are met</w:t>
      </w:r>
      <w:bookmarkEnd w:id="230"/>
      <w:bookmarkEnd w:id="231"/>
      <w:bookmarkEnd w:id="232"/>
    </w:p>
    <w:p>
      <w:pPr>
        <w:pStyle w:val="Subsection"/>
        <w:spacing w:before="180"/>
      </w:pPr>
      <w:r>
        <w:tab/>
        <w:t>(1)</w:t>
      </w:r>
      <w:r>
        <w:tab/>
        <w:t>In this section —</w:t>
      </w:r>
    </w:p>
    <w:p>
      <w:pPr>
        <w:pStyle w:val="Defstart"/>
      </w:pPr>
      <w:r>
        <w:tab/>
      </w:r>
      <w:r>
        <w:rPr>
          <w:rStyle w:val="CharDefText"/>
        </w:rPr>
        <w:t>assessed scheme</w:t>
      </w:r>
      <w:r>
        <w:t xml:space="preserve"> means a master plan, or an amendment to a master plan,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spacing w:before="180"/>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80"/>
      </w:pPr>
      <w:r>
        <w:tab/>
        <w:t>(3)</w:t>
      </w:r>
      <w:r>
        <w:tab/>
        <w:t>For the purposes of subsection (2) the Minister may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Commission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 xml:space="preserve">the environmental condition to which the Minister for the Environment’s advice relates; </w:t>
      </w:r>
    </w:p>
    <w:p>
      <w:pPr>
        <w:pStyle w:val="Indenta"/>
      </w:pPr>
      <w:r>
        <w:tab/>
      </w:r>
      <w:r>
        <w:tab/>
        <w:t>or</w:t>
      </w:r>
    </w:p>
    <w:p>
      <w:pPr>
        <w:pStyle w:val="Indenta"/>
      </w:pPr>
      <w:r>
        <w:tab/>
        <w:t>(c)</w:t>
      </w:r>
      <w:r>
        <w:tab/>
        <w:t>advise the Commission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32 amended by No. 54 of 2003 s. 68(3).]</w:t>
      </w:r>
    </w:p>
    <w:p>
      <w:pPr>
        <w:pStyle w:val="Heading5"/>
      </w:pPr>
      <w:bookmarkStart w:id="233" w:name="_Toc90957167"/>
      <w:bookmarkStart w:id="234" w:name="_Toc122752730"/>
      <w:bookmarkStart w:id="235" w:name="_Toc278197821"/>
      <w:r>
        <w:rPr>
          <w:rStyle w:val="CharSectno"/>
        </w:rPr>
        <w:t>33</w:t>
      </w:r>
      <w:r>
        <w:t>.</w:t>
      </w:r>
      <w:r>
        <w:tab/>
        <w:t>Compensation</w:t>
      </w:r>
      <w:bookmarkEnd w:id="233"/>
      <w:bookmarkEnd w:id="234"/>
      <w:bookmarkEnd w:id="235"/>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master plan were a planning scheme under that Act;</w:t>
      </w:r>
    </w:p>
    <w:p>
      <w:pPr>
        <w:pStyle w:val="Indenta"/>
      </w:pPr>
      <w:r>
        <w:tab/>
        <w:t>(b)</w:t>
      </w:r>
      <w:r>
        <w:tab/>
        <w:t>the Commission were the responsible authority under that Act; and</w:t>
      </w:r>
    </w:p>
    <w:p>
      <w:pPr>
        <w:pStyle w:val="Indenta"/>
      </w:pPr>
      <w:r>
        <w:tab/>
        <w:t>(c)</w:t>
      </w:r>
      <w:r>
        <w:tab/>
        <w:t>in the case of land reserved, zoned or classified under the master plan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commencement of this Act, and is one that might have been made under this section, the claim may be continued after that commencement as if it had been made under this section.</w:t>
      </w:r>
    </w:p>
    <w:p>
      <w:pPr>
        <w:pStyle w:val="Footnotesection"/>
      </w:pPr>
      <w:r>
        <w:tab/>
        <w:t>[Section 33 amended by No. 38 of 2005 s. 15.]</w:t>
      </w:r>
    </w:p>
    <w:p>
      <w:pPr>
        <w:pStyle w:val="Heading2"/>
      </w:pPr>
      <w:bookmarkStart w:id="236" w:name="_Toc90956959"/>
      <w:bookmarkStart w:id="237" w:name="_Toc90957168"/>
      <w:bookmarkStart w:id="238" w:name="_Toc90957219"/>
      <w:bookmarkStart w:id="239" w:name="_Toc92858207"/>
      <w:bookmarkStart w:id="240" w:name="_Toc122752731"/>
      <w:bookmarkStart w:id="241" w:name="_Toc122752784"/>
      <w:bookmarkStart w:id="242" w:name="_Toc131396502"/>
      <w:bookmarkStart w:id="243" w:name="_Toc137630191"/>
      <w:bookmarkStart w:id="244" w:name="_Toc142796903"/>
      <w:bookmarkStart w:id="245" w:name="_Toc144090504"/>
      <w:bookmarkStart w:id="246" w:name="_Toc144090999"/>
      <w:bookmarkStart w:id="247" w:name="_Toc145732768"/>
      <w:bookmarkStart w:id="248" w:name="_Toc157914214"/>
      <w:bookmarkStart w:id="249" w:name="_Toc270321197"/>
      <w:bookmarkStart w:id="250" w:name="_Toc278197822"/>
      <w:r>
        <w:rPr>
          <w:rStyle w:val="CharPartNo"/>
        </w:rPr>
        <w:t>Part 5</w:t>
      </w:r>
      <w:r>
        <w:rPr>
          <w:rStyle w:val="CharDivNo"/>
        </w:rPr>
        <w:t xml:space="preserve"> </w:t>
      </w:r>
      <w:r>
        <w:t>—</w:t>
      </w:r>
      <w:r>
        <w:rPr>
          <w:rStyle w:val="CharDivText"/>
        </w:rPr>
        <w:t xml:space="preserve"> </w:t>
      </w:r>
      <w:r>
        <w:rPr>
          <w:rStyle w:val="CharPartText"/>
        </w:rPr>
        <w:t>General</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90957169"/>
      <w:bookmarkStart w:id="252" w:name="_Toc122752732"/>
      <w:bookmarkStart w:id="253" w:name="_Toc278197823"/>
      <w:r>
        <w:rPr>
          <w:rStyle w:val="CharSectno"/>
        </w:rPr>
        <w:t>34</w:t>
      </w:r>
      <w:r>
        <w:t>.</w:t>
      </w:r>
      <w:r>
        <w:tab/>
        <w:t>Modification of other laws</w:t>
      </w:r>
      <w:bookmarkEnd w:id="251"/>
      <w:bookmarkEnd w:id="252"/>
      <w:bookmarkEnd w:id="253"/>
    </w:p>
    <w:p>
      <w:pPr>
        <w:pStyle w:val="Subsection"/>
      </w:pPr>
      <w:r>
        <w:tab/>
        <w:t>(1)</w:t>
      </w:r>
      <w:r>
        <w:tab/>
        <w:t xml:space="preserve">Section 132 of the </w:t>
      </w:r>
      <w:r>
        <w:rPr>
          <w:i/>
        </w:rPr>
        <w:t>Planning and Development Act 2005</w:t>
      </w:r>
      <w:r>
        <w:rPr>
          <w:iCs/>
        </w:rPr>
        <w:t xml:space="preserve"> </w:t>
      </w:r>
      <w:r>
        <w:t xml:space="preserve">applies with all necessary modifications for the purpose of carrying out a master plan as if the reference in that section — </w:t>
      </w:r>
    </w:p>
    <w:p>
      <w:pPr>
        <w:pStyle w:val="Indenta"/>
      </w:pPr>
      <w:r>
        <w:tab/>
        <w:t>(a)</w:t>
      </w:r>
      <w:r>
        <w:tab/>
        <w:t>to a planning scheme were a reference to that master plan;</w:t>
      </w:r>
    </w:p>
    <w:p>
      <w:pPr>
        <w:pStyle w:val="Indenta"/>
      </w:pPr>
      <w:r>
        <w:tab/>
        <w:t>(b)</w:t>
      </w:r>
      <w:r>
        <w:tab/>
        <w:t>to the responsible authority were a reference to the Commission; and</w:t>
      </w:r>
    </w:p>
    <w:p>
      <w:pPr>
        <w:pStyle w:val="Indenta"/>
      </w:pPr>
      <w:r>
        <w:tab/>
        <w:t>(c)</w:t>
      </w:r>
      <w:r>
        <w:tab/>
        <w:t>to an Act were a reference to a written law.</w:t>
      </w:r>
    </w:p>
    <w:p>
      <w:pPr>
        <w:pStyle w:val="Subsection"/>
      </w:pPr>
      <w:r>
        <w:tab/>
        <w:t>(2)</w:t>
      </w:r>
      <w:r>
        <w:tab/>
        <w:t xml:space="preserve">Despite anything in the </w:t>
      </w:r>
      <w:r>
        <w:rPr>
          <w:i/>
        </w:rPr>
        <w:t>Local Government Act 1995</w:t>
      </w:r>
      <w:r>
        <w:t xml:space="preserve"> to the contrary — </w:t>
      </w:r>
    </w:p>
    <w:p>
      <w:pPr>
        <w:pStyle w:val="Indenta"/>
      </w:pPr>
      <w:r>
        <w:tab/>
        <w:t>(a)</w:t>
      </w:r>
      <w:r>
        <w:tab/>
        <w:t xml:space="preserve">the method of valuation of land to be used by a local government as the basis for a rate on rateable land within the redevelopment area is to be — </w:t>
      </w:r>
    </w:p>
    <w:p>
      <w:pPr>
        <w:pStyle w:val="Indenti"/>
      </w:pPr>
      <w:r>
        <w:tab/>
        <w:t>(i)</w:t>
      </w:r>
      <w:r>
        <w:tab/>
        <w:t>the same method used in relation to that land immediately before the commencement of this Act, unless paragraph (b) applies; and</w:t>
      </w:r>
    </w:p>
    <w:p>
      <w:pPr>
        <w:pStyle w:val="Indenti"/>
      </w:pPr>
      <w:r>
        <w:tab/>
        <w:t>(ii)</w:t>
      </w:r>
      <w:r>
        <w:tab/>
        <w:t>if a development has commenced in respect of the land, the method of valuation to be used in accordance with the use approved in respect of the development;</w:t>
      </w:r>
    </w:p>
    <w:p>
      <w:pPr>
        <w:pStyle w:val="Indenta"/>
      </w:pPr>
      <w:r>
        <w:tab/>
      </w:r>
      <w:r>
        <w:tab/>
        <w:t>and</w:t>
      </w:r>
    </w:p>
    <w:p>
      <w:pPr>
        <w:pStyle w:val="Indenta"/>
      </w:pPr>
      <w:r>
        <w:tab/>
        <w:t>(b)</w:t>
      </w:r>
      <w:r>
        <w:tab/>
      </w:r>
      <w:r>
        <w:rPr>
          <w:spacing w:val="-4"/>
        </w:rPr>
        <w:t xml:space="preserve">under section 6.32(1) of that Act, a local government may not impose on rateable land in the redevelopment area — </w:t>
      </w:r>
    </w:p>
    <w:p>
      <w:pPr>
        <w:pStyle w:val="Indenti"/>
      </w:pPr>
      <w:r>
        <w:tab/>
        <w:t>(i)</w:t>
      </w:r>
      <w:r>
        <w:tab/>
        <w:t>a rate differentially;</w:t>
      </w:r>
    </w:p>
    <w:p>
      <w:pPr>
        <w:pStyle w:val="Indenti"/>
      </w:pPr>
      <w:r>
        <w:tab/>
        <w:t>(ii)</w:t>
      </w:r>
      <w:r>
        <w:tab/>
        <w:t>a specified area rate;</w:t>
      </w:r>
    </w:p>
    <w:p>
      <w:pPr>
        <w:pStyle w:val="Indenti"/>
      </w:pPr>
      <w:r>
        <w:tab/>
        <w:t>(iii)</w:t>
      </w:r>
      <w:r>
        <w:tab/>
        <w:t xml:space="preserve">a minimum payment; or </w:t>
      </w:r>
    </w:p>
    <w:p>
      <w:pPr>
        <w:pStyle w:val="Indenti"/>
      </w:pPr>
      <w:r>
        <w:tab/>
        <w:t>(iv)</w:t>
      </w:r>
      <w:r>
        <w:tab/>
        <w:t>a service charge,</w:t>
      </w:r>
    </w:p>
    <w:p>
      <w:pPr>
        <w:pStyle w:val="Indenta"/>
      </w:pPr>
      <w:r>
        <w:tab/>
      </w:r>
      <w:r>
        <w:tab/>
        <w:t>merely on the basis that the land is in the redevelopment area.</w:t>
      </w:r>
    </w:p>
    <w:p>
      <w:pPr>
        <w:pStyle w:val="Subsection"/>
      </w:pPr>
      <w:r>
        <w:tab/>
        <w:t>(3)</w:t>
      </w:r>
      <w:r>
        <w:tab/>
        <w:t xml:space="preserve">Subsection (2) does not affect the operation of section 32 of the </w:t>
      </w:r>
      <w:r>
        <w:rPr>
          <w:i/>
        </w:rPr>
        <w:t>Western Australian Land Authority Act 1992</w:t>
      </w:r>
      <w:r>
        <w:t>.</w:t>
      </w:r>
    </w:p>
    <w:p>
      <w:pPr>
        <w:pStyle w:val="Subsection"/>
      </w:pPr>
      <w:r>
        <w:tab/>
        <w:t>(4)</w:t>
      </w:r>
      <w:r>
        <w:tab/>
        <w:t xml:space="preserve">In subsection (2) — </w:t>
      </w:r>
    </w:p>
    <w:p>
      <w:pPr>
        <w:pStyle w:val="Defstart"/>
      </w:pPr>
      <w:r>
        <w:tab/>
      </w:r>
      <w:r>
        <w:rPr>
          <w:rStyle w:val="CharDefText"/>
        </w:rPr>
        <w:t>development</w:t>
      </w:r>
      <w:r>
        <w:t xml:space="preserve"> means — </w:t>
      </w:r>
    </w:p>
    <w:p>
      <w:pPr>
        <w:pStyle w:val="Defpara"/>
      </w:pPr>
      <w:r>
        <w:tab/>
        <w:t>(a)</w:t>
      </w:r>
      <w:r>
        <w:tab/>
        <w:t>a development approved under Part 4; or</w:t>
      </w:r>
    </w:p>
    <w:p>
      <w:pPr>
        <w:pStyle w:val="Defpara"/>
      </w:pPr>
      <w:r>
        <w:tab/>
        <w:t>(b)</w:t>
      </w:r>
      <w:r>
        <w:tab/>
        <w:t>a development in respect of which all necessary approvals under the planning schemes referred to in section 23(3) were in force immediately before the commencement of this Act;</w:t>
      </w:r>
    </w:p>
    <w:p>
      <w:pPr>
        <w:pStyle w:val="Defstart"/>
      </w:pPr>
      <w:r>
        <w:rPr>
          <w:b/>
        </w:rPr>
        <w:tab/>
      </w:r>
      <w:r>
        <w:rPr>
          <w:rStyle w:val="CharDefText"/>
        </w:rPr>
        <w:t>rateable land</w:t>
      </w:r>
      <w:r>
        <w:t xml:space="preserve"> has the same meaning as it has for the purposes of the </w:t>
      </w:r>
      <w:r>
        <w:rPr>
          <w:i/>
        </w:rPr>
        <w:t>Local Government Act 1995</w:t>
      </w:r>
      <w:r>
        <w:t>.</w:t>
      </w:r>
    </w:p>
    <w:p>
      <w:pPr>
        <w:pStyle w:val="Footnotesection"/>
      </w:pPr>
      <w:r>
        <w:tab/>
        <w:t>[Section 34 amended by No. 38 of 2005 s. 15.]</w:t>
      </w:r>
    </w:p>
    <w:p>
      <w:pPr>
        <w:pStyle w:val="Heading5"/>
      </w:pPr>
      <w:bookmarkStart w:id="254" w:name="_Toc90957170"/>
      <w:bookmarkStart w:id="255" w:name="_Toc122752733"/>
      <w:bookmarkStart w:id="256" w:name="_Toc278197824"/>
      <w:r>
        <w:rPr>
          <w:rStyle w:val="CharSectno"/>
        </w:rPr>
        <w:t>35</w:t>
      </w:r>
      <w:r>
        <w:t>.</w:t>
      </w:r>
      <w:r>
        <w:tab/>
        <w:t>Regulations</w:t>
      </w:r>
      <w:bookmarkEnd w:id="254"/>
      <w:bookmarkEnd w:id="255"/>
      <w:bookmarkEnd w:id="2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4; and</w:t>
      </w:r>
    </w:p>
    <w:p>
      <w:pPr>
        <w:pStyle w:val="Indenta"/>
      </w:pPr>
      <w:r>
        <w:tab/>
        <w:t>(b)</w:t>
      </w:r>
      <w:r>
        <w:tab/>
        <w:t>the imposition and payment of fees and charges in connection with those applications.</w:t>
      </w:r>
    </w:p>
    <w:p>
      <w:pPr>
        <w:pStyle w:val="Heading5"/>
      </w:pPr>
      <w:bookmarkStart w:id="257" w:name="_Toc90957171"/>
      <w:bookmarkStart w:id="258" w:name="_Toc122752734"/>
      <w:bookmarkStart w:id="259" w:name="_Toc278197825"/>
      <w:r>
        <w:rPr>
          <w:rStyle w:val="CharSectno"/>
        </w:rPr>
        <w:t>36</w:t>
      </w:r>
      <w:r>
        <w:t>.</w:t>
      </w:r>
      <w:r>
        <w:tab/>
        <w:t>Review of Act</w:t>
      </w:r>
      <w:bookmarkEnd w:id="257"/>
      <w:bookmarkEnd w:id="258"/>
      <w:bookmarkEnd w:id="259"/>
    </w:p>
    <w:p>
      <w:pPr>
        <w:pStyle w:val="Subsection"/>
      </w:pPr>
      <w:r>
        <w:tab/>
        <w:t>(1)</w:t>
      </w:r>
      <w:r>
        <w:tab/>
        <w:t>The Minister is to carry out a review of the operation and effectiveness of this Act as soon as is practicable after the expiration of 5 years from the commencement of this Act.</w:t>
      </w:r>
    </w:p>
    <w:p>
      <w:pPr>
        <w:pStyle w:val="Subsection"/>
        <w:keepNext/>
      </w:pPr>
      <w:r>
        <w:tab/>
        <w:t>(2)</w:t>
      </w:r>
      <w:r>
        <w:tab/>
        <w:t xml:space="preserve">In the course of the review the Minister is to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Ednotedivision"/>
      </w:pPr>
      <w:r>
        <w:t>[Part 6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60" w:name="_Toc90956967"/>
      <w:bookmarkStart w:id="261" w:name="_Toc90957176"/>
      <w:bookmarkStart w:id="262" w:name="_Toc122752739"/>
      <w:bookmarkStart w:id="263" w:name="_Toc122752792"/>
      <w:bookmarkStart w:id="264" w:name="_Toc131396510"/>
      <w:bookmarkStart w:id="265" w:name="_Toc137630199"/>
      <w:bookmarkStart w:id="266" w:name="_Toc142796911"/>
      <w:bookmarkStart w:id="267" w:name="_Toc144090508"/>
      <w:bookmarkStart w:id="268" w:name="_Toc144091003"/>
      <w:bookmarkStart w:id="269" w:name="_Toc145732772"/>
      <w:bookmarkStart w:id="270" w:name="_Toc157914218"/>
      <w:bookmarkStart w:id="271" w:name="_Toc270321201"/>
      <w:bookmarkStart w:id="272" w:name="_Toc278197826"/>
      <w:r>
        <w:rPr>
          <w:rStyle w:val="CharSchNo"/>
        </w:rPr>
        <w:t>Schedule 1</w:t>
      </w:r>
      <w:r>
        <w:t xml:space="preserve"> — </w:t>
      </w:r>
      <w:r>
        <w:rPr>
          <w:rStyle w:val="CharSchText"/>
        </w:rPr>
        <w:t>Redevelopment area</w:t>
      </w:r>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yShoulderClause"/>
      </w:pPr>
      <w:r>
        <w:t>[s. 4]</w:t>
      </w:r>
    </w:p>
    <w:p>
      <w:pPr>
        <w:pStyle w:val="yMiscellaneousBody"/>
      </w:pPr>
      <w:r>
        <w:t>All of the land in the area described as the redevelopment area on Plan No. 1 held at the office of the Western Australian Land Authority, that plan being certified by the Minister as being the plan prepared for the purpose of defining the redevelopment area.</w:t>
      </w:r>
    </w:p>
    <w:p>
      <w:pPr>
        <w:pStyle w:val="yMiscellaneousBody"/>
      </w:pPr>
      <w:r>
        <w:t xml:space="preserve">For guidance, the redevelopment area is indicated in the following representation of Plan No. 1 — </w:t>
      </w:r>
    </w:p>
    <w:p>
      <w:pPr>
        <w:pStyle w:val="ySubsection"/>
        <w:spacing w:before="0"/>
      </w:pPr>
      <w:r>
        <w:rPr>
          <w:noProof/>
          <w:lang w:eastAsia="en-AU"/>
        </w:rPr>
        <w:drawing>
          <wp:inline distT="0" distB="0" distL="0" distR="0">
            <wp:extent cx="4495800" cy="6467475"/>
            <wp:effectExtent l="0" t="0" r="0" b="9525"/>
            <wp:docPr id="1" name="Picture 1" descr="Ho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pe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6467475"/>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73" w:name="_Toc90956968"/>
      <w:bookmarkStart w:id="274" w:name="_Toc90957177"/>
      <w:bookmarkStart w:id="275" w:name="_Toc90957228"/>
      <w:bookmarkStart w:id="276" w:name="_Toc92858216"/>
      <w:bookmarkStart w:id="277" w:name="_Toc122752740"/>
      <w:bookmarkStart w:id="278" w:name="_Toc122752793"/>
      <w:bookmarkStart w:id="279" w:name="_Toc131396511"/>
      <w:bookmarkStart w:id="280" w:name="_Toc137630200"/>
      <w:bookmarkStart w:id="281" w:name="_Toc142796912"/>
      <w:bookmarkStart w:id="282" w:name="_Toc144090509"/>
      <w:bookmarkStart w:id="283" w:name="_Toc144091004"/>
      <w:bookmarkStart w:id="284" w:name="_Toc145732773"/>
      <w:bookmarkStart w:id="285" w:name="_Toc157914219"/>
      <w:bookmarkStart w:id="286" w:name="_Toc270321202"/>
      <w:bookmarkStart w:id="287" w:name="_Toc278197827"/>
      <w:r>
        <w:t>Notes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nSubsection"/>
        <w:rPr>
          <w:snapToGrid w:val="0"/>
        </w:rPr>
      </w:pPr>
      <w:r>
        <w:rPr>
          <w:snapToGrid w:val="0"/>
          <w:vertAlign w:val="superscript"/>
        </w:rPr>
        <w:t>1</w:t>
      </w:r>
      <w:r>
        <w:rPr>
          <w:snapToGrid w:val="0"/>
        </w:rPr>
        <w:tab/>
        <w:t xml:space="preserve">This is a compilation of the </w:t>
      </w:r>
      <w:r>
        <w:rPr>
          <w:i/>
          <w:noProof/>
          <w:snapToGrid w:val="0"/>
        </w:rPr>
        <w:t>Hope Valley-Wattleup Redevelopment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8" w:name="_Toc278197828"/>
      <w:r>
        <w:rPr>
          <w:snapToGrid w:val="0"/>
        </w:rPr>
        <w:t>Compilation table</w:t>
      </w:r>
      <w:bookmarkEnd w:id="288"/>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Hope Valley</w:t>
            </w:r>
            <w:r>
              <w:rPr>
                <w:i/>
                <w:snapToGrid w:val="0"/>
                <w:sz w:val="19"/>
              </w:rPr>
              <w:noBreakHyphen/>
              <w:t>Wattleup Redevelopment Act 2000</w:t>
            </w:r>
          </w:p>
        </w:tc>
        <w:tc>
          <w:tcPr>
            <w:tcW w:w="1134" w:type="dxa"/>
            <w:tcBorders>
              <w:top w:val="single" w:sz="8" w:space="0" w:color="auto"/>
            </w:tcBorders>
          </w:tcPr>
          <w:p>
            <w:pPr>
              <w:pStyle w:val="nTable"/>
              <w:spacing w:after="40"/>
              <w:rPr>
                <w:sz w:val="19"/>
              </w:rPr>
            </w:pPr>
            <w:r>
              <w:rPr>
                <w:sz w:val="19"/>
              </w:rPr>
              <w:t>77 of 2000</w:t>
            </w:r>
          </w:p>
        </w:tc>
        <w:tc>
          <w:tcPr>
            <w:tcW w:w="1134" w:type="dxa"/>
            <w:tcBorders>
              <w:top w:val="single" w:sz="8" w:space="0" w:color="auto"/>
            </w:tcBorders>
          </w:tcPr>
          <w:p>
            <w:pPr>
              <w:pStyle w:val="nTable"/>
              <w:spacing w:after="40"/>
              <w:rPr>
                <w:sz w:val="19"/>
              </w:rPr>
            </w:pPr>
            <w:r>
              <w:rPr>
                <w:sz w:val="19"/>
              </w:rPr>
              <w:t>7 Dec 2000</w:t>
            </w:r>
          </w:p>
        </w:tc>
        <w:tc>
          <w:tcPr>
            <w:tcW w:w="2552" w:type="dxa"/>
            <w:tcBorders>
              <w:top w:val="single" w:sz="8" w:space="0" w:color="auto"/>
            </w:tcBorders>
          </w:tcPr>
          <w:p>
            <w:pPr>
              <w:pStyle w:val="nTable"/>
              <w:spacing w:after="40"/>
              <w:rPr>
                <w:sz w:val="19"/>
              </w:rPr>
            </w:pPr>
            <w:r>
              <w:rPr>
                <w:sz w:val="19"/>
              </w:rPr>
              <w:t xml:space="preserve">s. 3(2): 7 Dec 2000 (see s. 2(3)); </w:t>
            </w:r>
            <w:r>
              <w:rPr>
                <w:sz w:val="19"/>
              </w:rPr>
              <w:br/>
              <w:t xml:space="preserve">balance: 1 Jan 2001 (see s. 2(1) and </w:t>
            </w:r>
            <w:r>
              <w:rPr>
                <w:i/>
                <w:sz w:val="19"/>
              </w:rPr>
              <w:t>Gazette</w:t>
            </w:r>
            <w:r>
              <w:rPr>
                <w:sz w:val="19"/>
              </w:rPr>
              <w:t xml:space="preserve"> 29 Dec 2000 p. 7904)</w:t>
            </w:r>
          </w:p>
        </w:tc>
      </w:tr>
      <w:tr>
        <w:tc>
          <w:tcPr>
            <w:tcW w:w="2268" w:type="dxa"/>
          </w:tcPr>
          <w:p>
            <w:pPr>
              <w:pStyle w:val="nTable"/>
              <w:spacing w:after="40"/>
              <w:rPr>
                <w:snapToGrid w:val="0"/>
                <w:sz w:val="19"/>
              </w:rPr>
            </w:pPr>
            <w:r>
              <w:rPr>
                <w:i/>
                <w:snapToGrid w:val="0"/>
                <w:sz w:val="19"/>
              </w:rPr>
              <w:t>Planning Appeals Amendment Act 2002</w:t>
            </w:r>
            <w:r>
              <w:rPr>
                <w:snapToGrid w:val="0"/>
                <w:sz w:val="19"/>
              </w:rPr>
              <w:t xml:space="preserve"> s. 25</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napToGrid w:val="0"/>
                <w:sz w:val="19"/>
              </w:rPr>
            </w:pPr>
            <w:r>
              <w:rPr>
                <w:i/>
                <w:snapToGrid w:val="0"/>
                <w:sz w:val="19"/>
              </w:rPr>
              <w:t xml:space="preserve">Environmental Protection Amendment Act 2003 </w:t>
            </w:r>
            <w:r>
              <w:rPr>
                <w:snapToGrid w:val="0"/>
                <w:sz w:val="19"/>
              </w:rPr>
              <w:t>s. 68(3)</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62</w:t>
            </w:r>
            <w:r>
              <w:rPr>
                <w:rFonts w:ascii="Times" w:hAnsi="Times"/>
                <w:sz w:val="19"/>
                <w:vertAlign w:val="superscript"/>
              </w:rPr>
              <w:t> </w:t>
            </w:r>
            <w:r>
              <w:rPr>
                <w:sz w:val="19"/>
                <w:vertAlign w:val="superscript"/>
              </w:rPr>
              <w:t>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rFonts w:ascii="Times" w:hAnsi="Times"/>
                <w:b/>
                <w:bCs/>
                <w:sz w:val="19"/>
              </w:rPr>
              <w:t xml:space="preserve">Reprint 1:  The </w:t>
            </w:r>
            <w:r>
              <w:rPr>
                <w:b/>
                <w:bCs/>
                <w:i/>
                <w:snapToGrid w:val="0"/>
                <w:sz w:val="19"/>
              </w:rPr>
              <w:t>Hope Valley</w:t>
            </w:r>
            <w:r>
              <w:rPr>
                <w:b/>
                <w:bCs/>
                <w:i/>
                <w:snapToGrid w:val="0"/>
                <w:sz w:val="19"/>
              </w:rPr>
              <w:noBreakHyphen/>
              <w:t xml:space="preserve">Wattleup Redevelopment Act 2000 </w:t>
            </w:r>
            <w:r>
              <w:rPr>
                <w:rFonts w:ascii="Times" w:hAnsi="Times"/>
                <w:b/>
                <w:bCs/>
                <w:sz w:val="19"/>
              </w:rPr>
              <w:t>as at 1 Sep 2006</w:t>
            </w:r>
            <w:r>
              <w:rPr>
                <w:rFonts w:ascii="Times" w:hAnsi="Times"/>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top w:val="nil"/>
              <w:bottom w:val="nil"/>
            </w:tcBorders>
          </w:tcPr>
          <w:p>
            <w:pPr>
              <w:pStyle w:val="nTable"/>
              <w:spacing w:after="40"/>
              <w:rPr>
                <w:rFonts w:ascii="Times" w:hAnsi="Times"/>
                <w:sz w:val="19"/>
              </w:rPr>
            </w:pPr>
            <w:r>
              <w:rPr>
                <w:snapToGrid w:val="0"/>
                <w:sz w:val="19"/>
                <w:lang w:val="en-US"/>
              </w:rPr>
              <w:t xml:space="preserve">77 of 2006 </w:t>
            </w:r>
          </w:p>
        </w:tc>
        <w:tc>
          <w:tcPr>
            <w:tcW w:w="1134" w:type="dxa"/>
            <w:tcBorders>
              <w:top w:val="nil"/>
              <w:bottom w:val="nil"/>
            </w:tcBorders>
          </w:tcPr>
          <w:p>
            <w:pPr>
              <w:pStyle w:val="nTable"/>
              <w:spacing w:after="40"/>
              <w:rPr>
                <w:rFonts w:ascii="Times" w:hAnsi="Times"/>
                <w:sz w:val="19"/>
              </w:rPr>
            </w:pPr>
            <w:r>
              <w:rPr>
                <w:snapToGrid w:val="0"/>
                <w:sz w:val="19"/>
                <w:lang w:val="en-US"/>
              </w:rPr>
              <w:t>21 Dec 2006</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Approvals and Related Reforms (No. 4) (Planning) Act 2010</w:t>
            </w:r>
            <w:r>
              <w:t xml:space="preserve"> s. 32</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28 of 2010</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19 Aug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bl>
    <w:p>
      <w:pPr>
        <w:pStyle w:val="nSubsection"/>
      </w:pPr>
      <w:r>
        <w:rPr>
          <w:vertAlign w:val="superscript"/>
        </w:rPr>
        <w:t>2</w:t>
      </w:r>
      <w:r>
        <w:tab/>
        <w:t xml:space="preserve">Repealed by the </w:t>
      </w:r>
      <w:r>
        <w:rPr>
          <w:i/>
          <w:iCs/>
        </w:rPr>
        <w:t>Planning and Development (Consequential and Transitional Provisions) Act 2005</w:t>
      </w:r>
      <w:r>
        <w:t xml:space="preserve"> s. 4.</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Hope Valley-Wattleup Redevelopment Act 2000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Hope Valley-Wattleup Redevelopment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3237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EEF3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B0B8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A081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E6D3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C016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289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F645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7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AA6B3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FF04C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6C830D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4FBB7277"/>
    <w:multiLevelType w:val="multilevel"/>
    <w:tmpl w:val="5764EE2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6876</Words>
  <Characters>32732</Characters>
  <Application>Microsoft Office Word</Application>
  <DocSecurity>0</DocSecurity>
  <Lines>909</Lines>
  <Paragraphs>501</Paragraphs>
  <ScaleCrop>false</ScaleCrop>
  <HeadingPairs>
    <vt:vector size="2" baseType="variant">
      <vt:variant>
        <vt:lpstr>Title</vt:lpstr>
      </vt:variant>
      <vt:variant>
        <vt:i4>1</vt:i4>
      </vt:variant>
    </vt:vector>
  </HeadingPairs>
  <TitlesOfParts>
    <vt:vector size="1" baseType="lpstr">
      <vt:lpstr>Hope Valley-Wattleup Redevelopment Act 2000</vt:lpstr>
    </vt:vector>
  </TitlesOfParts>
  <Manager/>
  <Company/>
  <LinksUpToDate>false</LinksUpToDate>
  <CharactersWithSpaces>39107</CharactersWithSpaces>
  <SharedDoc>false</SharedDoc>
  <HyperlinkBase/>
  <HLinks>
    <vt:vector size="6" baseType="variant">
      <vt:variant>
        <vt:i4>655384</vt:i4>
      </vt:variant>
      <vt:variant>
        <vt:i4>38754</vt:i4>
      </vt:variant>
      <vt:variant>
        <vt:i4>1025</vt:i4>
      </vt:variant>
      <vt:variant>
        <vt:i4>1</vt:i4>
      </vt:variant>
      <vt:variant>
        <vt:lpwstr>Hope2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Act 2000 - 01-d0-01</dc:title>
  <dc:subject/>
  <dc:creator/>
  <cp:keywords/>
  <dc:description/>
  <cp:lastModifiedBy>svcMRProcess</cp:lastModifiedBy>
  <cp:revision>4</cp:revision>
  <cp:lastPrinted>2006-08-23T02:11:00Z</cp:lastPrinted>
  <dcterms:created xsi:type="dcterms:W3CDTF">2018-09-03T00:59:00Z</dcterms:created>
  <dcterms:modified xsi:type="dcterms:W3CDTF">2018-09-03T00:59:00Z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2000</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2064</vt:i4>
  </property>
  <property fmtid="{D5CDD505-2E9C-101B-9397-08002B2CF9AE}" pid="6" name="AsAtDate">
    <vt:lpwstr>22 Nov 2010</vt:lpwstr>
  </property>
  <property fmtid="{D5CDD505-2E9C-101B-9397-08002B2CF9AE}" pid="7" name="Suffix">
    <vt:lpwstr>01-d0-01</vt:lpwstr>
  </property>
</Properties>
</file>