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_Toc278467533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_Toc278467534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_Toc278467535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zCs w:val="24"/>
        </w:rPr>
        <w:tab/>
        <w:t>No entry without cause</w:t>
      </w:r>
      <w:r>
        <w:tab/>
      </w:r>
      <w:r>
        <w:fldChar w:fldCharType="begin"/>
      </w:r>
      <w:r>
        <w:instrText xml:space="preserve"> PAGEREF _Toc278467537 \h </w:instrText>
      </w:r>
      <w:r>
        <w:fldChar w:fldCharType="separate"/>
      </w:r>
      <w:r>
        <w:t>3</w:t>
      </w:r>
      <w:r>
        <w:fldChar w:fldCharType="end"/>
      </w:r>
    </w:p>
    <w:p>
      <w:pPr>
        <w:pStyle w:val="TOC8"/>
        <w:rPr>
          <w:sz w:val="24"/>
          <w:szCs w:val="24"/>
        </w:rPr>
      </w:pPr>
      <w:r>
        <w:rPr>
          <w:szCs w:val="24"/>
        </w:rPr>
        <w:t>5.</w:t>
      </w:r>
      <w:r>
        <w:rPr>
          <w:szCs w:val="24"/>
        </w:rPr>
        <w:tab/>
      </w:r>
      <w:r>
        <w:rPr>
          <w:snapToGrid w:val="0"/>
          <w:szCs w:val="24"/>
        </w:rPr>
        <w:t>Directions as to use of certain areas</w:t>
      </w:r>
      <w:r>
        <w:tab/>
      </w:r>
      <w:r>
        <w:fldChar w:fldCharType="begin"/>
      </w:r>
      <w:r>
        <w:instrText xml:space="preserve"> PAGEREF _Toc278467538 \h </w:instrText>
      </w:r>
      <w:r>
        <w:fldChar w:fldCharType="separate"/>
      </w:r>
      <w:r>
        <w:t>3</w:t>
      </w:r>
      <w:r>
        <w:fldChar w:fldCharType="end"/>
      </w:r>
    </w:p>
    <w:p>
      <w:pPr>
        <w:pStyle w:val="TOC8"/>
        <w:rPr>
          <w:sz w:val="24"/>
          <w:szCs w:val="24"/>
        </w:rPr>
      </w:pPr>
      <w:r>
        <w:rPr>
          <w:szCs w:val="24"/>
        </w:rPr>
        <w:t>6.</w:t>
      </w:r>
      <w:r>
        <w:rPr>
          <w:szCs w:val="24"/>
        </w:rPr>
        <w:tab/>
        <w:t>Liquor</w:t>
      </w:r>
      <w:r>
        <w:tab/>
      </w:r>
      <w:r>
        <w:fldChar w:fldCharType="begin"/>
      </w:r>
      <w:r>
        <w:instrText xml:space="preserve"> PAGEREF _Toc278467539 \h </w:instrText>
      </w:r>
      <w:r>
        <w:fldChar w:fldCharType="separate"/>
      </w:r>
      <w:r>
        <w:t>3</w:t>
      </w:r>
      <w:r>
        <w:fldChar w:fldCharType="end"/>
      </w:r>
    </w:p>
    <w:p>
      <w:pPr>
        <w:pStyle w:val="TOC8"/>
        <w:rPr>
          <w:sz w:val="24"/>
          <w:szCs w:val="24"/>
        </w:rPr>
      </w:pPr>
      <w:r>
        <w:rPr>
          <w:szCs w:val="24"/>
        </w:rPr>
        <w:t>7.</w:t>
      </w:r>
      <w:r>
        <w:rPr>
          <w:szCs w:val="24"/>
        </w:rPr>
        <w:tab/>
        <w:t>Smoking</w:t>
      </w:r>
      <w:r>
        <w:tab/>
      </w:r>
      <w:r>
        <w:fldChar w:fldCharType="begin"/>
      </w:r>
      <w:r>
        <w:instrText xml:space="preserve"> PAGEREF _Toc278467540 \h </w:instrText>
      </w:r>
      <w:r>
        <w:fldChar w:fldCharType="separate"/>
      </w:r>
      <w:r>
        <w:t>3</w:t>
      </w:r>
      <w:r>
        <w:fldChar w:fldCharType="end"/>
      </w:r>
    </w:p>
    <w:p>
      <w:pPr>
        <w:pStyle w:val="TOC8"/>
        <w:rPr>
          <w:sz w:val="24"/>
          <w:szCs w:val="24"/>
        </w:rPr>
      </w:pPr>
      <w:r>
        <w:rPr>
          <w:szCs w:val="24"/>
        </w:rPr>
        <w:t>8.</w:t>
      </w:r>
      <w:r>
        <w:rPr>
          <w:szCs w:val="24"/>
        </w:rPr>
        <w:tab/>
        <w:t>Disorderly persons may be removed from site</w:t>
      </w:r>
      <w:r>
        <w:tab/>
      </w:r>
      <w:r>
        <w:fldChar w:fldCharType="begin"/>
      </w:r>
      <w:r>
        <w:instrText xml:space="preserve"> PAGEREF _Toc278467541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9.</w:t>
      </w:r>
      <w:r>
        <w:rPr>
          <w:szCs w:val="24"/>
        </w:rPr>
        <w:tab/>
        <w:t>Driving of vehicles</w:t>
      </w:r>
      <w:r>
        <w:tab/>
      </w:r>
      <w:r>
        <w:fldChar w:fldCharType="begin"/>
      </w:r>
      <w:r>
        <w:instrText xml:space="preserve"> PAGEREF _Toc278467544 \h </w:instrText>
      </w:r>
      <w:r>
        <w:fldChar w:fldCharType="separate"/>
      </w:r>
      <w:r>
        <w:t>5</w:t>
      </w:r>
      <w:r>
        <w:fldChar w:fldCharType="end"/>
      </w:r>
    </w:p>
    <w:p>
      <w:pPr>
        <w:pStyle w:val="TOC8"/>
        <w:rPr>
          <w:sz w:val="24"/>
          <w:szCs w:val="24"/>
        </w:rPr>
      </w:pPr>
      <w:r>
        <w:rPr>
          <w:szCs w:val="24"/>
        </w:rPr>
        <w:t>10.</w:t>
      </w:r>
      <w:r>
        <w:rPr>
          <w:szCs w:val="24"/>
        </w:rPr>
        <w:tab/>
        <w:t>Driver to obey reasonable direction</w:t>
      </w:r>
      <w:r>
        <w:tab/>
      </w:r>
      <w:r>
        <w:fldChar w:fldCharType="begin"/>
      </w:r>
      <w:r>
        <w:instrText xml:space="preserve"> PAGEREF _Toc278467545 \h </w:instrText>
      </w:r>
      <w:r>
        <w:fldChar w:fldCharType="separate"/>
      </w:r>
      <w:r>
        <w:t>5</w:t>
      </w:r>
      <w:r>
        <w:fldChar w:fldCharType="end"/>
      </w:r>
    </w:p>
    <w:p>
      <w:pPr>
        <w:pStyle w:val="TOC8"/>
        <w:rPr>
          <w:sz w:val="24"/>
          <w:szCs w:val="24"/>
        </w:rPr>
      </w:pPr>
      <w:r>
        <w:rPr>
          <w:szCs w:val="24"/>
        </w:rPr>
        <w:t>11.</w:t>
      </w:r>
      <w:r>
        <w:rPr>
          <w:szCs w:val="24"/>
        </w:rPr>
        <w:tab/>
        <w:t>Speed limits</w:t>
      </w:r>
      <w:r>
        <w:tab/>
      </w:r>
      <w:r>
        <w:fldChar w:fldCharType="begin"/>
      </w:r>
      <w:r>
        <w:instrText xml:space="preserve"> PAGEREF _Toc278467546 \h </w:instrText>
      </w:r>
      <w:r>
        <w:fldChar w:fldCharType="separate"/>
      </w:r>
      <w:r>
        <w:t>5</w:t>
      </w:r>
      <w:r>
        <w:fldChar w:fldCharType="end"/>
      </w:r>
    </w:p>
    <w:p>
      <w:pPr>
        <w:pStyle w:val="TOC8"/>
        <w:rPr>
          <w:sz w:val="24"/>
          <w:szCs w:val="24"/>
        </w:rPr>
      </w:pPr>
      <w:r>
        <w:rPr>
          <w:szCs w:val="24"/>
        </w:rPr>
        <w:t>12.</w:t>
      </w:r>
      <w:r>
        <w:rPr>
          <w:szCs w:val="24"/>
        </w:rPr>
        <w:tab/>
        <w:t>Giving way</w:t>
      </w:r>
      <w:r>
        <w:tab/>
      </w:r>
      <w:r>
        <w:fldChar w:fldCharType="begin"/>
      </w:r>
      <w:r>
        <w:instrText xml:space="preserve"> PAGEREF _Toc278467547 \h </w:instrText>
      </w:r>
      <w:r>
        <w:fldChar w:fldCharType="separate"/>
      </w:r>
      <w:r>
        <w:t>6</w:t>
      </w:r>
      <w:r>
        <w:fldChar w:fldCharType="end"/>
      </w:r>
    </w:p>
    <w:p>
      <w:pPr>
        <w:pStyle w:val="TOC8"/>
        <w:rPr>
          <w:sz w:val="24"/>
          <w:szCs w:val="24"/>
        </w:rPr>
      </w:pPr>
      <w:r>
        <w:rPr>
          <w:szCs w:val="24"/>
        </w:rPr>
        <w:t>13.</w:t>
      </w:r>
      <w:r>
        <w:rPr>
          <w:szCs w:val="24"/>
        </w:rPr>
        <w:tab/>
      </w:r>
      <w:r>
        <w:rPr>
          <w:snapToGrid w:val="0"/>
          <w:szCs w:val="24"/>
        </w:rPr>
        <w:t>No instruction or repairs on site</w:t>
      </w:r>
      <w:r>
        <w:tab/>
      </w:r>
      <w:r>
        <w:fldChar w:fldCharType="begin"/>
      </w:r>
      <w:r>
        <w:instrText xml:space="preserve"> PAGEREF _Toc278467548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14.</w:t>
      </w:r>
      <w:r>
        <w:rPr>
          <w:szCs w:val="24"/>
        </w:rPr>
        <w:tab/>
        <w:t>Parking to be in parking spaces only</w:t>
      </w:r>
      <w:r>
        <w:tab/>
      </w:r>
      <w:r>
        <w:fldChar w:fldCharType="begin"/>
      </w:r>
      <w:r>
        <w:instrText xml:space="preserve"> PAGEREF _Toc278467550 \h </w:instrText>
      </w:r>
      <w:r>
        <w:fldChar w:fldCharType="separate"/>
      </w:r>
      <w:r>
        <w:t>6</w:t>
      </w:r>
      <w:r>
        <w:fldChar w:fldCharType="end"/>
      </w:r>
    </w:p>
    <w:p>
      <w:pPr>
        <w:pStyle w:val="TOC8"/>
        <w:rPr>
          <w:sz w:val="24"/>
          <w:szCs w:val="24"/>
        </w:rPr>
      </w:pPr>
      <w:r>
        <w:rPr>
          <w:szCs w:val="24"/>
        </w:rPr>
        <w:t>15.</w:t>
      </w:r>
      <w:r>
        <w:rPr>
          <w:szCs w:val="24"/>
        </w:rPr>
        <w:tab/>
        <w:t>Signs to be obeyed</w:t>
      </w:r>
      <w:r>
        <w:tab/>
      </w:r>
      <w:r>
        <w:fldChar w:fldCharType="begin"/>
      </w:r>
      <w:r>
        <w:instrText xml:space="preserve"> PAGEREF _Toc278467551 \h </w:instrText>
      </w:r>
      <w:r>
        <w:fldChar w:fldCharType="separate"/>
      </w:r>
      <w:r>
        <w:t>6</w:t>
      </w:r>
      <w:r>
        <w:fldChar w:fldCharType="end"/>
      </w:r>
    </w:p>
    <w:p>
      <w:pPr>
        <w:pStyle w:val="TOC8"/>
        <w:rPr>
          <w:sz w:val="24"/>
          <w:szCs w:val="24"/>
        </w:rPr>
      </w:pPr>
      <w:r>
        <w:rPr>
          <w:szCs w:val="24"/>
        </w:rPr>
        <w:t>16.</w:t>
      </w:r>
      <w:r>
        <w:rPr>
          <w:szCs w:val="24"/>
        </w:rPr>
        <w:tab/>
        <w:t>Parking in parking spaces</w:t>
      </w:r>
      <w:r>
        <w:tab/>
      </w:r>
      <w:r>
        <w:fldChar w:fldCharType="begin"/>
      </w:r>
      <w:r>
        <w:instrText xml:space="preserve"> PAGEREF _Toc278467552 \h </w:instrText>
      </w:r>
      <w:r>
        <w:fldChar w:fldCharType="separate"/>
      </w:r>
      <w:r>
        <w:t>7</w:t>
      </w:r>
      <w:r>
        <w:fldChar w:fldCharType="end"/>
      </w:r>
    </w:p>
    <w:p>
      <w:pPr>
        <w:pStyle w:val="TOC8"/>
        <w:rPr>
          <w:sz w:val="24"/>
          <w:szCs w:val="24"/>
        </w:rPr>
      </w:pPr>
      <w:r>
        <w:rPr>
          <w:szCs w:val="24"/>
        </w:rPr>
        <w:t>17.</w:t>
      </w:r>
      <w:r>
        <w:rPr>
          <w:szCs w:val="24"/>
        </w:rPr>
        <w:tab/>
        <w:t>Permit</w:t>
      </w:r>
      <w:r>
        <w:tab/>
      </w:r>
      <w:r>
        <w:fldChar w:fldCharType="begin"/>
      </w:r>
      <w:r>
        <w:instrText xml:space="preserve"> PAGEREF _Toc278467553 \h </w:instrText>
      </w:r>
      <w:r>
        <w:fldChar w:fldCharType="separate"/>
      </w:r>
      <w:r>
        <w:t>7</w:t>
      </w:r>
      <w:r>
        <w:fldChar w:fldCharType="end"/>
      </w:r>
    </w:p>
    <w:p>
      <w:pPr>
        <w:pStyle w:val="TOC8"/>
        <w:rPr>
          <w:sz w:val="24"/>
          <w:szCs w:val="24"/>
        </w:rPr>
      </w:pPr>
      <w:r>
        <w:rPr>
          <w:szCs w:val="24"/>
        </w:rPr>
        <w:t>18.</w:t>
      </w:r>
      <w:r>
        <w:rPr>
          <w:szCs w:val="24"/>
        </w:rPr>
        <w:tab/>
        <w:t>Refund of permit fees</w:t>
      </w:r>
      <w:r>
        <w:tab/>
      </w:r>
      <w:r>
        <w:fldChar w:fldCharType="begin"/>
      </w:r>
      <w:r>
        <w:instrText xml:space="preserve"> PAGEREF _Toc278467554 \h </w:instrText>
      </w:r>
      <w:r>
        <w:fldChar w:fldCharType="separate"/>
      </w:r>
      <w:r>
        <w:t>9</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zCs w:val="24"/>
        </w:rPr>
        <w:tab/>
        <w:t>Interpretation</w:t>
      </w:r>
      <w:r>
        <w:tab/>
      </w:r>
      <w:r>
        <w:fldChar w:fldCharType="begin"/>
      </w:r>
      <w:r>
        <w:instrText xml:space="preserve"> PAGEREF _Toc278467556 \h </w:instrText>
      </w:r>
      <w:r>
        <w:fldChar w:fldCharType="separate"/>
      </w:r>
      <w:r>
        <w:t>10</w:t>
      </w:r>
      <w:r>
        <w:fldChar w:fldCharType="end"/>
      </w:r>
    </w:p>
    <w:p>
      <w:pPr>
        <w:pStyle w:val="TOC8"/>
        <w:rPr>
          <w:sz w:val="24"/>
          <w:szCs w:val="24"/>
        </w:rPr>
      </w:pPr>
      <w:r>
        <w:rPr>
          <w:szCs w:val="24"/>
        </w:rPr>
        <w:t>20.</w:t>
      </w:r>
      <w:r>
        <w:rPr>
          <w:szCs w:val="24"/>
        </w:rPr>
        <w:tab/>
        <w:t>Infringement notices</w:t>
      </w:r>
      <w:r>
        <w:tab/>
      </w:r>
      <w:r>
        <w:fldChar w:fldCharType="begin"/>
      </w:r>
      <w:r>
        <w:instrText xml:space="preserve"> PAGEREF _Toc278467557 \h </w:instrText>
      </w:r>
      <w:r>
        <w:fldChar w:fldCharType="separate"/>
      </w:r>
      <w:r>
        <w:t>10</w:t>
      </w:r>
      <w:r>
        <w:fldChar w:fldCharType="end"/>
      </w:r>
    </w:p>
    <w:p>
      <w:pPr>
        <w:pStyle w:val="TOC8"/>
        <w:rPr>
          <w:sz w:val="24"/>
          <w:szCs w:val="24"/>
        </w:rPr>
      </w:pPr>
      <w:r>
        <w:rPr>
          <w:szCs w:val="24"/>
        </w:rPr>
        <w:t>21.</w:t>
      </w:r>
      <w:r>
        <w:rPr>
          <w:szCs w:val="24"/>
        </w:rPr>
        <w:tab/>
        <w:t>Withdrawal of infringement notice</w:t>
      </w:r>
      <w:r>
        <w:tab/>
      </w:r>
      <w:r>
        <w:fldChar w:fldCharType="begin"/>
      </w:r>
      <w:r>
        <w:instrText xml:space="preserve"> PAGEREF _Toc278467558 \h </w:instrText>
      </w:r>
      <w:r>
        <w:fldChar w:fldCharType="separate"/>
      </w:r>
      <w:r>
        <w:t>11</w:t>
      </w:r>
      <w:r>
        <w:fldChar w:fldCharType="end"/>
      </w:r>
    </w:p>
    <w:p>
      <w:pPr>
        <w:pStyle w:val="TOC8"/>
        <w:rPr>
          <w:sz w:val="24"/>
          <w:szCs w:val="24"/>
        </w:rPr>
      </w:pPr>
      <w:r>
        <w:rPr>
          <w:szCs w:val="24"/>
        </w:rPr>
        <w:t>22.</w:t>
      </w:r>
      <w:r>
        <w:rPr>
          <w:szCs w:val="24"/>
        </w:rPr>
        <w:tab/>
        <w:t>Authorised person to have certificate</w:t>
      </w:r>
      <w:r>
        <w:tab/>
      </w:r>
      <w:r>
        <w:fldChar w:fldCharType="begin"/>
      </w:r>
      <w:r>
        <w:instrText xml:space="preserve"> PAGEREF _Toc278467559 \h </w:instrText>
      </w:r>
      <w:r>
        <w:fldChar w:fldCharType="separate"/>
      </w:r>
      <w:r>
        <w:t>11</w:t>
      </w:r>
      <w:r>
        <w:fldChar w:fldCharType="end"/>
      </w:r>
    </w:p>
    <w:p>
      <w:pPr>
        <w:pStyle w:val="TOC8"/>
        <w:rPr>
          <w:sz w:val="24"/>
          <w:szCs w:val="24"/>
        </w:rPr>
      </w:pPr>
      <w:r>
        <w:rPr>
          <w:szCs w:val="24"/>
        </w:rPr>
        <w:t>23.</w:t>
      </w:r>
      <w:r>
        <w:rPr>
          <w:szCs w:val="24"/>
        </w:rPr>
        <w:tab/>
        <w:t>Authorised persons only to endorse and alter infringement notices</w:t>
      </w:r>
      <w:r>
        <w:tab/>
      </w:r>
      <w:r>
        <w:fldChar w:fldCharType="begin"/>
      </w:r>
      <w:r>
        <w:instrText xml:space="preserve"> PAGEREF _Toc278467560 \h </w:instrText>
      </w:r>
      <w:r>
        <w:fldChar w:fldCharType="separate"/>
      </w:r>
      <w:r>
        <w:t>12</w:t>
      </w:r>
      <w:r>
        <w:fldChar w:fldCharType="end"/>
      </w:r>
    </w:p>
    <w:p>
      <w:pPr>
        <w:pStyle w:val="TOC8"/>
        <w:rPr>
          <w:sz w:val="24"/>
          <w:szCs w:val="24"/>
        </w:rPr>
      </w:pPr>
      <w:r>
        <w:rPr>
          <w:szCs w:val="24"/>
        </w:rPr>
        <w:t>24.</w:t>
      </w:r>
      <w:r>
        <w:rPr>
          <w:szCs w:val="24"/>
        </w:rPr>
        <w:tab/>
        <w:t>Restriction on removal of infringement notices</w:t>
      </w:r>
      <w:r>
        <w:tab/>
      </w:r>
      <w:r>
        <w:fldChar w:fldCharType="begin"/>
      </w:r>
      <w:r>
        <w:instrText xml:space="preserve"> PAGEREF _Toc278467561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zCs w:val="24"/>
        </w:rPr>
        <w:tab/>
        <w:t>Removal of vehicles</w:t>
      </w:r>
      <w:r>
        <w:tab/>
      </w:r>
      <w:r>
        <w:fldChar w:fldCharType="begin"/>
      </w:r>
      <w:r>
        <w:instrText xml:space="preserve"> PAGEREF _Toc278467563 \h </w:instrText>
      </w:r>
      <w:r>
        <w:fldChar w:fldCharType="separate"/>
      </w:r>
      <w:r>
        <w:t>13</w:t>
      </w:r>
      <w:r>
        <w:fldChar w:fldCharType="end"/>
      </w:r>
    </w:p>
    <w:p>
      <w:pPr>
        <w:pStyle w:val="TOC8"/>
        <w:rPr>
          <w:sz w:val="24"/>
          <w:szCs w:val="24"/>
        </w:rPr>
      </w:pPr>
      <w:r>
        <w:rPr>
          <w:szCs w:val="24"/>
        </w:rPr>
        <w:t>26.</w:t>
      </w:r>
      <w:r>
        <w:rPr>
          <w:szCs w:val="24"/>
        </w:rPr>
        <w:tab/>
        <w:t>Registered owner may be treated as being driver or person in charge of vehicle at time of offence</w:t>
      </w:r>
      <w:r>
        <w:tab/>
      </w:r>
      <w:r>
        <w:fldChar w:fldCharType="begin"/>
      </w:r>
      <w:r>
        <w:instrText xml:space="preserve"> PAGEREF _Toc278467564 \h </w:instrText>
      </w:r>
      <w:r>
        <w:fldChar w:fldCharType="separate"/>
      </w:r>
      <w:r>
        <w:t>13</w:t>
      </w:r>
      <w:r>
        <w:fldChar w:fldCharType="end"/>
      </w:r>
    </w:p>
    <w:p>
      <w:pPr>
        <w:pStyle w:val="TOC8"/>
        <w:rPr>
          <w:sz w:val="24"/>
          <w:szCs w:val="24"/>
        </w:rPr>
      </w:pPr>
      <w:r>
        <w:rPr>
          <w:szCs w:val="24"/>
        </w:rPr>
        <w:t>27.</w:t>
      </w:r>
      <w:r>
        <w:rPr>
          <w:szCs w:val="24"/>
        </w:rPr>
        <w:tab/>
        <w:t>Other offences</w:t>
      </w:r>
      <w:r>
        <w:tab/>
      </w:r>
      <w:r>
        <w:fldChar w:fldCharType="begin"/>
      </w:r>
      <w:r>
        <w:instrText xml:space="preserve"> PAGEREF _Toc278467565 \h </w:instrText>
      </w:r>
      <w:r>
        <w:fldChar w:fldCharType="separate"/>
      </w:r>
      <w:r>
        <w:t>14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_Toc278467570 \h </w:instrText>
      </w:r>
      <w:r>
        <w:fldChar w:fldCharType="separate"/>
      </w:r>
      <w:r>
        <w:t>20</w:t>
      </w:r>
      <w:r>
        <w:fldChar w:fldCharType="end"/>
      </w:r>
    </w:p>
    <w:p>
      <w:pPr>
        <w:pStyle w:val="TOC8"/>
        <w:rPr>
          <w:sz w:val="24"/>
        </w:rPr>
      </w:pPr>
      <w:r>
        <w:tab/>
        <w:t>Provisions that have not come into operation</w:t>
      </w:r>
      <w:r>
        <w:tab/>
      </w:r>
      <w:r>
        <w:fldChar w:fldCharType="begin"/>
      </w:r>
      <w:r>
        <w:instrText xml:space="preserve"> PAGEREF _Toc278467571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Royal Perth Hospital By-laws 2009</w:t>
      </w:r>
    </w:p>
    <w:p>
      <w:pPr>
        <w:pStyle w:val="Heading2"/>
        <w:pageBreakBefore w:val="0"/>
        <w:spacing w:before="240"/>
      </w:pPr>
      <w:bookmarkStart w:id="1" w:name="_Toc227576866"/>
      <w:bookmarkStart w:id="2" w:name="_Toc227638718"/>
      <w:bookmarkStart w:id="3" w:name="_Toc278467532"/>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423332722"/>
      <w:bookmarkStart w:id="5" w:name="_Toc425219441"/>
      <w:bookmarkStart w:id="6" w:name="_Toc426249308"/>
      <w:bookmarkStart w:id="7" w:name="_Toc449924704"/>
      <w:bookmarkStart w:id="8" w:name="_Toc449947722"/>
      <w:bookmarkStart w:id="9" w:name="_Toc454185713"/>
      <w:bookmarkStart w:id="10" w:name="_Toc515958686"/>
      <w:bookmarkStart w:id="11" w:name="_Toc278467533"/>
      <w:r>
        <w:rPr>
          <w:rStyle w:val="CharSectno"/>
        </w:rPr>
        <w:t>1</w:t>
      </w:r>
      <w:r>
        <w:t>.</w:t>
      </w:r>
      <w:r>
        <w:tab/>
        <w:t>Citation</w:t>
      </w:r>
      <w:bookmarkEnd w:id="4"/>
      <w:bookmarkEnd w:id="5"/>
      <w:bookmarkEnd w:id="6"/>
      <w:bookmarkEnd w:id="7"/>
      <w:bookmarkEnd w:id="8"/>
      <w:bookmarkEnd w:id="9"/>
      <w:bookmarkEnd w:id="10"/>
      <w:bookmarkEnd w:id="11"/>
    </w:p>
    <w:p>
      <w:pPr>
        <w:pStyle w:val="Subsection"/>
      </w:pPr>
      <w:r>
        <w:tab/>
      </w:r>
      <w:r>
        <w:tab/>
      </w:r>
      <w:bookmarkStart w:id="12" w:name="Start_Cursor"/>
      <w:bookmarkEnd w:id="12"/>
      <w:r>
        <w:rPr>
          <w:spacing w:val="-2"/>
        </w:rPr>
        <w:t>These</w:t>
      </w:r>
      <w:r>
        <w:t xml:space="preserve"> </w:t>
      </w:r>
      <w:r>
        <w:rPr>
          <w:spacing w:val="-2"/>
        </w:rPr>
        <w:t>by-laws</w:t>
      </w:r>
      <w:r>
        <w:t xml:space="preserve"> are the </w:t>
      </w:r>
      <w:r>
        <w:rPr>
          <w:i/>
        </w:rPr>
        <w:t>Royal Perth Hospital By-laws 2009</w:t>
      </w:r>
      <w:r>
        <w:t>.</w:t>
      </w:r>
    </w:p>
    <w:p>
      <w:pPr>
        <w:pStyle w:val="Heading5"/>
      </w:pPr>
      <w:bookmarkStart w:id="13" w:name="_Toc278467534"/>
      <w:r>
        <w:rPr>
          <w:rStyle w:val="CharSectno"/>
        </w:rPr>
        <w:t>2</w:t>
      </w:r>
      <w:r>
        <w:t>.</w:t>
      </w:r>
      <w:r>
        <w:tab/>
        <w:t>Commencement</w:t>
      </w:r>
      <w:bookmarkEnd w:id="13"/>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4" w:name="_Toc278467535"/>
      <w:r>
        <w:rPr>
          <w:rStyle w:val="CharSectno"/>
        </w:rPr>
        <w:t>3</w:t>
      </w:r>
      <w:r>
        <w:t>.</w:t>
      </w:r>
      <w:r>
        <w:tab/>
        <w:t>Interpretation</w:t>
      </w:r>
      <w:bookmarkEnd w:id="1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Royal Perth Hospital;</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5" w:name="_Toc227576870"/>
      <w:bookmarkStart w:id="16" w:name="_Toc227638722"/>
      <w:bookmarkStart w:id="17" w:name="_Toc278467536"/>
      <w:bookmarkStart w:id="18" w:name="_Toc437943303"/>
      <w:bookmarkStart w:id="19" w:name="_Toc471091703"/>
      <w:bookmarkStart w:id="20" w:name="_Toc496083449"/>
      <w:bookmarkStart w:id="21" w:name="_Toc496416764"/>
      <w:bookmarkStart w:id="22" w:name="_Toc532783970"/>
      <w:bookmarkStart w:id="23" w:name="_Toc533572144"/>
      <w:r>
        <w:rPr>
          <w:rStyle w:val="CharPartNo"/>
        </w:rPr>
        <w:t>Part 2</w:t>
      </w:r>
      <w:r>
        <w:rPr>
          <w:rStyle w:val="CharDivNo"/>
        </w:rPr>
        <w:t> </w:t>
      </w:r>
      <w:r>
        <w:t>—</w:t>
      </w:r>
      <w:r>
        <w:rPr>
          <w:rStyle w:val="CharDivText"/>
        </w:rPr>
        <w:t> </w:t>
      </w:r>
      <w:r>
        <w:rPr>
          <w:rStyle w:val="CharPartText"/>
        </w:rPr>
        <w:t>Trespass and order</w:t>
      </w:r>
      <w:bookmarkEnd w:id="15"/>
      <w:bookmarkEnd w:id="16"/>
      <w:bookmarkEnd w:id="17"/>
    </w:p>
    <w:p>
      <w:pPr>
        <w:pStyle w:val="Heading5"/>
        <w:rPr>
          <w:snapToGrid w:val="0"/>
        </w:rPr>
      </w:pPr>
      <w:bookmarkStart w:id="24" w:name="_Toc278467537"/>
      <w:r>
        <w:rPr>
          <w:rStyle w:val="CharSectno"/>
        </w:rPr>
        <w:t>4</w:t>
      </w:r>
      <w:r>
        <w:t>.</w:t>
      </w:r>
      <w:r>
        <w:tab/>
        <w:t>No entry without cause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5" w:name="_Toc278467538"/>
      <w:r>
        <w:rPr>
          <w:rStyle w:val="CharSectno"/>
        </w:rPr>
        <w:t>5</w:t>
      </w:r>
      <w:r>
        <w:t>.</w:t>
      </w:r>
      <w:r>
        <w:tab/>
      </w:r>
      <w:r>
        <w:rPr>
          <w:snapToGrid w:val="0"/>
        </w:rPr>
        <w:t>Directions as to use of certain areas</w:t>
      </w:r>
      <w:bookmarkEnd w:id="25"/>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6" w:name="_Toc278467539"/>
      <w:r>
        <w:rPr>
          <w:rStyle w:val="CharSectno"/>
        </w:rPr>
        <w:t>6</w:t>
      </w:r>
      <w:r>
        <w:t>.</w:t>
      </w:r>
      <w:r>
        <w:tab/>
        <w:t>Liquor</w:t>
      </w:r>
      <w:bookmarkEnd w:id="26"/>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7" w:name="_Toc278467540"/>
      <w:r>
        <w:rPr>
          <w:rStyle w:val="CharSectno"/>
        </w:rPr>
        <w:t>7</w:t>
      </w:r>
      <w:r>
        <w:t>.</w:t>
      </w:r>
      <w:r>
        <w:tab/>
        <w:t>Smoking</w:t>
      </w:r>
      <w:bookmarkEnd w:id="27"/>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8" w:name="_Toc278467541"/>
      <w:r>
        <w:rPr>
          <w:rStyle w:val="CharSectno"/>
        </w:rPr>
        <w:t>8</w:t>
      </w:r>
      <w:r>
        <w:t>.</w:t>
      </w:r>
      <w:r>
        <w:tab/>
        <w:t>Disorderly persons may be removed from site</w:t>
      </w:r>
      <w:bookmarkEnd w:id="28"/>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9" w:name="_Toc227576876"/>
      <w:bookmarkStart w:id="30" w:name="_Toc227638728"/>
      <w:bookmarkStart w:id="31" w:name="_Toc278467542"/>
      <w:r>
        <w:rPr>
          <w:rStyle w:val="CharPartNo"/>
        </w:rPr>
        <w:t>Part 3</w:t>
      </w:r>
      <w:r>
        <w:t> — </w:t>
      </w:r>
      <w:r>
        <w:rPr>
          <w:rStyle w:val="CharPartText"/>
        </w:rPr>
        <w:t>Traffic control</w:t>
      </w:r>
      <w:bookmarkEnd w:id="29"/>
      <w:bookmarkEnd w:id="30"/>
      <w:bookmarkEnd w:id="31"/>
    </w:p>
    <w:p>
      <w:pPr>
        <w:pStyle w:val="Heading3"/>
      </w:pPr>
      <w:bookmarkStart w:id="32" w:name="_Toc227576877"/>
      <w:bookmarkStart w:id="33" w:name="_Toc227638729"/>
      <w:bookmarkStart w:id="34" w:name="_Toc278467543"/>
      <w:bookmarkStart w:id="35" w:name="_Toc437943308"/>
      <w:bookmarkStart w:id="36" w:name="_Toc471091708"/>
      <w:bookmarkStart w:id="37" w:name="_Toc496083454"/>
      <w:bookmarkStart w:id="38" w:name="_Toc496416769"/>
      <w:bookmarkStart w:id="39" w:name="_Toc532783975"/>
      <w:bookmarkStart w:id="40" w:name="_Toc533572149"/>
      <w:r>
        <w:rPr>
          <w:rStyle w:val="CharDivNo"/>
        </w:rPr>
        <w:t>Division 1</w:t>
      </w:r>
      <w:r>
        <w:t> — </w:t>
      </w:r>
      <w:r>
        <w:rPr>
          <w:rStyle w:val="CharDivText"/>
        </w:rPr>
        <w:t>Driving and use of vehicles</w:t>
      </w:r>
      <w:bookmarkEnd w:id="32"/>
      <w:bookmarkEnd w:id="33"/>
      <w:bookmarkEnd w:id="34"/>
    </w:p>
    <w:p>
      <w:pPr>
        <w:pStyle w:val="Heading5"/>
      </w:pPr>
      <w:bookmarkStart w:id="41" w:name="_Toc278467544"/>
      <w:bookmarkEnd w:id="35"/>
      <w:bookmarkEnd w:id="36"/>
      <w:bookmarkEnd w:id="37"/>
      <w:bookmarkEnd w:id="38"/>
      <w:bookmarkEnd w:id="39"/>
      <w:bookmarkEnd w:id="40"/>
      <w:r>
        <w:rPr>
          <w:rStyle w:val="CharSectno"/>
        </w:rPr>
        <w:t>9</w:t>
      </w:r>
      <w:r>
        <w:t>.</w:t>
      </w:r>
      <w:r>
        <w:tab/>
        <w:t>Driving of vehicles</w:t>
      </w:r>
      <w:bookmarkEnd w:id="41"/>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42" w:name="_Toc278467545"/>
      <w:r>
        <w:rPr>
          <w:rStyle w:val="CharSectno"/>
        </w:rPr>
        <w:t>10</w:t>
      </w:r>
      <w:r>
        <w:t>.</w:t>
      </w:r>
      <w:r>
        <w:tab/>
        <w:t>Driver to obey reasonable direction</w:t>
      </w:r>
      <w:bookmarkEnd w:id="42"/>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3" w:name="_Toc278467546"/>
      <w:r>
        <w:rPr>
          <w:rStyle w:val="CharSectno"/>
        </w:rPr>
        <w:t>11</w:t>
      </w:r>
      <w:r>
        <w:t>.</w:t>
      </w:r>
      <w:r>
        <w:tab/>
        <w:t>Speed limits</w:t>
      </w:r>
      <w:bookmarkEnd w:id="43"/>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44" w:name="_Toc278467547"/>
      <w:r>
        <w:rPr>
          <w:rStyle w:val="CharSectno"/>
        </w:rPr>
        <w:t>12</w:t>
      </w:r>
      <w:r>
        <w:t>.</w:t>
      </w:r>
      <w:r>
        <w:tab/>
        <w:t>Giving way</w:t>
      </w:r>
      <w:bookmarkEnd w:id="4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45" w:name="_Toc278467548"/>
      <w:r>
        <w:rPr>
          <w:rStyle w:val="CharSectno"/>
        </w:rPr>
        <w:t>13</w:t>
      </w:r>
      <w:r>
        <w:t>.</w:t>
      </w:r>
      <w:r>
        <w:tab/>
      </w:r>
      <w:r>
        <w:rPr>
          <w:snapToGrid w:val="0"/>
        </w:rPr>
        <w:t>No instruction or repairs on site</w:t>
      </w:r>
      <w:bookmarkEnd w:id="4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6" w:name="_Toc227576883"/>
      <w:bookmarkStart w:id="47" w:name="_Toc227638735"/>
      <w:bookmarkStart w:id="48" w:name="_Toc278467549"/>
      <w:bookmarkStart w:id="49" w:name="_Toc437943313"/>
      <w:bookmarkStart w:id="50" w:name="_Toc471091713"/>
      <w:bookmarkStart w:id="51" w:name="_Toc496083459"/>
      <w:bookmarkStart w:id="52" w:name="_Toc496416774"/>
      <w:bookmarkStart w:id="53" w:name="_Toc532783980"/>
      <w:bookmarkStart w:id="54" w:name="_Toc533572154"/>
      <w:r>
        <w:rPr>
          <w:rStyle w:val="CharDivNo"/>
        </w:rPr>
        <w:t>Division 2</w:t>
      </w:r>
      <w:r>
        <w:t> — </w:t>
      </w:r>
      <w:r>
        <w:rPr>
          <w:rStyle w:val="CharDivText"/>
        </w:rPr>
        <w:t>Parking</w:t>
      </w:r>
      <w:bookmarkEnd w:id="46"/>
      <w:bookmarkEnd w:id="47"/>
      <w:bookmarkEnd w:id="48"/>
    </w:p>
    <w:p>
      <w:pPr>
        <w:pStyle w:val="Heading5"/>
      </w:pPr>
      <w:bookmarkStart w:id="55" w:name="_Toc278467550"/>
      <w:bookmarkEnd w:id="49"/>
      <w:bookmarkEnd w:id="50"/>
      <w:bookmarkEnd w:id="51"/>
      <w:bookmarkEnd w:id="52"/>
      <w:bookmarkEnd w:id="53"/>
      <w:bookmarkEnd w:id="54"/>
      <w:r>
        <w:rPr>
          <w:rStyle w:val="CharSectno"/>
        </w:rPr>
        <w:t>14</w:t>
      </w:r>
      <w:r>
        <w:t>.</w:t>
      </w:r>
      <w:r>
        <w:tab/>
        <w:t>Parking to be in parking spaces only</w:t>
      </w:r>
      <w:bookmarkEnd w:id="55"/>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56" w:name="_Toc278467551"/>
      <w:r>
        <w:rPr>
          <w:rStyle w:val="CharSectno"/>
        </w:rPr>
        <w:t>15</w:t>
      </w:r>
      <w:r>
        <w:t>.</w:t>
      </w:r>
      <w:r>
        <w:tab/>
        <w:t>Signs to be obeyed</w:t>
      </w:r>
      <w:bookmarkEnd w:id="5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57" w:name="_Toc278467552"/>
      <w:r>
        <w:rPr>
          <w:rStyle w:val="CharSectno"/>
        </w:rPr>
        <w:t>16</w:t>
      </w:r>
      <w:r>
        <w:t>.</w:t>
      </w:r>
      <w:r>
        <w:tab/>
        <w:t>Parking in parking spaces</w:t>
      </w:r>
      <w:bookmarkEnd w:id="57"/>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58" w:name="_Hlt496586520"/>
      <w:bookmarkStart w:id="59" w:name="_Toc278467553"/>
      <w:bookmarkEnd w:id="58"/>
      <w:r>
        <w:rPr>
          <w:rStyle w:val="CharSectno"/>
        </w:rPr>
        <w:t>17</w:t>
      </w:r>
      <w:r>
        <w:t>.</w:t>
      </w:r>
      <w:r>
        <w:tab/>
        <w:t>Permit</w:t>
      </w:r>
      <w:bookmarkEnd w:id="59"/>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rPr>
          <w:snapToGrid w:val="0"/>
        </w:rPr>
      </w:pPr>
      <w:r>
        <w:rPr>
          <w:snapToGrid w:val="0"/>
        </w:rPr>
        <w:tab/>
        <w:t>(b)</w:t>
      </w:r>
      <w:r>
        <w:rPr>
          <w:snapToGrid w:val="0"/>
        </w:rPr>
        <w:tab/>
      </w:r>
      <w:r>
        <w:t>is to be accompanied by a fee of $12.25 per week for the period for which the permit is sought</w:t>
      </w:r>
      <w:r>
        <w:rPr>
          <w:snapToGrid w:val="0"/>
        </w:rPr>
        <w:t>.</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5"/>
      </w:pPr>
      <w:bookmarkStart w:id="60" w:name="_Toc154283266"/>
      <w:bookmarkStart w:id="61" w:name="_Toc278467554"/>
      <w:r>
        <w:rPr>
          <w:rStyle w:val="CharSectno"/>
        </w:rPr>
        <w:t>18</w:t>
      </w:r>
      <w:r>
        <w:t>.</w:t>
      </w:r>
      <w:r>
        <w:tab/>
        <w:t>Refund of permit fees</w:t>
      </w:r>
      <w:bookmarkEnd w:id="60"/>
      <w:bookmarkEnd w:id="61"/>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62" w:name="_Toc227576889"/>
      <w:bookmarkStart w:id="63" w:name="_Toc227638741"/>
      <w:bookmarkStart w:id="64" w:name="_Toc278467555"/>
      <w:bookmarkStart w:id="65" w:name="_Toc437943318"/>
      <w:bookmarkStart w:id="66" w:name="_Toc471091717"/>
      <w:bookmarkStart w:id="67" w:name="_Toc496083463"/>
      <w:bookmarkStart w:id="68" w:name="_Toc496416778"/>
      <w:bookmarkStart w:id="69" w:name="_Toc532783984"/>
      <w:bookmarkStart w:id="70" w:name="_Toc533572158"/>
      <w:r>
        <w:rPr>
          <w:rStyle w:val="CharPartNo"/>
        </w:rPr>
        <w:t>Part 4</w:t>
      </w:r>
      <w:r>
        <w:rPr>
          <w:rStyle w:val="CharDivNo"/>
        </w:rPr>
        <w:t> </w:t>
      </w:r>
      <w:r>
        <w:t>—</w:t>
      </w:r>
      <w:r>
        <w:rPr>
          <w:rStyle w:val="CharDivText"/>
        </w:rPr>
        <w:t> </w:t>
      </w:r>
      <w:r>
        <w:rPr>
          <w:rStyle w:val="CharPartText"/>
        </w:rPr>
        <w:t>Infringement notices</w:t>
      </w:r>
      <w:bookmarkEnd w:id="62"/>
      <w:bookmarkEnd w:id="63"/>
      <w:bookmarkEnd w:id="64"/>
    </w:p>
    <w:p>
      <w:pPr>
        <w:pStyle w:val="Heading5"/>
        <w:rPr>
          <w:snapToGrid w:val="0"/>
        </w:rPr>
      </w:pPr>
      <w:bookmarkStart w:id="71" w:name="_Toc278467556"/>
      <w:r>
        <w:rPr>
          <w:rStyle w:val="CharSectno"/>
        </w:rPr>
        <w:t>19</w:t>
      </w:r>
      <w:r>
        <w:t>.</w:t>
      </w:r>
      <w:r>
        <w:tab/>
        <w:t>Interpretation</w:t>
      </w:r>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72" w:name="endcomma"/>
      <w:bookmarkEnd w:id="72"/>
      <w:r>
        <w:t xml:space="preserve"> </w:t>
      </w:r>
      <w:bookmarkStart w:id="73" w:name="comma"/>
      <w:bookmarkEnd w:id="73"/>
      <w:r>
        <w:t>means a penalty prescribed in Schedule 2 for an offence under Part 3 or 4.</w:t>
      </w:r>
    </w:p>
    <w:p>
      <w:pPr>
        <w:pStyle w:val="Heading5"/>
      </w:pPr>
      <w:bookmarkStart w:id="74" w:name="_Toc278467557"/>
      <w:r>
        <w:rPr>
          <w:rStyle w:val="CharSectno"/>
        </w:rPr>
        <w:t>20</w:t>
      </w:r>
      <w:r>
        <w:t>.</w:t>
      </w:r>
      <w:r>
        <w:tab/>
        <w:t>Infringement notices</w:t>
      </w:r>
      <w:bookmarkEnd w:id="74"/>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pPr>
      <w:bookmarkStart w:id="75" w:name="_Hlt502127995"/>
      <w:bookmarkStart w:id="76" w:name="_Toc278467558"/>
      <w:bookmarkEnd w:id="75"/>
      <w:r>
        <w:rPr>
          <w:rStyle w:val="CharSectno"/>
        </w:rPr>
        <w:t>21</w:t>
      </w:r>
      <w:r>
        <w:t>.</w:t>
      </w:r>
      <w:r>
        <w:tab/>
        <w:t>Withdrawal of infringement notice</w:t>
      </w:r>
      <w:bookmarkEnd w:id="76"/>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77" w:name="_Toc278467559"/>
      <w:r>
        <w:rPr>
          <w:rStyle w:val="CharSectno"/>
        </w:rPr>
        <w:t>22</w:t>
      </w:r>
      <w:r>
        <w:t>.</w:t>
      </w:r>
      <w:r>
        <w:tab/>
        <w:t>Authorised person to have certificate</w:t>
      </w:r>
      <w:bookmarkEnd w:id="7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78" w:name="_Toc278467560"/>
      <w:r>
        <w:rPr>
          <w:rStyle w:val="CharSectno"/>
        </w:rPr>
        <w:t>23</w:t>
      </w:r>
      <w:r>
        <w:t>.</w:t>
      </w:r>
      <w:r>
        <w:tab/>
        <w:t>Authorised persons only to endorse and alter infringement notices</w:t>
      </w:r>
      <w:bookmarkEnd w:id="7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79" w:name="_Toc278467561"/>
      <w:r>
        <w:rPr>
          <w:rStyle w:val="CharSectno"/>
        </w:rPr>
        <w:t>24</w:t>
      </w:r>
      <w:r>
        <w:t>.</w:t>
      </w:r>
      <w:r>
        <w:tab/>
        <w:t>Restriction on removal of infringement notices</w:t>
      </w:r>
      <w:bookmarkEnd w:id="79"/>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80" w:name="_Toc227576896"/>
      <w:bookmarkStart w:id="81" w:name="_Toc227638748"/>
      <w:bookmarkStart w:id="82" w:name="_Toc278467562"/>
      <w:bookmarkStart w:id="83" w:name="_Toc437943324"/>
      <w:bookmarkStart w:id="84" w:name="_Toc471091723"/>
      <w:bookmarkStart w:id="85" w:name="_Toc496083469"/>
      <w:bookmarkStart w:id="86" w:name="_Toc496416784"/>
      <w:bookmarkStart w:id="87" w:name="_Toc532783990"/>
      <w:bookmarkStart w:id="88" w:name="_Toc533572164"/>
      <w:r>
        <w:rPr>
          <w:rStyle w:val="CharPartNo"/>
        </w:rPr>
        <w:t>Part 5</w:t>
      </w:r>
      <w:r>
        <w:rPr>
          <w:rStyle w:val="CharDivNo"/>
        </w:rPr>
        <w:t> </w:t>
      </w:r>
      <w:r>
        <w:t>—</w:t>
      </w:r>
      <w:r>
        <w:rPr>
          <w:rStyle w:val="CharDivText"/>
        </w:rPr>
        <w:t> </w:t>
      </w:r>
      <w:r>
        <w:rPr>
          <w:rStyle w:val="CharPartText"/>
        </w:rPr>
        <w:t>General</w:t>
      </w:r>
      <w:bookmarkEnd w:id="80"/>
      <w:bookmarkEnd w:id="81"/>
      <w:bookmarkEnd w:id="82"/>
    </w:p>
    <w:p>
      <w:pPr>
        <w:pStyle w:val="Heading5"/>
      </w:pPr>
      <w:bookmarkStart w:id="89" w:name="_Toc278467563"/>
      <w:bookmarkEnd w:id="83"/>
      <w:bookmarkEnd w:id="84"/>
      <w:bookmarkEnd w:id="85"/>
      <w:bookmarkEnd w:id="86"/>
      <w:bookmarkEnd w:id="87"/>
      <w:bookmarkEnd w:id="88"/>
      <w:r>
        <w:rPr>
          <w:rStyle w:val="CharSectno"/>
        </w:rPr>
        <w:t>25</w:t>
      </w:r>
      <w:r>
        <w:t>.</w:t>
      </w:r>
      <w:r>
        <w:tab/>
        <w:t>Removal of vehicles</w:t>
      </w:r>
      <w:bookmarkEnd w:id="89"/>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90" w:name="_Toc278467564"/>
      <w:r>
        <w:rPr>
          <w:rStyle w:val="CharSectno"/>
        </w:rPr>
        <w:t>26</w:t>
      </w:r>
      <w:r>
        <w:t>.</w:t>
      </w:r>
      <w:r>
        <w:tab/>
        <w:t>Registered owner may be treated as being driver or person in charge of vehicle at time of offence</w:t>
      </w:r>
      <w:bookmarkEnd w:id="9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91" w:name="_Toc278467565"/>
      <w:r>
        <w:rPr>
          <w:rStyle w:val="CharSectno"/>
        </w:rPr>
        <w:t>27</w:t>
      </w:r>
      <w:r>
        <w:t>.</w:t>
      </w:r>
      <w:r>
        <w:tab/>
        <w:t>Other offences</w:t>
      </w:r>
      <w:bookmarkEnd w:id="9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 w:name="_Toc227576900"/>
    </w:p>
    <w:p>
      <w:pPr>
        <w:pStyle w:val="yScheduleHeading"/>
        <w:outlineLvl w:val="0"/>
      </w:pPr>
      <w:bookmarkStart w:id="93" w:name="_Toc227638752"/>
      <w:bookmarkStart w:id="94" w:name="_Toc278467566"/>
      <w:r>
        <w:rPr>
          <w:rStyle w:val="CharSchNo"/>
        </w:rPr>
        <w:t>Schedule 1</w:t>
      </w:r>
      <w:r>
        <w:rPr>
          <w:rStyle w:val="CharSDivNo"/>
        </w:rPr>
        <w:t> </w:t>
      </w:r>
      <w:r>
        <w:t>—</w:t>
      </w:r>
      <w:bookmarkStart w:id="95" w:name="AutoSch"/>
      <w:bookmarkEnd w:id="95"/>
      <w:r>
        <w:rPr>
          <w:rStyle w:val="CharSDivText"/>
        </w:rPr>
        <w:t> </w:t>
      </w:r>
      <w:r>
        <w:rPr>
          <w:rStyle w:val="CharSchText"/>
        </w:rPr>
        <w:t>Hospital sites</w:t>
      </w:r>
      <w:bookmarkEnd w:id="92"/>
      <w:bookmarkEnd w:id="93"/>
      <w:bookmarkEnd w:id="94"/>
    </w:p>
    <w:p>
      <w:pPr>
        <w:pStyle w:val="yShoulderClause"/>
        <w:spacing w:after="120"/>
      </w:pPr>
      <w:r>
        <w:t>[bl. 3(1)]</w:t>
      </w:r>
    </w:p>
    <w:p>
      <w:pPr>
        <w:pStyle w:val="yMiscellaneousHeading"/>
        <w:spacing w:after="60"/>
        <w:jc w:val="left"/>
        <w:rPr>
          <w:b/>
          <w:bCs/>
          <w:u w:val="single"/>
        </w:rPr>
      </w:pPr>
      <w:r>
        <w:rPr>
          <w:b/>
          <w:bCs/>
          <w:u w:val="single"/>
        </w:rPr>
        <w:t>Division 1 — Wellington Street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r>
              <w:t>Lot 915 on Deposited Plan 183229</w:t>
            </w:r>
          </w:p>
        </w:tc>
      </w:tr>
      <w:tr>
        <w:tc>
          <w:tcPr>
            <w:tcW w:w="993" w:type="dxa"/>
          </w:tcPr>
          <w:p>
            <w:pPr>
              <w:pStyle w:val="yTableNAm"/>
              <w:jc w:val="center"/>
            </w:pPr>
            <w:r>
              <w:t>2</w:t>
            </w:r>
          </w:p>
        </w:tc>
        <w:tc>
          <w:tcPr>
            <w:tcW w:w="4961" w:type="dxa"/>
          </w:tcPr>
          <w:p>
            <w:pPr>
              <w:pStyle w:val="yTableNAm"/>
            </w:pPr>
            <w:r>
              <w:t>Lot 916 on Deposited Plan 183229</w:t>
            </w:r>
          </w:p>
        </w:tc>
      </w:tr>
      <w:tr>
        <w:tc>
          <w:tcPr>
            <w:tcW w:w="993" w:type="dxa"/>
          </w:tcPr>
          <w:p>
            <w:pPr>
              <w:pStyle w:val="yTableNAm"/>
              <w:jc w:val="center"/>
            </w:pPr>
            <w:r>
              <w:t>3</w:t>
            </w:r>
          </w:p>
        </w:tc>
        <w:tc>
          <w:tcPr>
            <w:tcW w:w="4961" w:type="dxa"/>
          </w:tcPr>
          <w:p>
            <w:pPr>
              <w:pStyle w:val="yTableNAm"/>
            </w:pPr>
            <w:r>
              <w:t>Lot 917 on Deposited Plan 183229</w:t>
            </w:r>
          </w:p>
        </w:tc>
      </w:tr>
    </w:tbl>
    <w:p>
      <w:pPr>
        <w:pStyle w:val="yMiscellaneousHeading"/>
        <w:spacing w:after="60"/>
        <w:jc w:val="left"/>
        <w:rPr>
          <w:b/>
          <w:bCs/>
          <w:u w:val="single"/>
        </w:rPr>
      </w:pPr>
      <w:r>
        <w:rPr>
          <w:b/>
          <w:bCs/>
          <w:u w:val="single"/>
        </w:rPr>
        <w:t>Division 2 — Shenton Park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r>
              <w:t xml:space="preserve">Lot 3240 on Deposited Plan 34515 </w:t>
            </w:r>
          </w:p>
        </w:tc>
      </w:tr>
    </w:tbl>
    <w:p>
      <w:pPr>
        <w:pStyle w:val="yScheduleHeading"/>
        <w:outlineLvl w:val="0"/>
      </w:pPr>
      <w:bookmarkStart w:id="96" w:name="_Toc227576901"/>
      <w:bookmarkStart w:id="97" w:name="_Toc227638753"/>
      <w:bookmarkStart w:id="98" w:name="_Toc278467567"/>
      <w:bookmarkStart w:id="99" w:name="_Toc533572168"/>
      <w:r>
        <w:rPr>
          <w:rStyle w:val="CharSchNo"/>
        </w:rPr>
        <w:t>Schedule 2</w:t>
      </w:r>
      <w:r>
        <w:t> — </w:t>
      </w:r>
      <w:r>
        <w:rPr>
          <w:rStyle w:val="CharSchText"/>
        </w:rPr>
        <w:t>Infringement notices and modified penalties</w:t>
      </w:r>
      <w:bookmarkEnd w:id="96"/>
      <w:bookmarkEnd w:id="97"/>
      <w:bookmarkEnd w:id="98"/>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outlineLvl w:val="0"/>
      </w:pPr>
      <w:bookmarkStart w:id="100" w:name="_Toc227576902"/>
      <w:bookmarkStart w:id="101" w:name="_Toc227638754"/>
      <w:bookmarkStart w:id="102" w:name="_Toc278467568"/>
      <w:bookmarkEnd w:id="99"/>
      <w:r>
        <w:rPr>
          <w:rStyle w:val="CharSchNo"/>
        </w:rPr>
        <w:t>Schedule 3</w:t>
      </w:r>
      <w:r>
        <w:t> — </w:t>
      </w:r>
      <w:r>
        <w:rPr>
          <w:rStyle w:val="CharSchText"/>
        </w:rPr>
        <w:t>Forms</w:t>
      </w:r>
      <w:bookmarkEnd w:id="100"/>
      <w:bookmarkEnd w:id="101"/>
      <w:bookmarkEnd w:id="102"/>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r>
              <w:rPr>
                <w:i/>
                <w:iCs/>
              </w:rPr>
              <w:t>Royal Perth Hospital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t>Royal Perth Hospital Wellington Street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t>Royal Perth Hospital Wellington Street Campus</w:t>
            </w:r>
          </w:p>
          <w:p>
            <w:pPr>
              <w:pStyle w:val="yTableNAm"/>
              <w:tabs>
                <w:tab w:val="left" w:pos="1376"/>
              </w:tabs>
              <w:spacing w:before="0"/>
              <w:rPr>
                <w:sz w:val="20"/>
              </w:rPr>
            </w:pPr>
            <w:r>
              <w:rPr>
                <w:sz w:val="20"/>
              </w:rPr>
              <w:tab/>
            </w:r>
            <w:r>
              <w:rPr>
                <w:sz w:val="20"/>
              </w:rPr>
              <w:tab/>
              <w:t>PO Box X2213, Perth, WA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then send it to the Chief Executive Officer, Royal Perth Hospital Wellington Street Campus, PO Box X2213, Perth, WA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r>
              <w:rPr>
                <w:i/>
                <w:iCs/>
                <w:sz w:val="20"/>
              </w:rPr>
              <w:t>Royal Perth Hospital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t>Royal Perth Hospital Wellington Street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03" w:name="_Toc113695922"/>
      <w:bookmarkStart w:id="104" w:name="_Toc227576903"/>
      <w:bookmarkStart w:id="105" w:name="_Toc227638755"/>
      <w:bookmarkStart w:id="106" w:name="_Toc278467569"/>
      <w:r>
        <w:t>Notes</w:t>
      </w:r>
      <w:bookmarkEnd w:id="103"/>
      <w:bookmarkEnd w:id="104"/>
      <w:bookmarkEnd w:id="105"/>
      <w:bookmarkEnd w:id="106"/>
    </w:p>
    <w:p>
      <w:pPr>
        <w:pStyle w:val="nSubsection"/>
        <w:rPr>
          <w:snapToGrid w:val="0"/>
        </w:rPr>
      </w:pPr>
      <w:bookmarkStart w:id="107"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The following table contains information about those by-laws</w:t>
      </w:r>
      <w:r>
        <w:rPr>
          <w:snapToGrid w:val="0"/>
          <w:vertAlign w:val="superscript"/>
        </w:rPr>
        <w:t> 1a</w:t>
      </w:r>
      <w:r>
        <w:rPr>
          <w:snapToGrid w:val="0"/>
        </w:rPr>
        <w:t>.</w:t>
      </w:r>
    </w:p>
    <w:p>
      <w:pPr>
        <w:pStyle w:val="nHeading3"/>
      </w:pPr>
      <w:bookmarkStart w:id="108" w:name="_Toc278467570"/>
      <w:r>
        <w:t>Compilation table</w:t>
      </w:r>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iCs/>
                <w:sz w:val="19"/>
              </w:rPr>
            </w:pPr>
            <w:r>
              <w:rPr>
                <w:i/>
                <w:iCs/>
                <w:sz w:val="19"/>
              </w:rPr>
              <w:t>Royal Perth Hospital By-laws 2009</w:t>
            </w:r>
          </w:p>
        </w:tc>
        <w:tc>
          <w:tcPr>
            <w:tcW w:w="1276" w:type="dxa"/>
          </w:tcPr>
          <w:p>
            <w:pPr>
              <w:pStyle w:val="nTable"/>
              <w:spacing w:after="40"/>
              <w:rPr>
                <w:sz w:val="19"/>
              </w:rPr>
            </w:pPr>
            <w:r>
              <w:rPr>
                <w:sz w:val="19"/>
              </w:rPr>
              <w:t>17 Apr 2009 p. 1295-315</w:t>
            </w:r>
          </w:p>
        </w:tc>
        <w:tc>
          <w:tcPr>
            <w:tcW w:w="2693" w:type="dxa"/>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7405065"/>
      <w:bookmarkStart w:id="110" w:name="_Toc278467571"/>
      <w:r>
        <w:t>Provisions that have not come into operation</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iCs/>
                <w:sz w:val="19"/>
              </w:rPr>
              <w:t xml:space="preserve">Royal Perth Hospital </w:t>
            </w:r>
            <w:r>
              <w:rPr>
                <w:i/>
              </w:rPr>
              <w:t>Amendment By</w:t>
            </w:r>
            <w:r>
              <w:rPr>
                <w:i/>
              </w:rPr>
              <w:noBreakHyphen/>
              <w:t>laws 2010</w:t>
            </w:r>
            <w:r>
              <w:rPr>
                <w:iCs/>
              </w:rPr>
              <w:t xml:space="preserve"> bl. 3</w:t>
            </w:r>
            <w:r>
              <w:rPr>
                <w:iCs/>
              </w:rPr>
              <w:noBreakHyphen/>
              <w:t>6</w:t>
            </w:r>
            <w:r>
              <w:rPr>
                <w:iCs/>
                <w:vertAlign w:val="superscript"/>
              </w:rPr>
              <w:t> 2</w:t>
            </w:r>
          </w:p>
        </w:tc>
        <w:tc>
          <w:tcPr>
            <w:tcW w:w="1276" w:type="dxa"/>
            <w:tcBorders>
              <w:bottom w:val="single" w:sz="4" w:space="0" w:color="auto"/>
            </w:tcBorders>
          </w:tcPr>
          <w:p>
            <w:pPr>
              <w:pStyle w:val="nTable"/>
            </w:pPr>
            <w:r>
              <w:t>26 Nov 2010 p. 5948-9</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Royal Perth Hospital Amendment By-laws 2010 </w:t>
      </w:r>
      <w:r>
        <w:rPr>
          <w:iCs/>
          <w:snapToGrid w:val="0"/>
        </w:rPr>
        <w:t>bl. 3</w:t>
      </w:r>
      <w:r>
        <w:rPr>
          <w:iCs/>
          <w:snapToGrid w:val="0"/>
        </w:rPr>
        <w:noBreakHyphen/>
        <w:t>6</w:t>
      </w:r>
      <w:r>
        <w:rPr>
          <w:snapToGrid w:val="0"/>
        </w:rPr>
        <w:t xml:space="preserve"> had not come into operation.  They read as follows:</w:t>
      </w:r>
    </w:p>
    <w:p>
      <w:pPr>
        <w:pStyle w:val="BlankOpen"/>
      </w:pPr>
    </w:p>
    <w:p>
      <w:pPr>
        <w:pStyle w:val="nzHeading5"/>
        <w:rPr>
          <w:snapToGrid w:val="0"/>
        </w:rPr>
      </w:pPr>
      <w:bookmarkStart w:id="111" w:name="_Toc423332724"/>
      <w:bookmarkStart w:id="112" w:name="_Toc425219443"/>
      <w:bookmarkStart w:id="113" w:name="_Toc426249310"/>
      <w:bookmarkStart w:id="114" w:name="_Toc449924706"/>
      <w:bookmarkStart w:id="115" w:name="_Toc449947724"/>
      <w:bookmarkStart w:id="116" w:name="_Toc454185715"/>
      <w:bookmarkStart w:id="117" w:name="_Toc515958688"/>
      <w:r>
        <w:rPr>
          <w:rStyle w:val="CharSectno"/>
        </w:rPr>
        <w:t>3</w:t>
      </w:r>
      <w:r>
        <w:rPr>
          <w:snapToGrid w:val="0"/>
        </w:rPr>
        <w:t>.</w:t>
      </w:r>
      <w:r>
        <w:rPr>
          <w:snapToGrid w:val="0"/>
        </w:rPr>
        <w:tab/>
        <w:t>By-laws amended</w:t>
      </w:r>
      <w:bookmarkEnd w:id="111"/>
      <w:bookmarkEnd w:id="112"/>
      <w:bookmarkEnd w:id="113"/>
      <w:bookmarkEnd w:id="114"/>
      <w:bookmarkEnd w:id="115"/>
      <w:bookmarkEnd w:id="116"/>
      <w:bookmarkEnd w:id="117"/>
    </w:p>
    <w:p>
      <w:pPr>
        <w:pStyle w:val="nzSubsection"/>
      </w:pPr>
      <w:r>
        <w:tab/>
      </w:r>
      <w:r>
        <w:tab/>
      </w:r>
      <w:r>
        <w:rPr>
          <w:spacing w:val="-2"/>
        </w:rPr>
        <w:t>These</w:t>
      </w:r>
      <w:r>
        <w:t xml:space="preserve"> by-laws amend the </w:t>
      </w:r>
      <w:r>
        <w:rPr>
          <w:i/>
        </w:rPr>
        <w:t>Royal Perth Hospital By</w:t>
      </w:r>
      <w:r>
        <w:rPr>
          <w:i/>
        </w:rPr>
        <w:noBreakHyphen/>
        <w:t>laws 2009</w:t>
      </w:r>
      <w:r>
        <w:t>.</w:t>
      </w:r>
    </w:p>
    <w:p>
      <w:pPr>
        <w:pStyle w:val="nzHeading5"/>
      </w:pPr>
      <w:r>
        <w:rPr>
          <w:rStyle w:val="CharSectno"/>
        </w:rPr>
        <w:t>4</w:t>
      </w:r>
      <w:r>
        <w:t>.</w:t>
      </w:r>
      <w:r>
        <w:tab/>
        <w:t>By-law 17 amended</w:t>
      </w:r>
    </w:p>
    <w:p>
      <w:pPr>
        <w:pStyle w:val="nzSubsection"/>
      </w:pPr>
      <w:r>
        <w:tab/>
      </w:r>
      <w:r>
        <w:tab/>
        <w:t>Delete by-law 17(3)(b) and insert:</w:t>
      </w:r>
    </w:p>
    <w:p>
      <w:pPr>
        <w:pStyle w:val="BlankOpen"/>
      </w:pPr>
    </w:p>
    <w:p>
      <w:pPr>
        <w:pStyle w:val="nzIndenta"/>
      </w:pPr>
      <w:r>
        <w:tab/>
        <w:t>(b)</w:t>
      </w:r>
      <w:r>
        <w:tab/>
        <w:t>is to be accompanied by the fee set out in Schedule 2A that corresponds to the type of permit for which the application is made.</w:t>
      </w:r>
    </w:p>
    <w:p>
      <w:pPr>
        <w:pStyle w:val="BlankClose"/>
      </w:pPr>
    </w:p>
    <w:p>
      <w:pPr>
        <w:pStyle w:val="nzHeading5"/>
      </w:pPr>
      <w:r>
        <w:rPr>
          <w:rStyle w:val="CharSectno"/>
        </w:rPr>
        <w:t>5</w:t>
      </w:r>
      <w:r>
        <w:t>.</w:t>
      </w:r>
      <w:r>
        <w:tab/>
        <w:t>By-law 20 amended</w:t>
      </w:r>
    </w:p>
    <w:p>
      <w:pPr>
        <w:pStyle w:val="nzSubsection"/>
      </w:pPr>
      <w:r>
        <w:tab/>
      </w:r>
      <w:r>
        <w:tab/>
        <w:t>In by-law 20(3)(b) delete “a complaint of”.</w:t>
      </w:r>
    </w:p>
    <w:p>
      <w:pPr>
        <w:pStyle w:val="nzHeading5"/>
      </w:pPr>
      <w:r>
        <w:rPr>
          <w:rStyle w:val="CharSectno"/>
        </w:rPr>
        <w:t>6</w:t>
      </w:r>
      <w:r>
        <w:t>.</w:t>
      </w:r>
      <w:r>
        <w:tab/>
        <w:t>Schedule 2A inserted</w:t>
      </w:r>
    </w:p>
    <w:p>
      <w:pPr>
        <w:pStyle w:val="nzSubsection"/>
      </w:pPr>
      <w:r>
        <w:tab/>
      </w:r>
      <w:r>
        <w:tab/>
        <w:t>After Schedule 1 insert:</w:t>
      </w:r>
    </w:p>
    <w:p>
      <w:pPr>
        <w:pStyle w:val="BlankOpen"/>
      </w:pPr>
    </w:p>
    <w:p>
      <w:pPr>
        <w:pStyle w:val="nzHeading2"/>
      </w:pPr>
      <w:r>
        <w:t>Schedule 2A — Fees</w:t>
      </w:r>
    </w:p>
    <w:p>
      <w:pPr>
        <w:pStyle w:val="nzMiscellaneousBody"/>
        <w:jc w:val="right"/>
      </w:pPr>
      <w:r>
        <w:t>[bl. 17(3)(b)]</w:t>
      </w:r>
    </w:p>
    <w:p>
      <w:pPr>
        <w:pStyle w:val="z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zyTableNAm"/>
              <w:jc w:val="center"/>
              <w:rPr>
                <w:b/>
                <w:bCs/>
                <w:sz w:val="20"/>
              </w:rPr>
            </w:pPr>
            <w:r>
              <w:rPr>
                <w:b/>
                <w:bCs/>
                <w:sz w:val="20"/>
              </w:rPr>
              <w:t xml:space="preserve">Type </w:t>
            </w:r>
            <w:bookmarkStart w:id="118" w:name="UpToHere"/>
            <w:bookmarkEnd w:id="118"/>
            <w:r>
              <w:rPr>
                <w:b/>
                <w:bCs/>
                <w:sz w:val="20"/>
              </w:rPr>
              <w:t xml:space="preserve">of permit </w:t>
            </w:r>
          </w:p>
        </w:tc>
        <w:tc>
          <w:tcPr>
            <w:tcW w:w="3119" w:type="dxa"/>
          </w:tcPr>
          <w:p>
            <w:pPr>
              <w:pStyle w:val="zyTableNAm"/>
              <w:jc w:val="center"/>
              <w:rPr>
                <w:b/>
                <w:bCs/>
                <w:sz w:val="20"/>
              </w:rPr>
            </w:pPr>
            <w:r>
              <w:rPr>
                <w:b/>
                <w:bCs/>
                <w:sz w:val="20"/>
              </w:rPr>
              <w:t>Fee</w:t>
            </w:r>
          </w:p>
        </w:tc>
      </w:tr>
      <w:tr>
        <w:tc>
          <w:tcPr>
            <w:tcW w:w="3118" w:type="dxa"/>
          </w:tcPr>
          <w:p>
            <w:pPr>
              <w:pStyle w:val="zyTableNAm"/>
              <w:rPr>
                <w:sz w:val="20"/>
              </w:rPr>
            </w:pPr>
            <w:r>
              <w:rPr>
                <w:sz w:val="20"/>
              </w:rPr>
              <w:t>All types of parking permit (per week or part of a week) at Wellington Street Campus</w:t>
            </w:r>
          </w:p>
        </w:tc>
        <w:tc>
          <w:tcPr>
            <w:tcW w:w="3119" w:type="dxa"/>
          </w:tcPr>
          <w:p>
            <w:pPr>
              <w:pStyle w:val="zyTableNAm"/>
              <w:tabs>
                <w:tab w:val="clear" w:pos="567"/>
                <w:tab w:val="decimal" w:pos="1452"/>
              </w:tabs>
              <w:rPr>
                <w:sz w:val="20"/>
              </w:rPr>
            </w:pPr>
            <w:r>
              <w:rPr>
                <w:sz w:val="20"/>
              </w:rPr>
              <w:t>$13.50</w:t>
            </w:r>
          </w:p>
        </w:tc>
      </w:tr>
      <w:tr>
        <w:tc>
          <w:tcPr>
            <w:tcW w:w="3118" w:type="dxa"/>
          </w:tcPr>
          <w:p>
            <w:pPr>
              <w:pStyle w:val="zyTableNAm"/>
              <w:rPr>
                <w:sz w:val="20"/>
              </w:rPr>
            </w:pPr>
            <w:r>
              <w:rPr>
                <w:sz w:val="20"/>
              </w:rPr>
              <w:t>All types of parking permit (per week or part of a week) at Shenton Park Campus</w:t>
            </w:r>
          </w:p>
        </w:tc>
        <w:tc>
          <w:tcPr>
            <w:tcW w:w="3119" w:type="dxa"/>
          </w:tcPr>
          <w:p>
            <w:pPr>
              <w:pStyle w:val="zyTableNAm"/>
              <w:tabs>
                <w:tab w:val="clear" w:pos="567"/>
                <w:tab w:val="decimal" w:pos="1452"/>
              </w:tabs>
              <w:rPr>
                <w:sz w:val="20"/>
              </w:rPr>
            </w:pPr>
            <w:r>
              <w:rPr>
                <w:sz w:val="20"/>
              </w:rPr>
              <w:t>$2.00</w:t>
            </w:r>
          </w:p>
        </w:tc>
      </w:tr>
    </w:tbl>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4233</Words>
  <Characters>20237</Characters>
  <Application>Microsoft Office Word</Application>
  <DocSecurity>0</DocSecurity>
  <Lines>722</Lines>
  <Paragraphs>509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Schedule 2 — Infringement notices and modified penalties</vt:lpstr>
      <vt:lpstr>Schedule 3 — Forms</vt:lpstr>
      <vt:lpstr/>
      <vt:lpstr>    Notes</vt:lpstr>
    </vt:vector>
  </TitlesOfParts>
  <Manager/>
  <Company/>
  <LinksUpToDate>false</LinksUpToDate>
  <CharactersWithSpaces>23961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2009 - 00-b0-01</dc:title>
  <dc:subject/>
  <dc:creator/>
  <cp:keywords/>
  <dc:description/>
  <cp:lastModifiedBy>svcMRProcess</cp:lastModifiedBy>
  <cp:revision>4</cp:revision>
  <cp:lastPrinted>2009-03-06T03:57:00Z</cp:lastPrinted>
  <dcterms:created xsi:type="dcterms:W3CDTF">2018-09-17T22:02:00Z</dcterms:created>
  <dcterms:modified xsi:type="dcterms:W3CDTF">2018-09-17T22:02:00Z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20101126</vt:lpwstr>
  </property>
  <property fmtid="{D5CDD505-2E9C-101B-9397-08002B2CF9AE}" pid="4" name="DocumentType">
    <vt:lpwstr>Reg</vt:lpwstr>
  </property>
  <property fmtid="{D5CDD505-2E9C-101B-9397-08002B2CF9AE}" pid="5" name="AsAtDate">
    <vt:lpwstr>26 Nov 2010</vt:lpwstr>
  </property>
  <property fmtid="{D5CDD505-2E9C-101B-9397-08002B2CF9AE}" pid="6" name="Suffix">
    <vt:lpwstr>00-b0-01</vt:lpwstr>
  </property>
  <property fmtid="{D5CDD505-2E9C-101B-9397-08002B2CF9AE}" pid="7" name="OwlsUID">
    <vt:i4>40847</vt:i4>
  </property>
</Properties>
</file>