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Auditor General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Auditor General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_Toc473795929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_Toc473795930 \h </w:instrText>
      </w:r>
      <w:r>
        <w:fldChar w:fldCharType="separate"/>
      </w:r>
      <w:r>
        <w:t>2</w:t>
      </w:r>
      <w:r>
        <w:fldChar w:fldCharType="end"/>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_Toc473795931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_Toc473795932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 under other written laws</w:t>
      </w:r>
      <w:r>
        <w:tab/>
      </w:r>
      <w:r>
        <w:fldChar w:fldCharType="begin"/>
      </w:r>
      <w:r>
        <w:instrText xml:space="preserve"> PAGEREF _Toc473795933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The Auditor General and Deputy Auditor General</w:t>
      </w:r>
    </w:p>
    <w:p>
      <w:pPr>
        <w:pStyle w:val="TOC8"/>
        <w:rPr>
          <w:rFonts w:asciiTheme="minorHAnsi" w:eastAsiaTheme="minorEastAsia" w:hAnsiTheme="minorHAnsi" w:cstheme="minorBidi"/>
          <w:szCs w:val="22"/>
        </w:rPr>
      </w:pPr>
      <w:r>
        <w:t>6.</w:t>
      </w:r>
      <w:r>
        <w:tab/>
        <w:t>Auditor General</w:t>
      </w:r>
      <w:r>
        <w:tab/>
      </w:r>
      <w:r>
        <w:fldChar w:fldCharType="begin"/>
      </w:r>
      <w:r>
        <w:instrText xml:space="preserve"> PAGEREF _Toc473795935 \h </w:instrText>
      </w:r>
      <w:r>
        <w:fldChar w:fldCharType="separate"/>
      </w:r>
      <w:r>
        <w:t>5</w:t>
      </w:r>
      <w:r>
        <w:fldChar w:fldCharType="end"/>
      </w:r>
    </w:p>
    <w:p>
      <w:pPr>
        <w:pStyle w:val="TOC8"/>
        <w:rPr>
          <w:rFonts w:asciiTheme="minorHAnsi" w:eastAsiaTheme="minorEastAsia" w:hAnsiTheme="minorHAnsi" w:cstheme="minorBidi"/>
          <w:szCs w:val="22"/>
        </w:rPr>
      </w:pPr>
      <w:r>
        <w:t>7.</w:t>
      </w:r>
      <w:r>
        <w:tab/>
        <w:t>Status and independence of Auditor General</w:t>
      </w:r>
      <w:r>
        <w:tab/>
      </w:r>
      <w:r>
        <w:fldChar w:fldCharType="begin"/>
      </w:r>
      <w:r>
        <w:instrText xml:space="preserve"> PAGEREF _Toc473795936 \h </w:instrText>
      </w:r>
      <w:r>
        <w:fldChar w:fldCharType="separate"/>
      </w:r>
      <w:r>
        <w:t>5</w:t>
      </w:r>
      <w:r>
        <w:fldChar w:fldCharType="end"/>
      </w:r>
    </w:p>
    <w:p>
      <w:pPr>
        <w:pStyle w:val="TOC8"/>
        <w:rPr>
          <w:rFonts w:asciiTheme="minorHAnsi" w:eastAsiaTheme="minorEastAsia" w:hAnsiTheme="minorHAnsi" w:cstheme="minorBidi"/>
          <w:szCs w:val="22"/>
        </w:rPr>
      </w:pPr>
      <w:r>
        <w:t>8.</w:t>
      </w:r>
      <w:r>
        <w:tab/>
        <w:t>Auditor General to have regard to audit priorities of Parliament</w:t>
      </w:r>
      <w:r>
        <w:tab/>
      </w:r>
      <w:r>
        <w:fldChar w:fldCharType="begin"/>
      </w:r>
      <w:r>
        <w:instrText xml:space="preserve"> PAGEREF _Toc473795937 \h </w:instrText>
      </w:r>
      <w:r>
        <w:fldChar w:fldCharType="separate"/>
      </w:r>
      <w:r>
        <w:t>6</w:t>
      </w:r>
      <w:r>
        <w:fldChar w:fldCharType="end"/>
      </w:r>
    </w:p>
    <w:p>
      <w:pPr>
        <w:pStyle w:val="TOC8"/>
        <w:rPr>
          <w:rFonts w:asciiTheme="minorHAnsi" w:eastAsiaTheme="minorEastAsia" w:hAnsiTheme="minorHAnsi" w:cstheme="minorBidi"/>
          <w:szCs w:val="22"/>
        </w:rPr>
      </w:pPr>
      <w:r>
        <w:t>9.</w:t>
      </w:r>
      <w:r>
        <w:tab/>
        <w:t xml:space="preserve">Application of </w:t>
      </w:r>
      <w:r>
        <w:rPr>
          <w:i/>
          <w:iCs/>
        </w:rPr>
        <w:t>Public Sector Management Act 1994</w:t>
      </w:r>
      <w:r>
        <w:t xml:space="preserve"> limited</w:t>
      </w:r>
      <w:r>
        <w:tab/>
      </w:r>
      <w:r>
        <w:fldChar w:fldCharType="begin"/>
      </w:r>
      <w:r>
        <w:instrText xml:space="preserve"> PAGEREF _Toc473795938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Deputy Auditor General</w:t>
      </w:r>
      <w:r>
        <w:tab/>
      </w:r>
      <w:r>
        <w:fldChar w:fldCharType="begin"/>
      </w:r>
      <w:r>
        <w:instrText xml:space="preserve"> PAGEREF _Toc473795939 \h </w:instrText>
      </w:r>
      <w:r>
        <w:fldChar w:fldCharType="separate"/>
      </w:r>
      <w:r>
        <w:t>6</w:t>
      </w:r>
      <w:r>
        <w:fldChar w:fldCharType="end"/>
      </w:r>
    </w:p>
    <w:p>
      <w:pPr>
        <w:pStyle w:val="TOC8"/>
        <w:rPr>
          <w:rFonts w:asciiTheme="minorHAnsi" w:eastAsiaTheme="minorEastAsia" w:hAnsiTheme="minorHAnsi" w:cstheme="minorBidi"/>
          <w:szCs w:val="22"/>
        </w:rPr>
      </w:pPr>
      <w:r>
        <w:t>11.</w:t>
      </w:r>
      <w:r>
        <w:tab/>
        <w:t>General provisions as to Auditor General</w:t>
      </w:r>
      <w:r>
        <w:tab/>
      </w:r>
      <w:r>
        <w:fldChar w:fldCharType="begin"/>
      </w:r>
      <w:r>
        <w:instrText xml:space="preserve"> PAGEREF _Toc473795940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Auditing and other functions of Auditor General</w:t>
      </w:r>
    </w:p>
    <w:p>
      <w:pPr>
        <w:pStyle w:val="TOC4"/>
        <w:tabs>
          <w:tab w:val="right" w:leader="dot" w:pos="7077"/>
        </w:tabs>
        <w:rPr>
          <w:rFonts w:asciiTheme="minorHAnsi" w:eastAsiaTheme="minorEastAsia" w:hAnsiTheme="minorHAnsi" w:cstheme="minorBidi"/>
          <w:b w:val="0"/>
          <w:szCs w:val="22"/>
        </w:rPr>
      </w:pPr>
      <w:r>
        <w:t>Division 1 — Functions as to the State, agencies, subsidiary bodies and related entities</w:t>
      </w:r>
    </w:p>
    <w:p>
      <w:pPr>
        <w:pStyle w:val="TOC8"/>
        <w:rPr>
          <w:rFonts w:asciiTheme="minorHAnsi" w:eastAsiaTheme="minorEastAsia" w:hAnsiTheme="minorHAnsi" w:cstheme="minorBidi"/>
          <w:szCs w:val="22"/>
        </w:rPr>
      </w:pPr>
      <w:r>
        <w:t>12</w:t>
      </w:r>
      <w:r>
        <w:rPr>
          <w:snapToGrid w:val="0"/>
        </w:rPr>
        <w:t>.</w:t>
      </w:r>
      <w:r>
        <w:rPr>
          <w:snapToGrid w:val="0"/>
        </w:rPr>
        <w:tab/>
        <w:t>Audit of the Public Ledger</w:t>
      </w:r>
      <w:r>
        <w:tab/>
      </w:r>
      <w:r>
        <w:fldChar w:fldCharType="begin"/>
      </w:r>
      <w:r>
        <w:instrText xml:space="preserve"> PAGEREF _Toc473795943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Audit and opinion on Annual Report on State Finances</w:t>
      </w:r>
      <w:r>
        <w:tab/>
      </w:r>
      <w:r>
        <w:fldChar w:fldCharType="begin"/>
      </w:r>
      <w:r>
        <w:instrText xml:space="preserve"> PAGEREF _Toc473795944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Audits of accounts of agencies</w:t>
      </w:r>
      <w:r>
        <w:tab/>
      </w:r>
      <w:r>
        <w:fldChar w:fldCharType="begin"/>
      </w:r>
      <w:r>
        <w:instrText xml:space="preserve"> PAGEREF _Toc473795945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Audits and opinions on financial statements and related information as to agencies</w:t>
      </w:r>
      <w:r>
        <w:tab/>
      </w:r>
      <w:r>
        <w:fldChar w:fldCharType="begin"/>
      </w:r>
      <w:r>
        <w:instrText xml:space="preserve"> PAGEREF _Toc473795946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Audits of accounts of certain subsidiary bodies</w:t>
      </w:r>
      <w:r>
        <w:tab/>
      </w:r>
      <w:r>
        <w:fldChar w:fldCharType="begin"/>
      </w:r>
      <w:r>
        <w:instrText xml:space="preserve"> PAGEREF _Toc473795947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Audits of accounts of related entities</w:t>
      </w:r>
      <w:r>
        <w:tab/>
      </w:r>
      <w:r>
        <w:fldChar w:fldCharType="begin"/>
      </w:r>
      <w:r>
        <w:instrText xml:space="preserve"> PAGEREF _Toc473795948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Examinations and investigations</w:t>
      </w:r>
      <w:r>
        <w:tab/>
      </w:r>
      <w:r>
        <w:fldChar w:fldCharType="begin"/>
      </w:r>
      <w:r>
        <w:instrText xml:space="preserve"> PAGEREF _Toc473795949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Audits at the request of the Treasurer</w:t>
      </w:r>
      <w:r>
        <w:tab/>
      </w:r>
      <w:r>
        <w:fldChar w:fldCharType="begin"/>
      </w:r>
      <w:r>
        <w:instrText xml:space="preserve"> PAGEREF _Toc473795950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Audits at the request of committees of Parliament</w:t>
      </w:r>
      <w:r>
        <w:tab/>
      </w:r>
      <w:r>
        <w:fldChar w:fldCharType="begin"/>
      </w:r>
      <w:r>
        <w:instrText xml:space="preserve"> PAGEREF _Toc473795951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Audit fees</w:t>
      </w:r>
      <w:r>
        <w:tab/>
      </w:r>
      <w:r>
        <w:fldChar w:fldCharType="begin"/>
      </w:r>
      <w:r>
        <w:instrText xml:space="preserve"> PAGEREF _Toc473795952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Other audits, services and functions</w:t>
      </w:r>
    </w:p>
    <w:p>
      <w:pPr>
        <w:pStyle w:val="TOC8"/>
        <w:rPr>
          <w:rFonts w:asciiTheme="minorHAnsi" w:eastAsiaTheme="minorEastAsia" w:hAnsiTheme="minorHAnsi" w:cstheme="minorBidi"/>
          <w:szCs w:val="22"/>
        </w:rPr>
      </w:pPr>
      <w:r>
        <w:t>22.</w:t>
      </w:r>
      <w:r>
        <w:tab/>
        <w:t>Audits and other services by arrangement</w:t>
      </w:r>
      <w:r>
        <w:tab/>
      </w:r>
      <w:r>
        <w:fldChar w:fldCharType="begin"/>
      </w:r>
      <w:r>
        <w:instrText xml:space="preserve"> PAGEREF _Toc473795954 \h </w:instrText>
      </w:r>
      <w:r>
        <w:fldChar w:fldCharType="separate"/>
      </w:r>
      <w:r>
        <w:t>13</w:t>
      </w:r>
      <w:r>
        <w:fldChar w:fldCharType="end"/>
      </w:r>
    </w:p>
    <w:p>
      <w:pPr>
        <w:pStyle w:val="TOC8"/>
        <w:rPr>
          <w:rFonts w:asciiTheme="minorHAnsi" w:eastAsiaTheme="minorEastAsia" w:hAnsiTheme="minorHAnsi" w:cstheme="minorBidi"/>
          <w:szCs w:val="22"/>
        </w:rPr>
      </w:pPr>
      <w:r>
        <w:t>23.</w:t>
      </w:r>
      <w:r>
        <w:tab/>
        <w:t>Provision of advice or information</w:t>
      </w:r>
      <w:r>
        <w:tab/>
      </w:r>
      <w:r>
        <w:fldChar w:fldCharType="begin"/>
      </w:r>
      <w:r>
        <w:instrText xml:space="preserve"> PAGEREF _Toc473795955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Reporting to Parliament</w:t>
      </w:r>
    </w:p>
    <w:p>
      <w:pPr>
        <w:pStyle w:val="TOC8"/>
        <w:rPr>
          <w:rFonts w:asciiTheme="minorHAnsi" w:eastAsiaTheme="minorEastAsia" w:hAnsiTheme="minorHAnsi" w:cstheme="minorBidi"/>
          <w:szCs w:val="22"/>
        </w:rPr>
      </w:pPr>
      <w:r>
        <w:t>24.</w:t>
      </w:r>
      <w:r>
        <w:tab/>
      </w:r>
      <w:r>
        <w:rPr>
          <w:snapToGrid w:val="0"/>
        </w:rPr>
        <w:t>Reports on performance of functions generally</w:t>
      </w:r>
      <w:r>
        <w:tab/>
      </w:r>
      <w:r>
        <w:fldChar w:fldCharType="begin"/>
      </w:r>
      <w:r>
        <w:instrText xml:space="preserve"> PAGEREF _Toc473795957 \h </w:instrText>
      </w:r>
      <w:r>
        <w:fldChar w:fldCharType="separate"/>
      </w:r>
      <w:r>
        <w:t>14</w:t>
      </w:r>
      <w:r>
        <w:fldChar w:fldCharType="end"/>
      </w:r>
    </w:p>
    <w:p>
      <w:pPr>
        <w:pStyle w:val="TOC8"/>
        <w:rPr>
          <w:rFonts w:asciiTheme="minorHAnsi" w:eastAsiaTheme="minorEastAsia" w:hAnsiTheme="minorHAnsi" w:cstheme="minorBidi"/>
          <w:szCs w:val="22"/>
        </w:rPr>
      </w:pPr>
      <w:r>
        <w:t>25.</w:t>
      </w:r>
      <w:r>
        <w:tab/>
        <w:t>Report on an examination or investigation</w:t>
      </w:r>
      <w:r>
        <w:tab/>
      </w:r>
      <w:r>
        <w:fldChar w:fldCharType="begin"/>
      </w:r>
      <w:r>
        <w:instrText xml:space="preserve"> PAGEREF _Toc473795958 \h </w:instrText>
      </w:r>
      <w:r>
        <w:fldChar w:fldCharType="separate"/>
      </w:r>
      <w:r>
        <w:t>15</w:t>
      </w:r>
      <w:r>
        <w:fldChar w:fldCharType="end"/>
      </w:r>
    </w:p>
    <w:p>
      <w:pPr>
        <w:pStyle w:val="TOC8"/>
        <w:rPr>
          <w:rFonts w:asciiTheme="minorHAnsi" w:eastAsiaTheme="minorEastAsia" w:hAnsiTheme="minorHAnsi" w:cstheme="minorBidi"/>
          <w:szCs w:val="22"/>
        </w:rPr>
      </w:pPr>
      <w:r>
        <w:t>26.</w:t>
      </w:r>
      <w:r>
        <w:tab/>
        <w:t>Reports transmitted to Clerks</w:t>
      </w:r>
      <w:r>
        <w:tab/>
      </w:r>
      <w:r>
        <w:fldChar w:fldCharType="begin"/>
      </w:r>
      <w:r>
        <w:instrText xml:space="preserve"> PAGEREF _Toc473795959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Powers and duties of Auditor General</w:t>
      </w:r>
    </w:p>
    <w:p>
      <w:pPr>
        <w:pStyle w:val="TOC4"/>
        <w:tabs>
          <w:tab w:val="right" w:leader="dot" w:pos="7077"/>
        </w:tabs>
        <w:rPr>
          <w:rFonts w:asciiTheme="minorHAnsi" w:eastAsiaTheme="minorEastAsia" w:hAnsiTheme="minorHAnsi" w:cstheme="minorBidi"/>
          <w:b w:val="0"/>
          <w:szCs w:val="22"/>
        </w:rPr>
      </w:pPr>
      <w:r>
        <w:t>Division 1 — Powers and duties generally</w:t>
      </w:r>
    </w:p>
    <w:p>
      <w:pPr>
        <w:pStyle w:val="TOC8"/>
        <w:rPr>
          <w:rFonts w:asciiTheme="minorHAnsi" w:eastAsiaTheme="minorEastAsia" w:hAnsiTheme="minorHAnsi" w:cstheme="minorBidi"/>
          <w:szCs w:val="22"/>
        </w:rPr>
      </w:pPr>
      <w:r>
        <w:t>27.</w:t>
      </w:r>
      <w:r>
        <w:tab/>
      </w:r>
      <w:r>
        <w:rPr>
          <w:snapToGrid w:val="0"/>
        </w:rPr>
        <w:t>Powers</w:t>
      </w:r>
      <w:r>
        <w:tab/>
      </w:r>
      <w:r>
        <w:fldChar w:fldCharType="begin"/>
      </w:r>
      <w:r>
        <w:instrText xml:space="preserve"> PAGEREF _Toc473795962 \h </w:instrText>
      </w:r>
      <w:r>
        <w:fldChar w:fldCharType="separate"/>
      </w:r>
      <w:r>
        <w:t>17</w:t>
      </w:r>
      <w:r>
        <w:fldChar w:fldCharType="end"/>
      </w:r>
    </w:p>
    <w:p>
      <w:pPr>
        <w:pStyle w:val="TOC8"/>
        <w:rPr>
          <w:rFonts w:asciiTheme="minorHAnsi" w:eastAsiaTheme="minorEastAsia" w:hAnsiTheme="minorHAnsi" w:cstheme="minorBidi"/>
          <w:szCs w:val="22"/>
        </w:rPr>
      </w:pPr>
      <w:r>
        <w:t>28.</w:t>
      </w:r>
      <w:r>
        <w:tab/>
      </w:r>
      <w:r>
        <w:rPr>
          <w:snapToGrid w:val="0"/>
        </w:rPr>
        <w:t>Duties of Auditor General as to audits</w:t>
      </w:r>
      <w:r>
        <w:tab/>
      </w:r>
      <w:r>
        <w:fldChar w:fldCharType="begin"/>
      </w:r>
      <w:r>
        <w:instrText xml:space="preserve"> PAGEREF _Toc473795963 \h </w:instrText>
      </w:r>
      <w:r>
        <w:fldChar w:fldCharType="separate"/>
      </w:r>
      <w:r>
        <w:t>17</w:t>
      </w:r>
      <w:r>
        <w:fldChar w:fldCharType="end"/>
      </w:r>
    </w:p>
    <w:p>
      <w:pPr>
        <w:pStyle w:val="TOC8"/>
        <w:rPr>
          <w:rFonts w:asciiTheme="minorHAnsi" w:eastAsiaTheme="minorEastAsia" w:hAnsiTheme="minorHAnsi" w:cstheme="minorBidi"/>
          <w:szCs w:val="22"/>
        </w:rPr>
      </w:pPr>
      <w:r>
        <w:t>29.</w:t>
      </w:r>
      <w:r>
        <w:tab/>
      </w:r>
      <w:r>
        <w:rPr>
          <w:snapToGrid w:val="0"/>
        </w:rPr>
        <w:t>Auditor General may appoint person to audit</w:t>
      </w:r>
      <w:r>
        <w:tab/>
      </w:r>
      <w:r>
        <w:fldChar w:fldCharType="begin"/>
      </w:r>
      <w:r>
        <w:instrText xml:space="preserve"> PAGEREF _Toc473795964 \h </w:instrText>
      </w:r>
      <w:r>
        <w:fldChar w:fldCharType="separate"/>
      </w:r>
      <w:r>
        <w:t>17</w:t>
      </w:r>
      <w:r>
        <w:fldChar w:fldCharType="end"/>
      </w:r>
    </w:p>
    <w:p>
      <w:pPr>
        <w:pStyle w:val="TOC8"/>
        <w:rPr>
          <w:rFonts w:asciiTheme="minorHAnsi" w:eastAsiaTheme="minorEastAsia" w:hAnsiTheme="minorHAnsi" w:cstheme="minorBidi"/>
          <w:szCs w:val="22"/>
        </w:rPr>
      </w:pPr>
      <w:r>
        <w:t>30.</w:t>
      </w:r>
      <w:r>
        <w:tab/>
      </w:r>
      <w:r>
        <w:rPr>
          <w:snapToGrid w:val="0"/>
        </w:rPr>
        <w:t>Power to obtain opinion</w:t>
      </w:r>
      <w:r>
        <w:tab/>
      </w:r>
      <w:r>
        <w:fldChar w:fldCharType="begin"/>
      </w:r>
      <w:r>
        <w:instrText xml:space="preserve"> PAGEREF _Toc473795965 \h </w:instrText>
      </w:r>
      <w:r>
        <w:fldChar w:fldCharType="separate"/>
      </w:r>
      <w:r>
        <w:t>17</w:t>
      </w:r>
      <w:r>
        <w:fldChar w:fldCharType="end"/>
      </w:r>
    </w:p>
    <w:p>
      <w:pPr>
        <w:pStyle w:val="TOC8"/>
        <w:rPr>
          <w:rFonts w:asciiTheme="minorHAnsi" w:eastAsiaTheme="minorEastAsia" w:hAnsiTheme="minorHAnsi" w:cstheme="minorBidi"/>
          <w:szCs w:val="22"/>
        </w:rPr>
      </w:pPr>
      <w:r>
        <w:t>31.</w:t>
      </w:r>
      <w:r>
        <w:tab/>
      </w:r>
      <w:r>
        <w:rPr>
          <w:snapToGrid w:val="0"/>
        </w:rPr>
        <w:t>Delegation</w:t>
      </w:r>
      <w:r>
        <w:t xml:space="preserve"> by </w:t>
      </w:r>
      <w:r>
        <w:rPr>
          <w:snapToGrid w:val="0"/>
        </w:rPr>
        <w:t>Auditor General</w:t>
      </w:r>
      <w:r>
        <w:tab/>
      </w:r>
      <w:r>
        <w:fldChar w:fldCharType="begin"/>
      </w:r>
      <w:r>
        <w:instrText xml:space="preserve"> PAGEREF _Toc473795966 \h </w:instrText>
      </w:r>
      <w:r>
        <w:fldChar w:fldCharType="separate"/>
      </w:r>
      <w:r>
        <w:t>18</w:t>
      </w:r>
      <w:r>
        <w:fldChar w:fldCharType="end"/>
      </w:r>
    </w:p>
    <w:p>
      <w:pPr>
        <w:pStyle w:val="TOC8"/>
        <w:rPr>
          <w:rFonts w:asciiTheme="minorHAnsi" w:eastAsiaTheme="minorEastAsia" w:hAnsiTheme="minorHAnsi" w:cstheme="minorBidi"/>
          <w:szCs w:val="22"/>
        </w:rPr>
      </w:pPr>
      <w:r>
        <w:t>32.</w:t>
      </w:r>
      <w:r>
        <w:tab/>
        <w:t>Powers and duties under other written laws</w:t>
      </w:r>
      <w:r>
        <w:tab/>
      </w:r>
      <w:r>
        <w:fldChar w:fldCharType="begin"/>
      </w:r>
      <w:r>
        <w:instrText xml:space="preserve"> PAGEREF _Toc473795967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Information gathering powers</w:t>
      </w:r>
    </w:p>
    <w:p>
      <w:pPr>
        <w:pStyle w:val="TOC8"/>
        <w:rPr>
          <w:rFonts w:asciiTheme="minorHAnsi" w:eastAsiaTheme="minorEastAsia" w:hAnsiTheme="minorHAnsi" w:cstheme="minorBidi"/>
          <w:szCs w:val="22"/>
        </w:rPr>
      </w:pPr>
      <w:r>
        <w:t>33.</w:t>
      </w:r>
      <w:r>
        <w:tab/>
      </w:r>
      <w:r>
        <w:rPr>
          <w:snapToGrid w:val="0"/>
        </w:rPr>
        <w:t>Auditor General may authorise people to perform functions</w:t>
      </w:r>
      <w:r>
        <w:tab/>
      </w:r>
      <w:r>
        <w:fldChar w:fldCharType="begin"/>
      </w:r>
      <w:r>
        <w:instrText xml:space="preserve"> PAGEREF _Toc473795969 \h </w:instrText>
      </w:r>
      <w:r>
        <w:fldChar w:fldCharType="separate"/>
      </w:r>
      <w:r>
        <w:t>19</w:t>
      </w:r>
      <w:r>
        <w:fldChar w:fldCharType="end"/>
      </w:r>
    </w:p>
    <w:p>
      <w:pPr>
        <w:pStyle w:val="TOC8"/>
        <w:rPr>
          <w:rFonts w:asciiTheme="minorHAnsi" w:eastAsiaTheme="minorEastAsia" w:hAnsiTheme="minorHAnsi" w:cstheme="minorBidi"/>
          <w:szCs w:val="22"/>
        </w:rPr>
      </w:pPr>
      <w:r>
        <w:t>34.</w:t>
      </w:r>
      <w:r>
        <w:tab/>
        <w:t>Power to obtain information</w:t>
      </w:r>
      <w:r>
        <w:tab/>
      </w:r>
      <w:r>
        <w:fldChar w:fldCharType="begin"/>
      </w:r>
      <w:r>
        <w:instrText xml:space="preserve"> PAGEREF _Toc473795970 \h </w:instrText>
      </w:r>
      <w:r>
        <w:fldChar w:fldCharType="separate"/>
      </w:r>
      <w:r>
        <w:t>19</w:t>
      </w:r>
      <w:r>
        <w:fldChar w:fldCharType="end"/>
      </w:r>
    </w:p>
    <w:p>
      <w:pPr>
        <w:pStyle w:val="TOC8"/>
        <w:rPr>
          <w:rFonts w:asciiTheme="minorHAnsi" w:eastAsiaTheme="minorEastAsia" w:hAnsiTheme="minorHAnsi" w:cstheme="minorBidi"/>
          <w:szCs w:val="22"/>
        </w:rPr>
      </w:pPr>
      <w:r>
        <w:t>35.</w:t>
      </w:r>
      <w:r>
        <w:tab/>
      </w:r>
      <w:r>
        <w:rPr>
          <w:snapToGrid w:val="0"/>
        </w:rPr>
        <w:t>Access to accounts, information, money and property</w:t>
      </w:r>
      <w:r>
        <w:tab/>
      </w:r>
      <w:r>
        <w:fldChar w:fldCharType="begin"/>
      </w:r>
      <w:r>
        <w:instrText xml:space="preserve"> PAGEREF _Toc473795971 \h </w:instrText>
      </w:r>
      <w:r>
        <w:fldChar w:fldCharType="separate"/>
      </w:r>
      <w:r>
        <w:t>20</w:t>
      </w:r>
      <w:r>
        <w:fldChar w:fldCharType="end"/>
      </w:r>
    </w:p>
    <w:p>
      <w:pPr>
        <w:pStyle w:val="TOC8"/>
        <w:rPr>
          <w:rFonts w:asciiTheme="minorHAnsi" w:eastAsiaTheme="minorEastAsia" w:hAnsiTheme="minorHAnsi" w:cstheme="minorBidi"/>
          <w:szCs w:val="22"/>
        </w:rPr>
      </w:pPr>
      <w:r>
        <w:t>36.</w:t>
      </w:r>
      <w:r>
        <w:tab/>
        <w:t>Duty to give information overrides other duties and rights</w:t>
      </w:r>
      <w:r>
        <w:tab/>
      </w:r>
      <w:r>
        <w:fldChar w:fldCharType="begin"/>
      </w:r>
      <w:r>
        <w:instrText xml:space="preserve"> PAGEREF _Toc473795972 \h </w:instrText>
      </w:r>
      <w:r>
        <w:fldChar w:fldCharType="separate"/>
      </w:r>
      <w:r>
        <w:t>21</w:t>
      </w:r>
      <w:r>
        <w:fldChar w:fldCharType="end"/>
      </w:r>
    </w:p>
    <w:p>
      <w:pPr>
        <w:pStyle w:val="TOC8"/>
        <w:rPr>
          <w:rFonts w:asciiTheme="minorHAnsi" w:eastAsiaTheme="minorEastAsia" w:hAnsiTheme="minorHAnsi" w:cstheme="minorBidi"/>
          <w:szCs w:val="22"/>
        </w:rPr>
      </w:pPr>
      <w:r>
        <w:t>37.</w:t>
      </w:r>
      <w:r>
        <w:tab/>
        <w:t>Powers extend to confidential information</w:t>
      </w:r>
      <w:r>
        <w:tab/>
      </w:r>
      <w:r>
        <w:fldChar w:fldCharType="begin"/>
      </w:r>
      <w:r>
        <w:instrText xml:space="preserve"> PAGEREF _Toc473795973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Independent auditing of the OAG</w:t>
      </w:r>
    </w:p>
    <w:p>
      <w:pPr>
        <w:pStyle w:val="TOC8"/>
        <w:rPr>
          <w:rFonts w:asciiTheme="minorHAnsi" w:eastAsiaTheme="minorEastAsia" w:hAnsiTheme="minorHAnsi" w:cstheme="minorBidi"/>
          <w:szCs w:val="22"/>
        </w:rPr>
      </w:pPr>
      <w:r>
        <w:t>38</w:t>
      </w:r>
      <w:r>
        <w:rPr>
          <w:snapToGrid w:val="0"/>
        </w:rPr>
        <w:t>.</w:t>
      </w:r>
      <w:r>
        <w:rPr>
          <w:snapToGrid w:val="0"/>
        </w:rPr>
        <w:tab/>
        <w:t>Appointment of independent auditor for the OAG</w:t>
      </w:r>
      <w:r>
        <w:tab/>
      </w:r>
      <w:r>
        <w:fldChar w:fldCharType="begin"/>
      </w:r>
      <w:r>
        <w:instrText xml:space="preserve"> PAGEREF _Toc473795975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Audits of accounts of the OAG</w:t>
      </w:r>
      <w:r>
        <w:tab/>
      </w:r>
      <w:r>
        <w:fldChar w:fldCharType="begin"/>
      </w:r>
      <w:r>
        <w:instrText xml:space="preserve"> PAGEREF _Toc473795976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Audits and opinions on financial statements and related information as to the OAG</w:t>
      </w:r>
      <w:r>
        <w:tab/>
      </w:r>
      <w:r>
        <w:fldChar w:fldCharType="begin"/>
      </w:r>
      <w:r>
        <w:instrText xml:space="preserve"> PAGEREF _Toc473795977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Duties of independent auditor as to audits</w:t>
      </w:r>
      <w:r>
        <w:tab/>
      </w:r>
      <w:r>
        <w:fldChar w:fldCharType="begin"/>
      </w:r>
      <w:r>
        <w:instrText xml:space="preserve"> PAGEREF _Toc473795978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Audit fees for independent auditor</w:t>
      </w:r>
      <w:r>
        <w:tab/>
      </w:r>
      <w:r>
        <w:fldChar w:fldCharType="begin"/>
      </w:r>
      <w:r>
        <w:instrText xml:space="preserve"> PAGEREF _Toc473795979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43.</w:t>
      </w:r>
      <w:r>
        <w:tab/>
        <w:t>Joint Standing Committee on Audit</w:t>
      </w:r>
      <w:r>
        <w:tab/>
      </w:r>
      <w:r>
        <w:fldChar w:fldCharType="begin"/>
      </w:r>
      <w:r>
        <w:instrText xml:space="preserve"> PAGEREF _Toc473795981 \h </w:instrText>
      </w:r>
      <w:r>
        <w:fldChar w:fldCharType="separate"/>
      </w:r>
      <w:r>
        <w:t>25</w:t>
      </w:r>
      <w:r>
        <w:fldChar w:fldCharType="end"/>
      </w:r>
    </w:p>
    <w:p>
      <w:pPr>
        <w:pStyle w:val="TOC8"/>
        <w:rPr>
          <w:rFonts w:asciiTheme="minorHAnsi" w:eastAsiaTheme="minorEastAsia" w:hAnsiTheme="minorHAnsi" w:cstheme="minorBidi"/>
          <w:szCs w:val="22"/>
        </w:rPr>
      </w:pPr>
      <w:r>
        <w:t>44.</w:t>
      </w:r>
      <w:r>
        <w:tab/>
        <w:t>Recommendations by the Joint Standing Committee on Audit</w:t>
      </w:r>
      <w:r>
        <w:tab/>
      </w:r>
      <w:r>
        <w:fldChar w:fldCharType="begin"/>
      </w:r>
      <w:r>
        <w:instrText xml:space="preserve"> PAGEREF _Toc473795982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_Toc473795983 \h </w:instrText>
      </w:r>
      <w:r>
        <w:fldChar w:fldCharType="separate"/>
      </w:r>
      <w:r>
        <w:t>25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Information confidential</w:t>
      </w:r>
      <w:r>
        <w:tab/>
      </w:r>
      <w:r>
        <w:fldChar w:fldCharType="begin"/>
      </w:r>
      <w:r>
        <w:instrText xml:space="preserve"> PAGEREF _Toc473795984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_Toc473795985 \h </w:instrText>
      </w:r>
      <w:r>
        <w:fldChar w:fldCharType="separate"/>
      </w:r>
      <w:r>
        <w:t>27</w:t>
      </w:r>
      <w:r>
        <w:fldChar w:fldCharType="end"/>
      </w:r>
    </w:p>
    <w:p>
      <w:pPr>
        <w:pStyle w:val="TOC8"/>
        <w:rPr>
          <w:rFonts w:asciiTheme="minorHAnsi" w:eastAsiaTheme="minorEastAsia" w:hAnsiTheme="minorHAnsi" w:cstheme="minorBidi"/>
          <w:szCs w:val="22"/>
        </w:rPr>
      </w:pPr>
      <w:r>
        <w:t>48.</w:t>
      </w:r>
      <w:r>
        <w:tab/>
        <w:t>Review of Act</w:t>
      </w:r>
      <w:r>
        <w:tab/>
      </w:r>
      <w:r>
        <w:fldChar w:fldCharType="begin"/>
      </w:r>
      <w:r>
        <w:instrText xml:space="preserve"> PAGEREF _Toc473795986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and saving</w:t>
      </w:r>
    </w:p>
    <w:p>
      <w:pPr>
        <w:pStyle w:val="TOC8"/>
        <w:rPr>
          <w:rFonts w:asciiTheme="minorHAnsi" w:eastAsiaTheme="minorEastAsia" w:hAnsiTheme="minorHAnsi" w:cstheme="minorBidi"/>
          <w:szCs w:val="22"/>
        </w:rPr>
      </w:pPr>
      <w:r>
        <w:t>49.</w:t>
      </w:r>
      <w:r>
        <w:tab/>
        <w:t>Incumbent Auditor General remains in office</w:t>
      </w:r>
      <w:r>
        <w:tab/>
      </w:r>
      <w:r>
        <w:fldChar w:fldCharType="begin"/>
      </w:r>
      <w:r>
        <w:instrText xml:space="preserve"> PAGEREF _Toc473795988 \h </w:instrText>
      </w:r>
      <w:r>
        <w:fldChar w:fldCharType="separate"/>
      </w:r>
      <w:r>
        <w:t>30</w:t>
      </w:r>
      <w:r>
        <w:fldChar w:fldCharType="end"/>
      </w:r>
    </w:p>
    <w:p>
      <w:pPr>
        <w:pStyle w:val="TOC8"/>
        <w:rPr>
          <w:rFonts w:asciiTheme="minorHAnsi" w:eastAsiaTheme="minorEastAsia" w:hAnsiTheme="minorHAnsi" w:cstheme="minorBidi"/>
          <w:szCs w:val="22"/>
        </w:rPr>
      </w:pPr>
      <w:r>
        <w:t>50.</w:t>
      </w:r>
      <w:r>
        <w:tab/>
        <w:t>Savings of appointments of persons to audit</w:t>
      </w:r>
      <w:r>
        <w:tab/>
      </w:r>
      <w:r>
        <w:fldChar w:fldCharType="begin"/>
      </w:r>
      <w:r>
        <w:instrText xml:space="preserve"> PAGEREF _Toc473795989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General provisions as to Auditor General</w:t>
      </w:r>
    </w:p>
    <w:p>
      <w:pPr>
        <w:pStyle w:val="TOC8"/>
        <w:rPr>
          <w:rFonts w:asciiTheme="minorHAnsi" w:eastAsiaTheme="minorEastAsia" w:hAnsiTheme="minorHAnsi" w:cstheme="minorBidi"/>
          <w:szCs w:val="22"/>
        </w:rPr>
      </w:pPr>
      <w:r>
        <w:t>1.</w:t>
      </w:r>
      <w:r>
        <w:tab/>
        <w:t>Appointment of Auditor General</w:t>
      </w:r>
      <w:r>
        <w:tab/>
      </w:r>
      <w:r>
        <w:fldChar w:fldCharType="begin"/>
      </w:r>
      <w:r>
        <w:instrText xml:space="preserve"> PAGEREF _Toc473795991 \h </w:instrText>
      </w:r>
      <w:r>
        <w:fldChar w:fldCharType="separate"/>
      </w:r>
      <w:r>
        <w:t>31</w:t>
      </w:r>
      <w:r>
        <w:fldChar w:fldCharType="end"/>
      </w:r>
    </w:p>
    <w:p>
      <w:pPr>
        <w:pStyle w:val="TOC8"/>
        <w:rPr>
          <w:rFonts w:asciiTheme="minorHAnsi" w:eastAsiaTheme="minorEastAsia" w:hAnsiTheme="minorHAnsi" w:cstheme="minorBidi"/>
          <w:szCs w:val="22"/>
        </w:rPr>
      </w:pPr>
      <w:r>
        <w:t>2.</w:t>
      </w:r>
      <w:r>
        <w:tab/>
        <w:t>Remuneration</w:t>
      </w:r>
      <w:r>
        <w:tab/>
      </w:r>
      <w:r>
        <w:fldChar w:fldCharType="begin"/>
      </w:r>
      <w:r>
        <w:instrText xml:space="preserve"> PAGEREF _Toc473795992 \h </w:instrText>
      </w:r>
      <w:r>
        <w:fldChar w:fldCharType="separate"/>
      </w:r>
      <w:r>
        <w:t>31</w:t>
      </w:r>
      <w:r>
        <w:fldChar w:fldCharType="end"/>
      </w:r>
    </w:p>
    <w:p>
      <w:pPr>
        <w:pStyle w:val="TOC8"/>
        <w:rPr>
          <w:rFonts w:asciiTheme="minorHAnsi" w:eastAsiaTheme="minorEastAsia" w:hAnsiTheme="minorHAnsi" w:cstheme="minorBidi"/>
          <w:szCs w:val="22"/>
        </w:rPr>
      </w:pPr>
      <w:r>
        <w:t>3.</w:t>
      </w:r>
      <w:r>
        <w:tab/>
        <w:t>Other employment</w:t>
      </w:r>
      <w:r>
        <w:tab/>
      </w:r>
      <w:r>
        <w:fldChar w:fldCharType="begin"/>
      </w:r>
      <w:r>
        <w:instrText xml:space="preserve"> PAGEREF _Toc473795993 \h </w:instrText>
      </w:r>
      <w:r>
        <w:fldChar w:fldCharType="separate"/>
      </w:r>
      <w:r>
        <w:t>32</w:t>
      </w:r>
      <w:r>
        <w:fldChar w:fldCharType="end"/>
      </w:r>
    </w:p>
    <w:p>
      <w:pPr>
        <w:pStyle w:val="TOC8"/>
        <w:rPr>
          <w:rFonts w:asciiTheme="minorHAnsi" w:eastAsiaTheme="minorEastAsia" w:hAnsiTheme="minorHAnsi" w:cstheme="minorBidi"/>
          <w:szCs w:val="22"/>
        </w:rPr>
      </w:pPr>
      <w:r>
        <w:t>4.</w:t>
      </w:r>
      <w:r>
        <w:tab/>
        <w:t>Leave and other conditions of service</w:t>
      </w:r>
      <w:r>
        <w:tab/>
      </w:r>
      <w:r>
        <w:fldChar w:fldCharType="begin"/>
      </w:r>
      <w:r>
        <w:instrText xml:space="preserve"> PAGEREF _Toc473795994 \h </w:instrText>
      </w:r>
      <w:r>
        <w:fldChar w:fldCharType="separate"/>
      </w:r>
      <w:r>
        <w:t>32</w:t>
      </w:r>
      <w:r>
        <w:fldChar w:fldCharType="end"/>
      </w:r>
    </w:p>
    <w:p>
      <w:pPr>
        <w:pStyle w:val="TOC8"/>
        <w:rPr>
          <w:rFonts w:asciiTheme="minorHAnsi" w:eastAsiaTheme="minorEastAsia" w:hAnsiTheme="minorHAnsi" w:cstheme="minorBidi"/>
          <w:szCs w:val="22"/>
        </w:rPr>
      </w:pPr>
      <w:r>
        <w:t>5.</w:t>
      </w:r>
      <w:r>
        <w:tab/>
        <w:t>Rights of officers preserved</w:t>
      </w:r>
      <w:r>
        <w:tab/>
      </w:r>
      <w:r>
        <w:fldChar w:fldCharType="begin"/>
      </w:r>
      <w:r>
        <w:instrText xml:space="preserve"> PAGEREF _Toc473795995 \h </w:instrText>
      </w:r>
      <w:r>
        <w:fldChar w:fldCharType="separate"/>
      </w:r>
      <w:r>
        <w:t>32</w:t>
      </w:r>
      <w:r>
        <w:fldChar w:fldCharType="end"/>
      </w:r>
    </w:p>
    <w:p>
      <w:pPr>
        <w:pStyle w:val="TOC8"/>
        <w:rPr>
          <w:rFonts w:asciiTheme="minorHAnsi" w:eastAsiaTheme="minorEastAsia" w:hAnsiTheme="minorHAnsi" w:cstheme="minorBidi"/>
          <w:szCs w:val="22"/>
        </w:rPr>
      </w:pPr>
      <w:r>
        <w:t>6.</w:t>
      </w:r>
      <w:r>
        <w:tab/>
        <w:t>Resignation of Auditor General</w:t>
      </w:r>
      <w:r>
        <w:tab/>
      </w:r>
      <w:r>
        <w:fldChar w:fldCharType="begin"/>
      </w:r>
      <w:r>
        <w:instrText xml:space="preserve"> PAGEREF _Toc473795996 \h </w:instrText>
      </w:r>
      <w:r>
        <w:fldChar w:fldCharType="separate"/>
      </w:r>
      <w:r>
        <w:t>33</w:t>
      </w:r>
      <w:r>
        <w:fldChar w:fldCharType="end"/>
      </w:r>
    </w:p>
    <w:p>
      <w:pPr>
        <w:pStyle w:val="TOC8"/>
        <w:rPr>
          <w:rFonts w:asciiTheme="minorHAnsi" w:eastAsiaTheme="minorEastAsia" w:hAnsiTheme="minorHAnsi" w:cstheme="minorBidi"/>
          <w:szCs w:val="22"/>
        </w:rPr>
      </w:pPr>
      <w:r>
        <w:t>7.</w:t>
      </w:r>
      <w:r>
        <w:tab/>
        <w:t>Removal and suspension from office</w:t>
      </w:r>
      <w:r>
        <w:tab/>
      </w:r>
      <w:r>
        <w:fldChar w:fldCharType="begin"/>
      </w:r>
      <w:r>
        <w:instrText xml:space="preserve"> PAGEREF _Toc473795997 \h </w:instrText>
      </w:r>
      <w:r>
        <w:fldChar w:fldCharType="separate"/>
      </w:r>
      <w:r>
        <w:t>33</w:t>
      </w:r>
      <w:r>
        <w:fldChar w:fldCharType="end"/>
      </w:r>
    </w:p>
    <w:p>
      <w:pPr>
        <w:pStyle w:val="TOC8"/>
        <w:rPr>
          <w:rFonts w:asciiTheme="minorHAnsi" w:eastAsiaTheme="minorEastAsia" w:hAnsiTheme="minorHAnsi" w:cstheme="minorBidi"/>
          <w:szCs w:val="22"/>
        </w:rPr>
      </w:pPr>
      <w:r>
        <w:t>8.</w:t>
      </w:r>
      <w:r>
        <w:tab/>
        <w:t>Acting Auditor General</w:t>
      </w:r>
      <w:r>
        <w:tab/>
      </w:r>
      <w:r>
        <w:fldChar w:fldCharType="begin"/>
      </w:r>
      <w:r>
        <w:instrText xml:space="preserve"> PAGEREF _Toc473795998 \h </w:instrText>
      </w:r>
      <w:r>
        <w:fldChar w:fldCharType="separate"/>
      </w:r>
      <w:r>
        <w:t>34</w:t>
      </w:r>
      <w:r>
        <w:fldChar w:fldCharType="end"/>
      </w:r>
    </w:p>
    <w:p>
      <w:pPr>
        <w:pStyle w:val="TOC8"/>
        <w:rPr>
          <w:rFonts w:asciiTheme="minorHAnsi" w:eastAsiaTheme="minorEastAsia" w:hAnsiTheme="minorHAnsi" w:cstheme="minorBidi"/>
          <w:szCs w:val="22"/>
        </w:rPr>
      </w:pPr>
      <w:r>
        <w:t>9.</w:t>
      </w:r>
      <w:r>
        <w:tab/>
        <w:t>Deputy Auditor General, or acting Deputy Auditor General, may act as Auditor General</w:t>
      </w:r>
      <w:r>
        <w:tab/>
      </w:r>
      <w:r>
        <w:fldChar w:fldCharType="begin"/>
      </w:r>
      <w:r>
        <w:instrText xml:space="preserve"> PAGEREF _Toc473795999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declaration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_Toc473796002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Auditor General Act 2006</w:t>
      </w:r>
    </w:p>
    <w:p>
      <w:pPr>
        <w:pStyle w:val="LongTitle"/>
        <w:suppressLineNumbers/>
      </w:pPr>
      <w:bookmarkStart w:id="3" w:name="BillCited"/>
      <w:bookmarkEnd w:id="3"/>
      <w:r>
        <w:rPr>
          <w:snapToGrid w:val="0"/>
        </w:rPr>
        <w:t>An Act to provide for the appointment of an Auditor General, to set out the Auditor General’s functions, and for related purposes</w:t>
      </w:r>
      <w:r>
        <w:t>.</w:t>
      </w:r>
    </w:p>
    <w:p>
      <w:pPr>
        <w:pStyle w:val="Heading2"/>
      </w:pPr>
      <w:bookmarkStart w:id="4" w:name="_Toc375040805"/>
      <w:bookmarkStart w:id="5" w:name="_Toc412629212"/>
      <w:bookmarkStart w:id="6" w:name="_Toc412630599"/>
      <w:bookmarkStart w:id="7" w:name="_Toc473723331"/>
      <w:bookmarkStart w:id="8" w:name="_Toc473723407"/>
      <w:bookmarkStart w:id="9" w:name="_Toc473795852"/>
      <w:bookmarkStart w:id="10" w:name="_Toc47379592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375040806"/>
      <w:bookmarkStart w:id="12" w:name="_Toc473795929"/>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Auditor General Act 2006 </w:t>
      </w:r>
      <w:r>
        <w:rPr>
          <w:iCs/>
          <w:snapToGrid w:val="0"/>
          <w:vertAlign w:val="superscript"/>
        </w:rPr>
        <w:t>1</w:t>
      </w:r>
      <w:r>
        <w:rPr>
          <w:snapToGrid w:val="0"/>
        </w:rPr>
        <w:t>.</w:t>
      </w:r>
    </w:p>
    <w:p>
      <w:pPr>
        <w:pStyle w:val="Heading5"/>
      </w:pPr>
      <w:bookmarkStart w:id="13" w:name="_Toc375040807"/>
      <w:bookmarkStart w:id="14" w:name="_Toc473795930"/>
      <w:r>
        <w:rPr>
          <w:rStyle w:val="CharSectno"/>
        </w:rPr>
        <w:t>2</w:t>
      </w:r>
      <w:r>
        <w:t>.</w:t>
      </w:r>
      <w:r>
        <w:tab/>
        <w:t>Commencement</w:t>
      </w:r>
      <w:bookmarkEnd w:id="13"/>
      <w:bookmarkEnd w:id="14"/>
    </w:p>
    <w:p>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 </w:t>
      </w:r>
      <w:r>
        <w:rPr>
          <w:spacing w:val="-2"/>
          <w:vertAlign w:val="superscript"/>
        </w:rPr>
        <w:t>1</w:t>
      </w:r>
      <w:r>
        <w:rPr>
          <w:spacing w:val="-2"/>
        </w:rPr>
        <w:t>.</w:t>
      </w:r>
    </w:p>
    <w:p>
      <w:pPr>
        <w:pStyle w:val="Heading5"/>
      </w:pPr>
      <w:bookmarkStart w:id="15" w:name="_Toc375040808"/>
      <w:bookmarkStart w:id="16" w:name="_Toc473795931"/>
      <w:r>
        <w:rPr>
          <w:rStyle w:val="CharSectno"/>
        </w:rPr>
        <w:t>3</w:t>
      </w:r>
      <w:r>
        <w:t>.</w:t>
      </w:r>
      <w:r>
        <w:tab/>
        <w:t>Purpose</w:t>
      </w:r>
      <w:bookmarkEnd w:id="15"/>
      <w:bookmarkEnd w:id="16"/>
    </w:p>
    <w:p>
      <w:pPr>
        <w:pStyle w:val="Subsection"/>
      </w:pPr>
      <w:r>
        <w:tab/>
      </w:r>
      <w:r>
        <w:tab/>
        <w:t xml:space="preserve">The purposes of this Act are — </w:t>
      </w:r>
    </w:p>
    <w:p>
      <w:pPr>
        <w:pStyle w:val="Indenta"/>
      </w:pPr>
      <w:r>
        <w:tab/>
        <w:t>(a)</w:t>
      </w:r>
      <w:r>
        <w:tab/>
        <w:t>to ensure that the State has an Auditor General with the necessary functions, immunities and independence; and</w:t>
      </w:r>
    </w:p>
    <w:p>
      <w:pPr>
        <w:pStyle w:val="Indenta"/>
      </w:pPr>
      <w:r>
        <w:tab/>
        <w:t>(b)</w:t>
      </w:r>
      <w:r>
        <w:tab/>
        <w:t>to provide for the independent external audit of the public sector and related entities.</w:t>
      </w:r>
    </w:p>
    <w:p>
      <w:pPr>
        <w:pStyle w:val="Heading5"/>
        <w:rPr>
          <w:snapToGrid w:val="0"/>
        </w:rPr>
      </w:pPr>
      <w:bookmarkStart w:id="17" w:name="_Toc375040809"/>
      <w:bookmarkStart w:id="18" w:name="_Toc473795932"/>
      <w:r>
        <w:rPr>
          <w:rStyle w:val="CharSectno"/>
        </w:rPr>
        <w:t>4</w:t>
      </w:r>
      <w:r>
        <w:rPr>
          <w:snapToGrid w:val="0"/>
        </w:rPr>
        <w:t>.</w:t>
      </w:r>
      <w:r>
        <w:rPr>
          <w:snapToGrid w:val="0"/>
        </w:rPr>
        <w:tab/>
        <w:t>Terms used in this Act</w:t>
      </w:r>
      <w:bookmarkEnd w:id="17"/>
      <w:bookmarkEnd w:id="18"/>
      <w:r>
        <w:rPr>
          <w:snapToGrid w:val="0"/>
        </w:rPr>
        <w:t xml:space="preserve"> </w:t>
      </w:r>
    </w:p>
    <w:p>
      <w:pPr>
        <w:pStyle w:val="Subsection"/>
      </w:pPr>
      <w:r>
        <w:tab/>
        <w:t>(1)</w:t>
      </w:r>
      <w:r>
        <w:tab/>
        <w:t xml:space="preserve">In this Act, unless the contrary intention appears — </w:t>
      </w:r>
    </w:p>
    <w:p>
      <w:pPr>
        <w:pStyle w:val="Defstart"/>
        <w:spacing w:before="60"/>
        <w:rPr>
          <w:szCs w:val="22"/>
        </w:rPr>
      </w:pPr>
      <w:r>
        <w:rPr>
          <w:b/>
          <w:bCs/>
          <w:szCs w:val="22"/>
        </w:rPr>
        <w:tab/>
      </w:r>
      <w:r>
        <w:rPr>
          <w:rStyle w:val="CharDefText"/>
          <w:szCs w:val="22"/>
        </w:rPr>
        <w:t>accounts</w:t>
      </w:r>
      <w:r>
        <w:rPr>
          <w:szCs w:val="22"/>
        </w:rPr>
        <w:t xml:space="preserve"> means — </w:t>
      </w:r>
    </w:p>
    <w:p>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pPr>
        <w:pStyle w:val="Defstart"/>
        <w:spacing w:before="60"/>
      </w:pPr>
      <w:r>
        <w:rPr>
          <w:b/>
        </w:rPr>
        <w:tab/>
      </w:r>
      <w:r>
        <w:rPr>
          <w:rStyle w:val="CharDefText"/>
        </w:rPr>
        <w:t>audit</w:t>
      </w:r>
      <w:r>
        <w:t xml:space="preserve"> includes to examine, investigate, inspect and review;</w:t>
      </w:r>
    </w:p>
    <w:p>
      <w:pPr>
        <w:pStyle w:val="Defstart"/>
        <w:spacing w:before="60"/>
      </w:pPr>
      <w:r>
        <w:rPr>
          <w:b/>
        </w:rPr>
        <w:tab/>
      </w:r>
      <w:r>
        <w:rPr>
          <w:rStyle w:val="CharDefText"/>
        </w:rPr>
        <w:t>Auditing and Assurance Standards</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pPr>
        <w:pStyle w:val="Defstart"/>
      </w:pPr>
      <w:r>
        <w:rPr>
          <w:b/>
        </w:rPr>
        <w:tab/>
      </w:r>
      <w:r>
        <w:rPr>
          <w:rStyle w:val="CharDefText"/>
        </w:rPr>
        <w:t>authorised person</w:t>
      </w:r>
      <w:r>
        <w:t xml:space="preserve"> has the meaning given to that term in section 33;</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tab/>
      </w:r>
      <w:r>
        <w:rPr>
          <w:rStyle w:val="CharDefText"/>
        </w:rPr>
        <w:t>Estimates and Financial Operations Committee</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pPr>
        <w:pStyle w:val="Defstart"/>
      </w:pPr>
      <w:r>
        <w:rPr>
          <w:b/>
        </w:rPr>
        <w:tab/>
      </w:r>
      <w:r>
        <w:rPr>
          <w:rStyle w:val="CharDefText"/>
        </w:rPr>
        <w:t>independent auditor</w:t>
      </w:r>
      <w:r>
        <w:t xml:space="preserve"> has the meaning given to that term in section 38(2);</w:t>
      </w:r>
    </w:p>
    <w:p>
      <w:pPr>
        <w:pStyle w:val="Defstart"/>
      </w:pPr>
      <w:r>
        <w:tab/>
      </w:r>
      <w:r>
        <w:rPr>
          <w:rStyle w:val="CharDefText"/>
        </w:rPr>
        <w:t>Joint Standing Committee on Audit</w:t>
      </w:r>
      <w:r>
        <w:t xml:space="preserve"> means the Joint Standing Committee on Audit or, if it is renamed, that committee as renamed;</w:t>
      </w:r>
    </w:p>
    <w:p>
      <w:pPr>
        <w:pStyle w:val="Defstart"/>
      </w:pPr>
      <w:r>
        <w:rPr>
          <w:b/>
        </w:rPr>
        <w:tab/>
      </w:r>
      <w:r>
        <w:rPr>
          <w:rStyle w:val="CharDefText"/>
        </w:rPr>
        <w:t>OAG</w:t>
      </w:r>
      <w:r>
        <w:t xml:space="preserve"> means the department of the Public Service known as the Office of the Auditor General;</w:t>
      </w:r>
    </w:p>
    <w:p>
      <w:pPr>
        <w:pStyle w:val="Defstart"/>
      </w:pPr>
      <w:r>
        <w:rPr>
          <w:b/>
        </w:rPr>
        <w:tab/>
      </w:r>
      <w:r>
        <w:rPr>
          <w:rStyle w:val="CharDefText"/>
        </w:rPr>
        <w:t>Public Accounts Committee</w:t>
      </w:r>
      <w:r>
        <w:t xml:space="preserve"> means the Public Accounts Committee of the Legislative Assembly or, if it is renamed, that committee as so renamed;</w:t>
      </w:r>
    </w:p>
    <w:p>
      <w:pPr>
        <w:pStyle w:val="Defstart"/>
      </w:pPr>
      <w:r>
        <w:tab/>
      </w:r>
      <w:r>
        <w:rPr>
          <w:rStyle w:val="CharDefText"/>
        </w:rPr>
        <w:t>public service officer</w:t>
      </w:r>
      <w:r>
        <w:t xml:space="preserve"> has the meaning given to that term in the </w:t>
      </w:r>
      <w:r>
        <w:rPr>
          <w:i/>
          <w:iCs/>
        </w:rPr>
        <w:t>Public Sector Management Act 1994</w:t>
      </w:r>
      <w:r>
        <w:t xml:space="preserve"> section 3(1);</w:t>
      </w:r>
    </w:p>
    <w:p>
      <w:pPr>
        <w:pStyle w:val="Defstart"/>
      </w:pPr>
      <w:r>
        <w:rPr>
          <w:b/>
        </w:rPr>
        <w:tab/>
      </w:r>
      <w:r>
        <w:rPr>
          <w:rStyle w:val="CharDefText"/>
        </w:rPr>
        <w:t>related entity</w:t>
      </w:r>
      <w:r>
        <w:t xml:space="preserve"> has the meaning given to that term in section 17(1).</w:t>
      </w:r>
    </w:p>
    <w:p>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pPr>
        <w:pStyle w:val="Subsection"/>
      </w:pPr>
      <w:r>
        <w:tab/>
        <w:t>(3)</w:t>
      </w:r>
      <w:r>
        <w:tab/>
        <w:t xml:space="preserve">Without limiting subsection (2), in this Act — </w:t>
      </w:r>
    </w:p>
    <w:p>
      <w:pPr>
        <w:pStyle w:val="Defstart"/>
      </w:pPr>
      <w:r>
        <w:rPr>
          <w:b/>
        </w:rPr>
        <w:tab/>
      </w:r>
      <w:r>
        <w:rPr>
          <w:rStyle w:val="CharDefText"/>
        </w:rPr>
        <w:t>accountable authority</w:t>
      </w:r>
      <w:r>
        <w:t xml:space="preserve"> and </w:t>
      </w:r>
      <w:r>
        <w:rPr>
          <w:rStyle w:val="CharDefText"/>
        </w:rPr>
        <w:t>agency</w:t>
      </w:r>
      <w:r>
        <w:t xml:space="preserve"> have the meanings given to those terms in the </w:t>
      </w:r>
      <w:r>
        <w:rPr>
          <w:i/>
        </w:rPr>
        <w:t>Financial Management Act 2006</w:t>
      </w:r>
      <w:r>
        <w:t xml:space="preserve"> section 3;</w:t>
      </w:r>
    </w:p>
    <w:p>
      <w:pPr>
        <w:pStyle w:val="Defstart"/>
      </w:pPr>
      <w:r>
        <w:rPr>
          <w:b/>
        </w:rPr>
        <w:tab/>
      </w:r>
      <w:r>
        <w:rPr>
          <w:rStyle w:val="CharDefText"/>
        </w:rPr>
        <w:t>subsidiary body</w:t>
      </w:r>
      <w:r>
        <w:t xml:space="preserve">, in relation to an agency, has the meaning given to that term in the </w:t>
      </w:r>
      <w:r>
        <w:rPr>
          <w:i/>
        </w:rPr>
        <w:t>Financial Management Act 2006</w:t>
      </w:r>
      <w:r>
        <w:rPr>
          <w:iCs/>
        </w:rPr>
        <w:t xml:space="preserve"> section</w:t>
      </w:r>
      <w:r>
        <w:t> 60(1).</w:t>
      </w:r>
    </w:p>
    <w:p>
      <w:pPr>
        <w:pStyle w:val="Heading5"/>
      </w:pPr>
      <w:bookmarkStart w:id="19" w:name="_Toc375040810"/>
      <w:bookmarkStart w:id="20" w:name="_Toc473795933"/>
      <w:r>
        <w:rPr>
          <w:rStyle w:val="CharSectno"/>
        </w:rPr>
        <w:t>5</w:t>
      </w:r>
      <w:r>
        <w:t>.</w:t>
      </w:r>
      <w:r>
        <w:tab/>
        <w:t>Functions under other written laws</w:t>
      </w:r>
      <w:bookmarkEnd w:id="19"/>
      <w:bookmarkEnd w:id="20"/>
    </w:p>
    <w:p>
      <w:pPr>
        <w:pStyle w:val="Subsection"/>
      </w:pPr>
      <w:r>
        <w:tab/>
        <w:t>(1)</w:t>
      </w:r>
      <w:r>
        <w:tab/>
        <w:t>A reference in this Act to the Auditor General’s functions includes a reference to functions given to the Auditor General under other written laws.</w:t>
      </w:r>
    </w:p>
    <w:p>
      <w:pPr>
        <w:pStyle w:val="Subsection"/>
      </w:pPr>
      <w:r>
        <w:tab/>
        <w:t>(2)</w:t>
      </w:r>
      <w:r>
        <w:tab/>
        <w:t>The provisions of this Act extend to audits that the Auditor General is authorised to carry out under other written laws.</w:t>
      </w:r>
    </w:p>
    <w:p>
      <w:pPr>
        <w:pStyle w:val="Heading2"/>
      </w:pPr>
      <w:bookmarkStart w:id="21" w:name="_Toc375040811"/>
      <w:bookmarkStart w:id="22" w:name="_Toc412629218"/>
      <w:bookmarkStart w:id="23" w:name="_Toc412630605"/>
      <w:bookmarkStart w:id="24" w:name="_Toc473723337"/>
      <w:bookmarkStart w:id="25" w:name="_Toc473723413"/>
      <w:bookmarkStart w:id="26" w:name="_Toc473795858"/>
      <w:bookmarkStart w:id="27" w:name="_Toc473795934"/>
      <w:r>
        <w:rPr>
          <w:rStyle w:val="CharPartNo"/>
        </w:rPr>
        <w:t>Part 2</w:t>
      </w:r>
      <w:r>
        <w:rPr>
          <w:rStyle w:val="CharDivNo"/>
        </w:rPr>
        <w:t> </w:t>
      </w:r>
      <w:r>
        <w:t>—</w:t>
      </w:r>
      <w:r>
        <w:rPr>
          <w:rStyle w:val="CharDivText"/>
        </w:rPr>
        <w:t> </w:t>
      </w:r>
      <w:r>
        <w:rPr>
          <w:rStyle w:val="CharPartText"/>
        </w:rPr>
        <w:t>The Auditor General and Deputy Auditor General</w:t>
      </w:r>
      <w:bookmarkEnd w:id="21"/>
      <w:bookmarkEnd w:id="22"/>
      <w:bookmarkEnd w:id="23"/>
      <w:bookmarkEnd w:id="24"/>
      <w:bookmarkEnd w:id="25"/>
      <w:bookmarkEnd w:id="26"/>
      <w:bookmarkEnd w:id="27"/>
    </w:p>
    <w:p>
      <w:pPr>
        <w:pStyle w:val="Heading5"/>
      </w:pPr>
      <w:bookmarkStart w:id="28" w:name="_Toc375040812"/>
      <w:bookmarkStart w:id="29" w:name="_Toc473795935"/>
      <w:r>
        <w:rPr>
          <w:rStyle w:val="CharSectno"/>
        </w:rPr>
        <w:t>6</w:t>
      </w:r>
      <w:r>
        <w:t>.</w:t>
      </w:r>
      <w:r>
        <w:tab/>
        <w:t>Auditor General</w:t>
      </w:r>
      <w:bookmarkEnd w:id="28"/>
      <w:bookmarkEnd w:id="29"/>
    </w:p>
    <w:p>
      <w:pPr>
        <w:pStyle w:val="Subsection"/>
        <w:rPr>
          <w:snapToGrid w:val="0"/>
        </w:rPr>
      </w:pPr>
      <w:r>
        <w:rPr>
          <w:snapToGrid w:val="0"/>
        </w:rPr>
        <w:tab/>
      </w:r>
      <w:r>
        <w:t>(1)</w:t>
      </w:r>
      <w:r>
        <w:rPr>
          <w:snapToGrid w:val="0"/>
        </w:rPr>
        <w:tab/>
        <w:t>There is to continue to be an office of Auditor General for Western Australia.</w:t>
      </w:r>
    </w:p>
    <w:p>
      <w:pPr>
        <w:pStyle w:val="Subsection"/>
      </w:pPr>
      <w:r>
        <w:tab/>
        <w:t>(2)</w:t>
      </w:r>
      <w:r>
        <w:tab/>
        <w:t xml:space="preserve">Whenever a vacancy occurs in the office of Auditor General, an appropriately qualified person is to be appointed to the office under Schedule 1 as soon as practicable. </w:t>
      </w:r>
    </w:p>
    <w:p>
      <w:pPr>
        <w:pStyle w:val="Heading5"/>
      </w:pPr>
      <w:bookmarkStart w:id="30" w:name="_Toc375040813"/>
      <w:bookmarkStart w:id="31" w:name="_Toc473795936"/>
      <w:r>
        <w:rPr>
          <w:rStyle w:val="CharSectno"/>
        </w:rPr>
        <w:t>7</w:t>
      </w:r>
      <w:r>
        <w:t>.</w:t>
      </w:r>
      <w:r>
        <w:tab/>
        <w:t>Status and independence of Auditor General</w:t>
      </w:r>
      <w:bookmarkEnd w:id="30"/>
      <w:bookmarkEnd w:id="31"/>
    </w:p>
    <w:p>
      <w:pPr>
        <w:pStyle w:val="Subsection"/>
      </w:pPr>
      <w:r>
        <w:tab/>
        <w:t>(1)</w:t>
      </w:r>
      <w:r>
        <w:tab/>
        <w:t>The Auditor General is an independent officer of Parliament.</w:t>
      </w:r>
    </w:p>
    <w:p>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pPr>
        <w:pStyle w:val="Subsection"/>
      </w:pPr>
      <w:r>
        <w:tab/>
        <w:t>(4)</w:t>
      </w:r>
      <w:r>
        <w:tab/>
        <w:t xml:space="preserve">In subsection (3) — </w:t>
      </w:r>
    </w:p>
    <w:p>
      <w:pPr>
        <w:pStyle w:val="Defstart"/>
      </w:pPr>
      <w:r>
        <w:rPr>
          <w:b/>
        </w:rPr>
        <w:tab/>
      </w:r>
      <w:r>
        <w:rPr>
          <w:rStyle w:val="CharDefText"/>
        </w:rPr>
        <w:t>Parliament</w:t>
      </w:r>
      <w:r>
        <w:t xml:space="preserve"> includes — </w:t>
      </w:r>
    </w:p>
    <w:p>
      <w:pPr>
        <w:pStyle w:val="Defpara"/>
      </w:pPr>
      <w:r>
        <w:tab/>
        <w:t>(a)</w:t>
      </w:r>
      <w:r>
        <w:tab/>
        <w:t>each House of Parliament; and</w:t>
      </w:r>
    </w:p>
    <w:p>
      <w:pPr>
        <w:pStyle w:val="Defpara"/>
      </w:pPr>
      <w:r>
        <w:tab/>
        <w:t>(b)</w:t>
      </w:r>
      <w:r>
        <w:tab/>
        <w:t>the members of each House of Parliament; and</w:t>
      </w:r>
    </w:p>
    <w:p>
      <w:pPr>
        <w:pStyle w:val="Defpara"/>
      </w:pPr>
      <w:r>
        <w:tab/>
        <w:t>(c)</w:t>
      </w:r>
      <w:r>
        <w:tab/>
        <w:t>the committees of each House of Parliament and joint committees of both Houses of Parliament.</w:t>
      </w:r>
    </w:p>
    <w:p>
      <w:pPr>
        <w:pStyle w:val="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pPr>
        <w:pStyle w:val="Subsection"/>
      </w:pPr>
      <w:r>
        <w:tab/>
        <w:t>(6)</w:t>
      </w:r>
      <w:r>
        <w:tab/>
        <w:t>In particular, the Auditor General is not subject to direction from anyone in relation to —</w:t>
      </w:r>
    </w:p>
    <w:p>
      <w:pPr>
        <w:pStyle w:val="Indenta"/>
      </w:pPr>
      <w:r>
        <w:tab/>
        <w:t>(a)</w:t>
      </w:r>
      <w:r>
        <w:tab/>
        <w:t>whether or not a particular audit is to be conducted; or</w:t>
      </w:r>
    </w:p>
    <w:p>
      <w:pPr>
        <w:pStyle w:val="Indenta"/>
      </w:pPr>
      <w:r>
        <w:tab/>
        <w:t>(b)</w:t>
      </w:r>
      <w:r>
        <w:tab/>
        <w:t>the way in which a particular audit is to be conducted; or</w:t>
      </w:r>
    </w:p>
    <w:p>
      <w:pPr>
        <w:pStyle w:val="Indenta"/>
      </w:pPr>
      <w:r>
        <w:tab/>
        <w:t>(c)</w:t>
      </w:r>
      <w:r>
        <w:tab/>
        <w:t>whether or not a particular report is to be made; or</w:t>
      </w:r>
    </w:p>
    <w:p>
      <w:pPr>
        <w:pStyle w:val="Indenta"/>
      </w:pPr>
      <w:r>
        <w:tab/>
        <w:t>(d)</w:t>
      </w:r>
      <w:r>
        <w:tab/>
        <w:t xml:space="preserve">what is to be included in a particular report; or </w:t>
      </w:r>
    </w:p>
    <w:p>
      <w:pPr>
        <w:pStyle w:val="Indenta"/>
      </w:pPr>
      <w:r>
        <w:tab/>
        <w:t>(e)</w:t>
      </w:r>
      <w:r>
        <w:tab/>
        <w:t>the priority to be given to any particular matter.</w:t>
      </w:r>
    </w:p>
    <w:p>
      <w:pPr>
        <w:pStyle w:val="Heading5"/>
      </w:pPr>
      <w:bookmarkStart w:id="32" w:name="_Toc375040814"/>
      <w:bookmarkStart w:id="33" w:name="_Toc473795937"/>
      <w:r>
        <w:rPr>
          <w:rStyle w:val="CharSectno"/>
        </w:rPr>
        <w:t>8</w:t>
      </w:r>
      <w:r>
        <w:t>.</w:t>
      </w:r>
      <w:r>
        <w:tab/>
        <w:t>Auditor General to have regard to audit priorities of Parliament</w:t>
      </w:r>
      <w:bookmarkEnd w:id="32"/>
      <w:bookmarkEnd w:id="33"/>
    </w:p>
    <w:p>
      <w:pPr>
        <w:pStyle w:val="Subsection"/>
      </w:pPr>
      <w:r>
        <w:tab/>
      </w:r>
      <w:r>
        <w:tab/>
        <w:t xml:space="preserve">Despite section 7(6)(e), the Auditor General must have regard to the audit priorities of Parliament as determined by — </w:t>
      </w:r>
    </w:p>
    <w:p>
      <w:pPr>
        <w:pStyle w:val="Indenta"/>
      </w:pPr>
      <w:r>
        <w:tab/>
        <w:t>(a)</w:t>
      </w:r>
      <w:r>
        <w:tab/>
        <w:t>either House of Parliament; or</w:t>
      </w:r>
    </w:p>
    <w:p>
      <w:pPr>
        <w:pStyle w:val="Indenta"/>
      </w:pPr>
      <w:r>
        <w:tab/>
        <w:t>(b)</w:t>
      </w:r>
      <w:r>
        <w:tab/>
        <w:t>the Public Accounts Committee; or</w:t>
      </w:r>
    </w:p>
    <w:p>
      <w:pPr>
        <w:pStyle w:val="Indenta"/>
      </w:pPr>
      <w:r>
        <w:tab/>
        <w:t>(c)</w:t>
      </w:r>
      <w:r>
        <w:tab/>
      </w:r>
      <w:r>
        <w:rPr>
          <w:szCs w:val="22"/>
        </w:rPr>
        <w:t>the Estimates and Financial Operations Committee.</w:t>
      </w:r>
    </w:p>
    <w:p>
      <w:pPr>
        <w:pStyle w:val="Heading5"/>
      </w:pPr>
      <w:bookmarkStart w:id="34" w:name="_Toc375040815"/>
      <w:bookmarkStart w:id="35" w:name="_Toc473795938"/>
      <w:r>
        <w:rPr>
          <w:rStyle w:val="CharSectno"/>
        </w:rPr>
        <w:t>9</w:t>
      </w:r>
      <w:r>
        <w:t>.</w:t>
      </w:r>
      <w:r>
        <w:tab/>
        <w:t xml:space="preserve">Application of </w:t>
      </w:r>
      <w:r>
        <w:rPr>
          <w:i/>
          <w:iCs/>
        </w:rPr>
        <w:t>Public Sector Management Act 1994</w:t>
      </w:r>
      <w:r>
        <w:t xml:space="preserve"> limited</w:t>
      </w:r>
      <w:bookmarkEnd w:id="34"/>
      <w:bookmarkEnd w:id="35"/>
    </w:p>
    <w:p>
      <w:pPr>
        <w:pStyle w:val="Subsection"/>
      </w:pPr>
      <w:r>
        <w:tab/>
        <w:t>(1)</w:t>
      </w:r>
      <w:r>
        <w:tab/>
        <w:t>The office of Auditor General is not an office in the Public Service.</w:t>
      </w:r>
    </w:p>
    <w:p>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w:t>
      </w:r>
      <w:r>
        <w:t xml:space="preserve">sections 21(1)(e), 22C, 22D, 22E, </w:t>
      </w:r>
      <w:r>
        <w:rPr>
          <w:iCs/>
          <w:snapToGrid w:val="0"/>
        </w:rPr>
        <w:t xml:space="preserve">24 and 32 do not apply </w:t>
      </w:r>
      <w:r>
        <w:rPr>
          <w:snapToGrid w:val="0"/>
        </w:rPr>
        <w:t>to or in relation to the Auditor General.</w:t>
      </w:r>
    </w:p>
    <w:p>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pPr>
        <w:pStyle w:val="Footnotesection"/>
      </w:pPr>
      <w:r>
        <w:tab/>
        <w:t>[Section 9 amended: No. 39 of 2010 s. 72.]</w:t>
      </w:r>
    </w:p>
    <w:p>
      <w:pPr>
        <w:pStyle w:val="Heading5"/>
        <w:rPr>
          <w:snapToGrid w:val="0"/>
        </w:rPr>
      </w:pPr>
      <w:bookmarkStart w:id="36" w:name="_Toc375040816"/>
      <w:bookmarkStart w:id="37" w:name="_Toc473795939"/>
      <w:r>
        <w:rPr>
          <w:rStyle w:val="CharSectno"/>
        </w:rPr>
        <w:t>10</w:t>
      </w:r>
      <w:r>
        <w:rPr>
          <w:snapToGrid w:val="0"/>
        </w:rPr>
        <w:t>.</w:t>
      </w:r>
      <w:r>
        <w:rPr>
          <w:snapToGrid w:val="0"/>
        </w:rPr>
        <w:tab/>
        <w:t>Deputy Auditor General</w:t>
      </w:r>
      <w:bookmarkEnd w:id="36"/>
      <w:bookmarkEnd w:id="37"/>
      <w:r>
        <w:rPr>
          <w:snapToGrid w:val="0"/>
        </w:rPr>
        <w:t xml:space="preserve"> </w:t>
      </w:r>
    </w:p>
    <w:p>
      <w:pPr>
        <w:pStyle w:val="Subsection"/>
        <w:rPr>
          <w:snapToGrid w:val="0"/>
        </w:rPr>
      </w:pPr>
      <w:r>
        <w:rPr>
          <w:snapToGrid w:val="0"/>
        </w:rPr>
        <w:tab/>
      </w:r>
      <w:r>
        <w:t>(1)</w:t>
      </w:r>
      <w:r>
        <w:rPr>
          <w:snapToGrid w:val="0"/>
        </w:rPr>
        <w:tab/>
      </w:r>
      <w:r>
        <w:t>In the OAG t</w:t>
      </w:r>
      <w:r>
        <w:rPr>
          <w:snapToGrid w:val="0"/>
        </w:rPr>
        <w:t>here is to be an office designated Deputy Auditor General.</w:t>
      </w:r>
    </w:p>
    <w:p>
      <w:pPr>
        <w:pStyle w:val="Subsection"/>
        <w:rPr>
          <w:snapToGrid w:val="0"/>
        </w:rPr>
      </w:pPr>
      <w:r>
        <w:tab/>
        <w:t>(2)</w:t>
      </w:r>
      <w:r>
        <w:tab/>
        <w:t xml:space="preserve">The </w:t>
      </w:r>
      <w:r>
        <w:rPr>
          <w:snapToGrid w:val="0"/>
        </w:rPr>
        <w:t>Deputy Auditor General is to perform such functions as the Auditor General directs.</w:t>
      </w:r>
    </w:p>
    <w:p>
      <w:pPr>
        <w:pStyle w:val="Heading5"/>
      </w:pPr>
      <w:bookmarkStart w:id="38" w:name="_Toc375040817"/>
      <w:bookmarkStart w:id="39" w:name="_Toc473795940"/>
      <w:r>
        <w:rPr>
          <w:rStyle w:val="CharSectno"/>
        </w:rPr>
        <w:t>11</w:t>
      </w:r>
      <w:r>
        <w:t>.</w:t>
      </w:r>
      <w:r>
        <w:tab/>
        <w:t>General provisions as to Auditor General</w:t>
      </w:r>
      <w:bookmarkEnd w:id="38"/>
      <w:bookmarkEnd w:id="39"/>
    </w:p>
    <w:p>
      <w:pPr>
        <w:pStyle w:val="Subsection"/>
      </w:pPr>
      <w:r>
        <w:tab/>
      </w:r>
      <w:r>
        <w:tab/>
        <w:t>Schedule 1 sets out provisions as to appointment, conditions of service, acting arrangements and other matters relating to the Auditor General.</w:t>
      </w:r>
    </w:p>
    <w:p>
      <w:pPr>
        <w:pStyle w:val="Heading2"/>
      </w:pPr>
      <w:bookmarkStart w:id="40" w:name="_Toc375040818"/>
      <w:bookmarkStart w:id="41" w:name="_Toc412629225"/>
      <w:bookmarkStart w:id="42" w:name="_Toc412630612"/>
      <w:bookmarkStart w:id="43" w:name="_Toc473723344"/>
      <w:bookmarkStart w:id="44" w:name="_Toc473723420"/>
      <w:bookmarkStart w:id="45" w:name="_Toc473795865"/>
      <w:bookmarkStart w:id="46" w:name="_Toc473795941"/>
      <w:r>
        <w:rPr>
          <w:rStyle w:val="CharPartNo"/>
        </w:rPr>
        <w:t>Part 3</w:t>
      </w:r>
      <w:r>
        <w:t> — </w:t>
      </w:r>
      <w:r>
        <w:rPr>
          <w:rStyle w:val="CharPartText"/>
        </w:rPr>
        <w:t>Auditing and other functions of Auditor General</w:t>
      </w:r>
      <w:bookmarkEnd w:id="40"/>
      <w:bookmarkEnd w:id="41"/>
      <w:bookmarkEnd w:id="42"/>
      <w:bookmarkEnd w:id="43"/>
      <w:bookmarkEnd w:id="44"/>
      <w:bookmarkEnd w:id="45"/>
      <w:bookmarkEnd w:id="46"/>
    </w:p>
    <w:p>
      <w:pPr>
        <w:pStyle w:val="Heading3"/>
      </w:pPr>
      <w:bookmarkStart w:id="47" w:name="_Toc375040819"/>
      <w:bookmarkStart w:id="48" w:name="_Toc412629226"/>
      <w:bookmarkStart w:id="49" w:name="_Toc412630613"/>
      <w:bookmarkStart w:id="50" w:name="_Toc473723345"/>
      <w:bookmarkStart w:id="51" w:name="_Toc473723421"/>
      <w:bookmarkStart w:id="52" w:name="_Toc473795866"/>
      <w:bookmarkStart w:id="53" w:name="_Toc473795942"/>
      <w:r>
        <w:rPr>
          <w:rStyle w:val="CharDivNo"/>
        </w:rPr>
        <w:t>Division 1</w:t>
      </w:r>
      <w:r>
        <w:t> — </w:t>
      </w:r>
      <w:r>
        <w:rPr>
          <w:rStyle w:val="CharDivText"/>
        </w:rPr>
        <w:t>Functions as to the State, agencies, subsidiary bodies and related entities</w:t>
      </w:r>
      <w:bookmarkEnd w:id="47"/>
      <w:bookmarkEnd w:id="48"/>
      <w:bookmarkEnd w:id="49"/>
      <w:bookmarkEnd w:id="50"/>
      <w:bookmarkEnd w:id="51"/>
      <w:bookmarkEnd w:id="52"/>
      <w:bookmarkEnd w:id="53"/>
    </w:p>
    <w:p>
      <w:pPr>
        <w:pStyle w:val="Heading5"/>
        <w:rPr>
          <w:snapToGrid w:val="0"/>
        </w:rPr>
      </w:pPr>
      <w:bookmarkStart w:id="54" w:name="_Toc375040820"/>
      <w:bookmarkStart w:id="55" w:name="_Toc473795943"/>
      <w:r>
        <w:rPr>
          <w:rStyle w:val="CharSectno"/>
        </w:rPr>
        <w:t>12</w:t>
      </w:r>
      <w:r>
        <w:rPr>
          <w:snapToGrid w:val="0"/>
        </w:rPr>
        <w:t>.</w:t>
      </w:r>
      <w:r>
        <w:rPr>
          <w:snapToGrid w:val="0"/>
        </w:rPr>
        <w:tab/>
        <w:t>Audit of the Public Ledger</w:t>
      </w:r>
      <w:bookmarkEnd w:id="54"/>
      <w:bookmarkEnd w:id="55"/>
    </w:p>
    <w:p>
      <w:pPr>
        <w:pStyle w:val="Subsection"/>
        <w:rPr>
          <w:snapToGrid w:val="0"/>
        </w:rPr>
      </w:pPr>
      <w:r>
        <w:rPr>
          <w:snapToGrid w:val="0"/>
        </w:rPr>
        <w:tab/>
      </w:r>
      <w:r>
        <w:rPr>
          <w:snapToGrid w:val="0"/>
        </w:rPr>
        <w:tab/>
        <w:t>The Auditor General is to audit the Public Ledger.</w:t>
      </w:r>
    </w:p>
    <w:p>
      <w:pPr>
        <w:pStyle w:val="Heading5"/>
        <w:rPr>
          <w:snapToGrid w:val="0"/>
        </w:rPr>
      </w:pPr>
      <w:bookmarkStart w:id="56" w:name="_Toc375040821"/>
      <w:bookmarkStart w:id="57" w:name="_Toc473795944"/>
      <w:r>
        <w:rPr>
          <w:rStyle w:val="CharSectno"/>
        </w:rPr>
        <w:t>13</w:t>
      </w:r>
      <w:r>
        <w:rPr>
          <w:snapToGrid w:val="0"/>
        </w:rPr>
        <w:t>.</w:t>
      </w:r>
      <w:r>
        <w:rPr>
          <w:snapToGrid w:val="0"/>
        </w:rPr>
        <w:tab/>
        <w:t>Audit and opinion on Annual Report on State Finances</w:t>
      </w:r>
      <w:bookmarkEnd w:id="56"/>
      <w:bookmarkEnd w:id="57"/>
    </w:p>
    <w:p>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pPr>
        <w:pStyle w:val="Heading5"/>
        <w:rPr>
          <w:snapToGrid w:val="0"/>
        </w:rPr>
      </w:pPr>
      <w:bookmarkStart w:id="58" w:name="_Toc375040822"/>
      <w:bookmarkStart w:id="59" w:name="_Toc473795945"/>
      <w:r>
        <w:rPr>
          <w:rStyle w:val="CharSectno"/>
        </w:rPr>
        <w:t>14</w:t>
      </w:r>
      <w:r>
        <w:rPr>
          <w:snapToGrid w:val="0"/>
        </w:rPr>
        <w:t>.</w:t>
      </w:r>
      <w:r>
        <w:rPr>
          <w:snapToGrid w:val="0"/>
        </w:rPr>
        <w:tab/>
        <w:t>Audits of accounts of agencies</w:t>
      </w:r>
      <w:bookmarkEnd w:id="58"/>
      <w:bookmarkEnd w:id="59"/>
    </w:p>
    <w:p>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pPr>
        <w:pStyle w:val="Subsection"/>
      </w:pPr>
      <w:r>
        <w:tab/>
        <w:t>(3)</w:t>
      </w:r>
      <w:r>
        <w:tab/>
        <w:t xml:space="preserve">The Auditor General must </w:t>
      </w:r>
      <w:r>
        <w:rPr>
          <w:snapToGrid w:val="0"/>
        </w:rPr>
        <w:t>consult with the Treasurer before exercising the power conferred by subsection (2).</w:t>
      </w:r>
    </w:p>
    <w:p>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pPr>
        <w:pStyle w:val="Subsection"/>
      </w:pPr>
      <w:r>
        <w:tab/>
        <w:t>(5)</w:t>
      </w:r>
      <w:r>
        <w:tab/>
        <w:t xml:space="preserve">The </w:t>
      </w:r>
      <w:r>
        <w:rPr>
          <w:snapToGrid w:val="0"/>
        </w:rPr>
        <w:t>power conferred by subsection (2) cannot be exercised in respect of 3 consecutive financial years of an agency.</w:t>
      </w:r>
    </w:p>
    <w:p>
      <w:pPr>
        <w:pStyle w:val="Heading5"/>
        <w:rPr>
          <w:snapToGrid w:val="0"/>
        </w:rPr>
      </w:pPr>
      <w:bookmarkStart w:id="60" w:name="_Toc375040823"/>
      <w:bookmarkStart w:id="61" w:name="_Toc473795946"/>
      <w:r>
        <w:rPr>
          <w:rStyle w:val="CharSectno"/>
        </w:rPr>
        <w:t>15</w:t>
      </w:r>
      <w:r>
        <w:rPr>
          <w:snapToGrid w:val="0"/>
        </w:rPr>
        <w:t>.</w:t>
      </w:r>
      <w:r>
        <w:rPr>
          <w:snapToGrid w:val="0"/>
        </w:rPr>
        <w:tab/>
        <w:t>Audits and opinions on financial statements and related information as to agencies</w:t>
      </w:r>
      <w:bookmarkEnd w:id="60"/>
      <w:bookmarkEnd w:id="61"/>
    </w:p>
    <w:p>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pPr>
        <w:pStyle w:val="Subsection"/>
      </w:pPr>
      <w:r>
        <w:tab/>
        <w:t>(2)</w:t>
      </w:r>
      <w:r>
        <w:tab/>
        <w:t xml:space="preserve">Subsection (1) does not apply to an </w:t>
      </w:r>
      <w:r>
        <w:rPr>
          <w:snapToGrid w:val="0"/>
        </w:rPr>
        <w:t>agency in respect of a financial year for which the audit of its accounts has been dispensed with under section 14(2).</w:t>
      </w:r>
    </w:p>
    <w:p>
      <w:pPr>
        <w:pStyle w:val="Subsection"/>
      </w:pPr>
      <w:r>
        <w:tab/>
        <w:t>(3)</w:t>
      </w:r>
      <w:r>
        <w:tab/>
        <w:t xml:space="preserve">The Auditor General is to prepare and sign an opinion on an audit carried out under subsection (1), and is to state whether in the Auditor General’s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pPr>
        <w:pStyle w:val="Subsection"/>
      </w:pPr>
      <w:r>
        <w:tab/>
        <w:t>(4)</w:t>
      </w:r>
      <w:r>
        <w:tab/>
        <w:t xml:space="preserve">In subsection (3)(b) — </w:t>
      </w:r>
    </w:p>
    <w:p>
      <w:pPr>
        <w:pStyle w:val="Defstart"/>
      </w:pPr>
      <w:r>
        <w:rPr>
          <w:b/>
        </w:rPr>
        <w:tab/>
      </w:r>
      <w:r>
        <w:rPr>
          <w:rStyle w:val="CharDefText"/>
        </w:rPr>
        <w:t>controls</w:t>
      </w:r>
      <w:r>
        <w:t xml:space="preserve"> exercised by an agency means the policies and procedures that have been established for the governance and management of the agency by those charged with that governance and management and other staff of the agency. </w:t>
      </w:r>
    </w:p>
    <w:p>
      <w:pPr>
        <w:pStyle w:val="Subsection"/>
      </w:pPr>
      <w:r>
        <w:tab/>
        <w:t>(5)</w:t>
      </w:r>
      <w:r>
        <w:tab/>
        <w:t xml:space="preserve">The Auditor General is to provide the opinion prepared and signed under subsection (3) to the agency’s Minister and give a copy to the accountable authority of the agency. </w:t>
      </w:r>
    </w:p>
    <w:p>
      <w:pPr>
        <w:pStyle w:val="Heading5"/>
        <w:rPr>
          <w:snapToGrid w:val="0"/>
        </w:rPr>
      </w:pPr>
      <w:bookmarkStart w:id="62" w:name="_Toc375040824"/>
      <w:bookmarkStart w:id="63" w:name="_Toc473795947"/>
      <w:r>
        <w:rPr>
          <w:rStyle w:val="CharSectno"/>
        </w:rPr>
        <w:t>16</w:t>
      </w:r>
      <w:r>
        <w:rPr>
          <w:snapToGrid w:val="0"/>
        </w:rPr>
        <w:t>.</w:t>
      </w:r>
      <w:r>
        <w:rPr>
          <w:snapToGrid w:val="0"/>
        </w:rPr>
        <w:tab/>
        <w:t>Audits of accounts of certain subsidiary bodies</w:t>
      </w:r>
      <w:bookmarkEnd w:id="62"/>
      <w:bookmarkEnd w:id="63"/>
      <w:r>
        <w:rPr>
          <w:snapToGrid w:val="0"/>
        </w:rPr>
        <w:t xml:space="preserve"> </w:t>
      </w:r>
    </w:p>
    <w:p>
      <w:pPr>
        <w:pStyle w:val="Subsection"/>
        <w:spacing w:before="120"/>
        <w:rPr>
          <w:snapToGrid w:val="0"/>
        </w:rPr>
      </w:pPr>
      <w:r>
        <w:rPr>
          <w:snapToGrid w:val="0"/>
        </w:rPr>
        <w:tab/>
      </w:r>
      <w:r>
        <w:t>(1)</w:t>
      </w:r>
      <w:r>
        <w:rPr>
          <w:snapToGrid w:val="0"/>
        </w:rPr>
        <w:tab/>
        <w:t>In this section — </w:t>
      </w:r>
    </w:p>
    <w:p>
      <w:pPr>
        <w:pStyle w:val="Defstart"/>
      </w:pPr>
      <w:r>
        <w:tab/>
      </w:r>
      <w:r>
        <w:rPr>
          <w:rStyle w:val="CharDefText"/>
        </w:rPr>
        <w:t>foreign subsidiary</w:t>
      </w:r>
      <w:r>
        <w:t xml:space="preserve"> means a subsidiary body that is — </w:t>
      </w:r>
    </w:p>
    <w:p>
      <w:pPr>
        <w:pStyle w:val="Defpara"/>
      </w:pPr>
      <w:r>
        <w:tab/>
        <w:t>(a)</w:t>
      </w:r>
      <w:r>
        <w:tab/>
        <w:t xml:space="preserve">a company within the meaning of the </w:t>
      </w:r>
      <w:r>
        <w:rPr>
          <w:iCs/>
        </w:rPr>
        <w:t>Corporations Act</w:t>
      </w:r>
      <w:r>
        <w:rPr>
          <w:i/>
        </w:rPr>
        <w:t xml:space="preserve"> </w:t>
      </w:r>
      <w:r>
        <w:t>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r>
      <w:r>
        <w:rPr>
          <w:rStyle w:val="CharDefText"/>
        </w:rPr>
        <w:t>local subsidiary</w:t>
      </w:r>
      <w:r>
        <w:t xml:space="preserve"> means any subsidiary body that is not a foreign subsidiary.</w:t>
      </w:r>
    </w:p>
    <w:p>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pPr>
        <w:pStyle w:val="Subsection"/>
      </w:pPr>
      <w:r>
        <w:tab/>
        <w:t>(4)</w:t>
      </w:r>
      <w:r>
        <w:tab/>
        <w:t>For the purposes of subsection (3) the Auditor General may accept appointment under the Corporations Act as the auditor of a</w:t>
      </w:r>
      <w:r>
        <w:rPr>
          <w:snapToGrid w:val="0"/>
        </w:rPr>
        <w:t xml:space="preserve"> local subsidiary.</w:t>
      </w:r>
    </w:p>
    <w:p>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pPr>
        <w:pStyle w:val="Subsection"/>
        <w:keepNext/>
        <w:keepLines/>
        <w:rPr>
          <w:snapToGrid w:val="0"/>
        </w:rPr>
      </w:pPr>
      <w:r>
        <w:rPr>
          <w:snapToGrid w:val="0"/>
        </w:rPr>
        <w:tab/>
      </w:r>
      <w:r>
        <w:t>(6)</w:t>
      </w:r>
      <w:r>
        <w:rPr>
          <w:snapToGrid w:val="0"/>
        </w:rPr>
        <w:tab/>
        <w:t>If an agency has a foreign subsidiary that has power to appoint an auditor the agency must exercise its control over the foreign subsidiary so as to ensure that — </w:t>
      </w:r>
    </w:p>
    <w:p>
      <w:pPr>
        <w:pStyle w:val="Indenta"/>
        <w:rPr>
          <w:snapToGrid w:val="0"/>
        </w:rPr>
      </w:pPr>
      <w:r>
        <w:rPr>
          <w:snapToGrid w:val="0"/>
        </w:rPr>
        <w:tab/>
        <w:t>(a)</w:t>
      </w:r>
      <w:r>
        <w:rPr>
          <w:snapToGrid w:val="0"/>
        </w:rPr>
        <w:tab/>
        <w:t>the foreign subsidiary appoints as its auditor a person nominated by the Auditor General; and</w:t>
      </w:r>
    </w:p>
    <w:p>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pPr>
        <w:pStyle w:val="Heading5"/>
        <w:rPr>
          <w:snapToGrid w:val="0"/>
        </w:rPr>
      </w:pPr>
      <w:bookmarkStart w:id="64" w:name="_Toc375040825"/>
      <w:bookmarkStart w:id="65" w:name="_Toc473795948"/>
      <w:r>
        <w:rPr>
          <w:rStyle w:val="CharSectno"/>
        </w:rPr>
        <w:t>17</w:t>
      </w:r>
      <w:r>
        <w:rPr>
          <w:snapToGrid w:val="0"/>
        </w:rPr>
        <w:t>.</w:t>
      </w:r>
      <w:r>
        <w:rPr>
          <w:snapToGrid w:val="0"/>
        </w:rPr>
        <w:tab/>
        <w:t>Audits of accounts of related entities</w:t>
      </w:r>
      <w:bookmarkEnd w:id="64"/>
      <w:bookmarkEnd w:id="65"/>
      <w:r>
        <w:rPr>
          <w:snapToGrid w:val="0"/>
        </w:rPr>
        <w:t xml:space="preserve"> </w:t>
      </w:r>
    </w:p>
    <w:p>
      <w:pPr>
        <w:pStyle w:val="Subsection"/>
        <w:rPr>
          <w:snapToGrid w:val="0"/>
        </w:rPr>
      </w:pPr>
      <w:r>
        <w:rPr>
          <w:snapToGrid w:val="0"/>
        </w:rPr>
        <w:tab/>
      </w:r>
      <w:r>
        <w:t>(1)</w:t>
      </w:r>
      <w:r>
        <w:rPr>
          <w:snapToGrid w:val="0"/>
        </w:rPr>
        <w:tab/>
        <w:t xml:space="preserve">If an agency performs any of its functions in one or more of the following ways — </w:t>
      </w:r>
    </w:p>
    <w:p>
      <w:pPr>
        <w:pStyle w:val="Indenta"/>
      </w:pPr>
      <w:r>
        <w:rPr>
          <w:snapToGrid w:val="0"/>
        </w:rPr>
        <w:tab/>
        <w:t>(a)</w:t>
      </w:r>
      <w:r>
        <w:rPr>
          <w:snapToGrid w:val="0"/>
        </w:rPr>
        <w:tab/>
      </w:r>
      <w:r>
        <w:t>in partnership or jointly with another person or body;</w:t>
      </w:r>
    </w:p>
    <w:p>
      <w:pPr>
        <w:pStyle w:val="Indenta"/>
      </w:pPr>
      <w:r>
        <w:rPr>
          <w:snapToGrid w:val="0"/>
        </w:rPr>
        <w:tab/>
        <w:t>(b)</w:t>
      </w:r>
      <w:r>
        <w:rPr>
          <w:snapToGrid w:val="0"/>
        </w:rPr>
        <w:tab/>
      </w:r>
      <w:r>
        <w:t>through the instrumentality of another person or body;</w:t>
      </w:r>
    </w:p>
    <w:p>
      <w:pPr>
        <w:pStyle w:val="Indenta"/>
      </w:pPr>
      <w:r>
        <w:tab/>
        <w:t>(c)</w:t>
      </w:r>
      <w:r>
        <w:tab/>
        <w:t>by means of a trust,</w:t>
      </w:r>
    </w:p>
    <w:p>
      <w:pPr>
        <w:pStyle w:val="Subsection"/>
      </w:pPr>
      <w:r>
        <w:tab/>
      </w:r>
      <w:r>
        <w:tab/>
        <w:t xml:space="preserve">the accountable authority of the agency must give written notice of that fact to the Auditor General, and the person, body or trust is referred to as a </w:t>
      </w:r>
      <w:r>
        <w:rPr>
          <w:rStyle w:val="CharDefText"/>
        </w:rPr>
        <w:t>related entity</w:t>
      </w:r>
      <w:r>
        <w:rPr>
          <w:bCs/>
        </w:rPr>
        <w:t xml:space="preserve"> of the agency</w:t>
      </w:r>
      <w:r>
        <w:t>.</w:t>
      </w:r>
    </w:p>
    <w:p>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pPr>
        <w:pStyle w:val="Indenta"/>
      </w:pPr>
      <w:r>
        <w:rPr>
          <w:snapToGrid w:val="0"/>
        </w:rPr>
        <w:tab/>
        <w:t>(a)</w:t>
      </w:r>
      <w:r>
        <w:rPr>
          <w:snapToGrid w:val="0"/>
        </w:rPr>
        <w:tab/>
      </w:r>
      <w:r>
        <w:t>on behalf of the agency; or</w:t>
      </w:r>
    </w:p>
    <w:p>
      <w:pPr>
        <w:pStyle w:val="Indenta"/>
      </w:pPr>
      <w:r>
        <w:rPr>
          <w:snapToGrid w:val="0"/>
        </w:rPr>
        <w:tab/>
        <w:t>(b)</w:t>
      </w:r>
      <w:r>
        <w:rPr>
          <w:snapToGrid w:val="0"/>
        </w:rPr>
        <w:tab/>
      </w:r>
      <w:r>
        <w:t xml:space="preserve">in partnership or jointly with the agency; or </w:t>
      </w:r>
    </w:p>
    <w:p>
      <w:pPr>
        <w:pStyle w:val="Indenta"/>
        <w:rPr>
          <w:snapToGrid w:val="0"/>
        </w:rPr>
      </w:pPr>
      <w:r>
        <w:rPr>
          <w:snapToGrid w:val="0"/>
        </w:rPr>
        <w:tab/>
        <w:t>(c)</w:t>
      </w:r>
      <w:r>
        <w:rPr>
          <w:snapToGrid w:val="0"/>
        </w:rPr>
        <w:tab/>
      </w:r>
      <w:r>
        <w:t>as the delegate or agent of the agency</w:t>
      </w:r>
      <w:r>
        <w:rPr>
          <w:snapToGrid w:val="0"/>
        </w:rPr>
        <w:t>.</w:t>
      </w:r>
    </w:p>
    <w:p>
      <w:pPr>
        <w:pStyle w:val="Subsection"/>
      </w:pPr>
      <w:r>
        <w:tab/>
        <w:t>(3)</w:t>
      </w:r>
      <w:r>
        <w:tab/>
        <w:t>Subsection (2) does not limit the operation of section 16(3).</w:t>
      </w:r>
    </w:p>
    <w:p>
      <w:pPr>
        <w:pStyle w:val="Heading5"/>
        <w:rPr>
          <w:snapToGrid w:val="0"/>
        </w:rPr>
      </w:pPr>
      <w:bookmarkStart w:id="66" w:name="_Toc375040826"/>
      <w:bookmarkStart w:id="67" w:name="_Toc473795949"/>
      <w:r>
        <w:rPr>
          <w:rStyle w:val="CharSectno"/>
        </w:rPr>
        <w:t>18</w:t>
      </w:r>
      <w:r>
        <w:rPr>
          <w:snapToGrid w:val="0"/>
        </w:rPr>
        <w:t>.</w:t>
      </w:r>
      <w:r>
        <w:rPr>
          <w:snapToGrid w:val="0"/>
        </w:rPr>
        <w:tab/>
        <w:t>Examinations and investigations</w:t>
      </w:r>
      <w:bookmarkEnd w:id="66"/>
      <w:bookmarkEnd w:id="67"/>
    </w:p>
    <w:p>
      <w:pPr>
        <w:pStyle w:val="Subsection"/>
        <w:keepNext/>
      </w:pPr>
      <w:r>
        <w:tab/>
        <w:t>(1)</w:t>
      </w:r>
      <w:r>
        <w:tab/>
        <w:t xml:space="preserve">In this section — </w:t>
      </w:r>
    </w:p>
    <w:p>
      <w:pPr>
        <w:pStyle w:val="Defstart"/>
      </w:pPr>
      <w:r>
        <w:rPr>
          <w:b/>
        </w:rPr>
        <w:tab/>
      </w:r>
      <w:r>
        <w:rPr>
          <w:rStyle w:val="CharDefText"/>
        </w:rPr>
        <w:t>audited local subsidiary</w:t>
      </w:r>
      <w:r>
        <w:t xml:space="preserve"> means a local subsidiary that has appointed the Auditor General as its auditor under section 16(2).</w:t>
      </w:r>
    </w:p>
    <w:p>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pPr>
        <w:pStyle w:val="Indenta"/>
      </w:pPr>
      <w:r>
        <w:tab/>
        <w:t>(d)</w:t>
      </w:r>
      <w:r>
        <w:tab/>
        <w:t>examining an agency’s compliance with legislative provisions, public sector policies or its own internal policies;</w:t>
      </w:r>
    </w:p>
    <w:p>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pPr>
        <w:pStyle w:val="Indenta"/>
        <w:rPr>
          <w:snapToGrid w:val="0"/>
        </w:rPr>
      </w:pPr>
      <w:r>
        <w:rPr>
          <w:snapToGrid w:val="0"/>
        </w:rPr>
        <w:tab/>
        <w:t>(f)</w:t>
      </w:r>
      <w:r>
        <w:rPr>
          <w:snapToGrid w:val="0"/>
        </w:rPr>
        <w:tab/>
        <w:t xml:space="preserve">examining the efficiency and effectiveness with which a related entity of an agency performs functions — </w:t>
      </w:r>
    </w:p>
    <w:p>
      <w:pPr>
        <w:pStyle w:val="Indenti"/>
      </w:pPr>
      <w:r>
        <w:rPr>
          <w:snapToGrid w:val="0"/>
        </w:rPr>
        <w:tab/>
        <w:t>(i)</w:t>
      </w:r>
      <w:r>
        <w:rPr>
          <w:snapToGrid w:val="0"/>
        </w:rPr>
        <w:tab/>
      </w:r>
      <w:r>
        <w:t>on behalf of the agency; or</w:t>
      </w:r>
    </w:p>
    <w:p>
      <w:pPr>
        <w:pStyle w:val="Indenti"/>
      </w:pPr>
      <w:r>
        <w:tab/>
        <w:t>(ii)</w:t>
      </w:r>
      <w:r>
        <w:tab/>
        <w:t xml:space="preserve">in partnership or jointly with the agency; or </w:t>
      </w:r>
    </w:p>
    <w:p>
      <w:pPr>
        <w:pStyle w:val="Indenti"/>
      </w:pPr>
      <w:r>
        <w:tab/>
        <w:t>(iii)</w:t>
      </w:r>
      <w:r>
        <w:tab/>
        <w:t>as the delegate or agent of the agency.</w:t>
      </w:r>
    </w:p>
    <w:p>
      <w:pPr>
        <w:pStyle w:val="Heading5"/>
        <w:rPr>
          <w:snapToGrid w:val="0"/>
        </w:rPr>
      </w:pPr>
      <w:bookmarkStart w:id="68" w:name="_Toc375040827"/>
      <w:bookmarkStart w:id="69" w:name="_Toc473795950"/>
      <w:r>
        <w:rPr>
          <w:rStyle w:val="CharSectno"/>
        </w:rPr>
        <w:t>19</w:t>
      </w:r>
      <w:r>
        <w:rPr>
          <w:snapToGrid w:val="0"/>
        </w:rPr>
        <w:t>.</w:t>
      </w:r>
      <w:r>
        <w:rPr>
          <w:snapToGrid w:val="0"/>
        </w:rPr>
        <w:tab/>
        <w:t>Audits at the request of the Treasurer</w:t>
      </w:r>
      <w:bookmarkEnd w:id="68"/>
      <w:bookmarkEnd w:id="69"/>
    </w:p>
    <w:p>
      <w:pPr>
        <w:pStyle w:val="Subsection"/>
        <w:rPr>
          <w:snapToGrid w:val="0"/>
        </w:rPr>
      </w:pPr>
      <w:r>
        <w:rPr>
          <w:snapToGrid w:val="0"/>
        </w:rPr>
        <w:tab/>
      </w:r>
      <w:r>
        <w:t>(1)</w:t>
      </w:r>
      <w:r>
        <w:rPr>
          <w:snapToGrid w:val="0"/>
        </w:rPr>
        <w:tab/>
        <w:t>The Auditor General may audit any accounts that the Treasurer requests the Auditor General to audit.</w:t>
      </w:r>
    </w:p>
    <w:p>
      <w:pPr>
        <w:pStyle w:val="Subsection"/>
        <w:rPr>
          <w:snapToGrid w:val="0"/>
        </w:rPr>
      </w:pPr>
      <w:r>
        <w:rPr>
          <w:snapToGrid w:val="0"/>
        </w:rPr>
        <w:tab/>
      </w:r>
      <w:r>
        <w:t>(2)</w:t>
      </w:r>
      <w:r>
        <w:rPr>
          <w:snapToGrid w:val="0"/>
        </w:rPr>
        <w:tab/>
        <w:t>Without limiting subsection (1), where a grant or advance of moneys is made by the Government to a person for specific purposes, the Treasurer may request the Auditor General to audit the accounts of that person to ascertain whether the moneys granted or advanced have been expended in accordance with the purposes of the grant or advance.</w:t>
      </w:r>
    </w:p>
    <w:p>
      <w:pPr>
        <w:pStyle w:val="Heading5"/>
        <w:rPr>
          <w:snapToGrid w:val="0"/>
        </w:rPr>
      </w:pPr>
      <w:bookmarkStart w:id="70" w:name="_Toc375040828"/>
      <w:bookmarkStart w:id="71" w:name="_Toc473795951"/>
      <w:r>
        <w:rPr>
          <w:rStyle w:val="CharSectno"/>
        </w:rPr>
        <w:t>20</w:t>
      </w:r>
      <w:r>
        <w:rPr>
          <w:snapToGrid w:val="0"/>
        </w:rPr>
        <w:t>.</w:t>
      </w:r>
      <w:r>
        <w:rPr>
          <w:snapToGrid w:val="0"/>
        </w:rPr>
        <w:tab/>
        <w:t>Audits at the request of committees of Parliament</w:t>
      </w:r>
      <w:bookmarkEnd w:id="70"/>
      <w:bookmarkEnd w:id="71"/>
    </w:p>
    <w:p>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pPr>
        <w:pStyle w:val="Heading5"/>
        <w:spacing w:before="200"/>
        <w:rPr>
          <w:snapToGrid w:val="0"/>
        </w:rPr>
      </w:pPr>
      <w:bookmarkStart w:id="72" w:name="_Toc375040829"/>
      <w:bookmarkStart w:id="73" w:name="_Toc473795952"/>
      <w:r>
        <w:rPr>
          <w:rStyle w:val="CharSectno"/>
        </w:rPr>
        <w:t>21</w:t>
      </w:r>
      <w:r>
        <w:rPr>
          <w:snapToGrid w:val="0"/>
        </w:rPr>
        <w:t>.</w:t>
      </w:r>
      <w:r>
        <w:rPr>
          <w:snapToGrid w:val="0"/>
        </w:rPr>
        <w:tab/>
        <w:t>Audit fees</w:t>
      </w:r>
      <w:bookmarkEnd w:id="72"/>
      <w:bookmarkEnd w:id="73"/>
      <w:r>
        <w:rPr>
          <w:snapToGrid w:val="0"/>
        </w:rPr>
        <w:t xml:space="preserve"> </w:t>
      </w:r>
    </w:p>
    <w:p>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pPr>
        <w:pStyle w:val="Indenta"/>
        <w:rPr>
          <w:snapToGrid w:val="0"/>
        </w:rPr>
      </w:pPr>
      <w:r>
        <w:rPr>
          <w:snapToGrid w:val="0"/>
        </w:rPr>
        <w:tab/>
        <w:t>(a)</w:t>
      </w:r>
      <w:r>
        <w:rPr>
          <w:snapToGrid w:val="0"/>
        </w:rPr>
        <w:tab/>
        <w:t>the amount of that fee; and</w:t>
      </w:r>
    </w:p>
    <w:p>
      <w:pPr>
        <w:pStyle w:val="Indenta"/>
        <w:rPr>
          <w:snapToGrid w:val="0"/>
        </w:rPr>
      </w:pPr>
      <w:r>
        <w:rPr>
          <w:snapToGrid w:val="0"/>
        </w:rPr>
        <w:tab/>
        <w:t>(b)</w:t>
      </w:r>
      <w:r>
        <w:rPr>
          <w:snapToGrid w:val="0"/>
        </w:rPr>
        <w:tab/>
      </w:r>
      <w:r>
        <w:t>the person or body</w:t>
      </w:r>
      <w:r>
        <w:rPr>
          <w:snapToGrid w:val="0"/>
        </w:rPr>
        <w:t xml:space="preserve"> who or which is liable to pay that fee.</w:t>
      </w:r>
    </w:p>
    <w:p>
      <w:pPr>
        <w:pStyle w:val="Subsection"/>
      </w:pPr>
      <w:r>
        <w:tab/>
        <w:t>(2)</w:t>
      </w:r>
      <w:r>
        <w:tab/>
        <w:t>A fee determined under subsection (1)(a) is to be paid by the person or body determined under subsection (1)(b).</w:t>
      </w:r>
    </w:p>
    <w:p>
      <w:pPr>
        <w:pStyle w:val="Heading3"/>
      </w:pPr>
      <w:bookmarkStart w:id="74" w:name="_Toc375040830"/>
      <w:bookmarkStart w:id="75" w:name="_Toc412629237"/>
      <w:bookmarkStart w:id="76" w:name="_Toc412630624"/>
      <w:bookmarkStart w:id="77" w:name="_Toc473723356"/>
      <w:bookmarkStart w:id="78" w:name="_Toc473723432"/>
      <w:bookmarkStart w:id="79" w:name="_Toc473795877"/>
      <w:bookmarkStart w:id="80" w:name="_Toc473795953"/>
      <w:r>
        <w:rPr>
          <w:rStyle w:val="CharDivNo"/>
        </w:rPr>
        <w:t>Division 2</w:t>
      </w:r>
      <w:r>
        <w:t> — </w:t>
      </w:r>
      <w:r>
        <w:rPr>
          <w:rStyle w:val="CharDivText"/>
        </w:rPr>
        <w:t>Other audits, services and functions</w:t>
      </w:r>
      <w:bookmarkEnd w:id="74"/>
      <w:bookmarkEnd w:id="75"/>
      <w:bookmarkEnd w:id="76"/>
      <w:bookmarkEnd w:id="77"/>
      <w:bookmarkEnd w:id="78"/>
      <w:bookmarkEnd w:id="79"/>
      <w:bookmarkEnd w:id="80"/>
    </w:p>
    <w:p>
      <w:pPr>
        <w:pStyle w:val="Heading5"/>
      </w:pPr>
      <w:bookmarkStart w:id="81" w:name="_Toc375040831"/>
      <w:bookmarkStart w:id="82" w:name="_Toc473795954"/>
      <w:r>
        <w:rPr>
          <w:rStyle w:val="CharSectno"/>
        </w:rPr>
        <w:t>22</w:t>
      </w:r>
      <w:r>
        <w:t>.</w:t>
      </w:r>
      <w:r>
        <w:tab/>
        <w:t>Audits and other services by arrangement</w:t>
      </w:r>
      <w:bookmarkEnd w:id="81"/>
      <w:bookmarkEnd w:id="82"/>
    </w:p>
    <w:p>
      <w:pPr>
        <w:pStyle w:val="Subsection"/>
      </w:pPr>
      <w:r>
        <w:tab/>
        <w:t>(1)</w:t>
      </w:r>
      <w:r>
        <w:tab/>
        <w:t xml:space="preserve">The Auditor General may enter into an arrangement with any person or body — </w:t>
      </w:r>
    </w:p>
    <w:p>
      <w:pPr>
        <w:pStyle w:val="Indenta"/>
        <w:rPr>
          <w:snapToGrid w:val="0"/>
        </w:rPr>
      </w:pPr>
      <w:r>
        <w:rPr>
          <w:snapToGrid w:val="0"/>
        </w:rPr>
        <w:tab/>
        <w:t>(a)</w:t>
      </w:r>
      <w:r>
        <w:rPr>
          <w:snapToGrid w:val="0"/>
        </w:rPr>
        <w:tab/>
        <w:t>to carry out an audit for or in relation to the person or body; or</w:t>
      </w:r>
    </w:p>
    <w:p>
      <w:pPr>
        <w:pStyle w:val="Indenta"/>
        <w:rPr>
          <w:snapToGrid w:val="0"/>
        </w:rPr>
      </w:pPr>
      <w:r>
        <w:rPr>
          <w:snapToGrid w:val="0"/>
        </w:rPr>
        <w:tab/>
        <w:t>(b)</w:t>
      </w:r>
      <w:r>
        <w:rPr>
          <w:snapToGrid w:val="0"/>
        </w:rPr>
        <w:tab/>
        <w:t>to provide services to a person or body that are of a kind commonly performed by auditors.</w:t>
      </w:r>
    </w:p>
    <w:p>
      <w:pPr>
        <w:pStyle w:val="Subsection"/>
      </w:pPr>
      <w:r>
        <w:tab/>
        <w:t>(2)</w:t>
      </w:r>
      <w:r>
        <w:tab/>
        <w:t xml:space="preserve">The Auditor General may </w:t>
      </w:r>
      <w:r>
        <w:rPr>
          <w:snapToGrid w:val="0"/>
        </w:rPr>
        <w:t>carry out audits and provide services under a</w:t>
      </w:r>
      <w:r>
        <w:t>n arrangement under subsection (1).</w:t>
      </w:r>
    </w:p>
    <w:p>
      <w:pPr>
        <w:pStyle w:val="Subsection"/>
      </w:pPr>
      <w:r>
        <w:tab/>
        <w:t>(3)</w:t>
      </w:r>
      <w:r>
        <w:tab/>
        <w:t>An arrangement under subsection (1) may provide for the payment of fees to the Auditor General in respect of the audit or services.</w:t>
      </w:r>
    </w:p>
    <w:p>
      <w:pPr>
        <w:pStyle w:val="Subsection"/>
      </w:pPr>
      <w:r>
        <w:tab/>
        <w:t>(4)</w:t>
      </w:r>
      <w:r>
        <w:tab/>
        <w:t>Section 30(b) and Part 4 Division 2 do not apply in relation to an audit carried out under this section.</w:t>
      </w:r>
    </w:p>
    <w:p>
      <w:pPr>
        <w:pStyle w:val="Heading5"/>
      </w:pPr>
      <w:bookmarkStart w:id="83" w:name="_Toc375040832"/>
      <w:bookmarkStart w:id="84" w:name="_Toc473795955"/>
      <w:r>
        <w:rPr>
          <w:rStyle w:val="CharSectno"/>
        </w:rPr>
        <w:t>23</w:t>
      </w:r>
      <w:r>
        <w:t>.</w:t>
      </w:r>
      <w:r>
        <w:tab/>
        <w:t>Provision of advice or information</w:t>
      </w:r>
      <w:bookmarkEnd w:id="83"/>
      <w:bookmarkEnd w:id="84"/>
    </w:p>
    <w:p>
      <w:pPr>
        <w:pStyle w:val="Subsection"/>
      </w:pPr>
      <w:r>
        <w:tab/>
        <w:t>(1)</w:t>
      </w:r>
      <w:r>
        <w:tab/>
        <w:t xml:space="preserve">In this section — </w:t>
      </w:r>
    </w:p>
    <w:p>
      <w:pPr>
        <w:pStyle w:val="Defstart"/>
      </w:pPr>
      <w:r>
        <w:rPr>
          <w:b/>
        </w:rPr>
        <w:tab/>
      </w:r>
      <w:r>
        <w:rPr>
          <w:rStyle w:val="CharDefText"/>
        </w:rPr>
        <w:t>Auditor General’s responsibilities</w:t>
      </w:r>
      <w:r>
        <w:t xml:space="preserve"> means — </w:t>
      </w:r>
    </w:p>
    <w:p>
      <w:pPr>
        <w:pStyle w:val="Defpara"/>
      </w:pPr>
      <w:r>
        <w:tab/>
        <w:t>(a)</w:t>
      </w:r>
      <w:r>
        <w:tab/>
        <w:t>the Auditor General’s functions; and</w:t>
      </w:r>
    </w:p>
    <w:p>
      <w:pPr>
        <w:pStyle w:val="Defpara"/>
      </w:pPr>
      <w:r>
        <w:tab/>
        <w:t>(b)</w:t>
      </w:r>
      <w:r>
        <w:tab/>
        <w:t>any matter that the Auditor General could consider when performing those functions.</w:t>
      </w:r>
    </w:p>
    <w:p>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pPr>
        <w:pStyle w:val="Indenta"/>
      </w:pPr>
      <w:r>
        <w:tab/>
        <w:t>(a)</w:t>
      </w:r>
      <w:r>
        <w:tab/>
        <w:t>would be in the State’s interests; and</w:t>
      </w:r>
    </w:p>
    <w:p>
      <w:pPr>
        <w:pStyle w:val="Indenta"/>
      </w:pPr>
      <w:r>
        <w:tab/>
        <w:t>(b)</w:t>
      </w:r>
      <w:r>
        <w:tab/>
        <w:t>would not compromise the Auditor General’s independence.</w:t>
      </w:r>
    </w:p>
    <w:p>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pPr>
        <w:pStyle w:val="Heading3"/>
      </w:pPr>
      <w:bookmarkStart w:id="85" w:name="_Toc375040833"/>
      <w:bookmarkStart w:id="86" w:name="_Toc412629240"/>
      <w:bookmarkStart w:id="87" w:name="_Toc412630627"/>
      <w:bookmarkStart w:id="88" w:name="_Toc473723359"/>
      <w:bookmarkStart w:id="89" w:name="_Toc473723435"/>
      <w:bookmarkStart w:id="90" w:name="_Toc473795880"/>
      <w:bookmarkStart w:id="91" w:name="_Toc473795956"/>
      <w:r>
        <w:rPr>
          <w:rStyle w:val="CharDivNo"/>
        </w:rPr>
        <w:t>Division 3</w:t>
      </w:r>
      <w:r>
        <w:t> — </w:t>
      </w:r>
      <w:r>
        <w:rPr>
          <w:rStyle w:val="CharDivText"/>
        </w:rPr>
        <w:t>Reporting to Parliament</w:t>
      </w:r>
      <w:bookmarkEnd w:id="85"/>
      <w:bookmarkEnd w:id="86"/>
      <w:bookmarkEnd w:id="87"/>
      <w:bookmarkEnd w:id="88"/>
      <w:bookmarkEnd w:id="89"/>
      <w:bookmarkEnd w:id="90"/>
      <w:bookmarkEnd w:id="91"/>
    </w:p>
    <w:p>
      <w:pPr>
        <w:pStyle w:val="Heading5"/>
        <w:rPr>
          <w:snapToGrid w:val="0"/>
        </w:rPr>
      </w:pPr>
      <w:bookmarkStart w:id="92" w:name="_Toc375040834"/>
      <w:bookmarkStart w:id="93" w:name="_Toc473795957"/>
      <w:r>
        <w:rPr>
          <w:rStyle w:val="CharSectno"/>
        </w:rPr>
        <w:t>24</w:t>
      </w:r>
      <w:r>
        <w:t>.</w:t>
      </w:r>
      <w:r>
        <w:tab/>
      </w:r>
      <w:r>
        <w:rPr>
          <w:snapToGrid w:val="0"/>
        </w:rPr>
        <w:t>Reports on performance of functions generally</w:t>
      </w:r>
      <w:bookmarkEnd w:id="92"/>
      <w:bookmarkEnd w:id="93"/>
    </w:p>
    <w:p>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pPr>
        <w:pStyle w:val="Subsection"/>
        <w:rPr>
          <w:snapToGrid w:val="0"/>
        </w:rPr>
      </w:pPr>
      <w:r>
        <w:rPr>
          <w:snapToGrid w:val="0"/>
        </w:rPr>
        <w:tab/>
        <w:t>(2)</w:t>
      </w:r>
      <w:r>
        <w:rPr>
          <w:snapToGrid w:val="0"/>
        </w:rPr>
        <w:tab/>
        <w:t>Without limiting subsection (1), in a report under that subsection the Auditor General — </w:t>
      </w:r>
    </w:p>
    <w:p>
      <w:pPr>
        <w:pStyle w:val="Indenta"/>
        <w:rPr>
          <w:snapToGrid w:val="0"/>
        </w:rPr>
      </w:pPr>
      <w:r>
        <w:rPr>
          <w:snapToGrid w:val="0"/>
        </w:rPr>
        <w:tab/>
        <w:t>(a)</w:t>
      </w:r>
      <w:r>
        <w:rPr>
          <w:snapToGrid w:val="0"/>
        </w:rPr>
        <w:tab/>
        <w:t>is to draw attention to any case in which the functions of accountable authorities were not adequately and properly performed; and</w:t>
      </w:r>
    </w:p>
    <w:p>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pPr>
        <w:pStyle w:val="Indenta"/>
        <w:rPr>
          <w:snapToGrid w:val="0"/>
        </w:rPr>
      </w:pPr>
      <w:r>
        <w:rPr>
          <w:snapToGrid w:val="0"/>
        </w:rPr>
        <w:tab/>
        <w:t>(a)</w:t>
      </w:r>
      <w:r>
        <w:rPr>
          <w:snapToGrid w:val="0"/>
        </w:rPr>
        <w:tab/>
        <w:t>transmit a copy of the report to the Clerk of the Legislative Assembly and the Clerk of the Legislative Council; and</w:t>
      </w:r>
    </w:p>
    <w:p>
      <w:pPr>
        <w:pStyle w:val="Indenta"/>
        <w:rPr>
          <w:snapToGrid w:val="0"/>
        </w:rPr>
      </w:pPr>
      <w:r>
        <w:rPr>
          <w:snapToGrid w:val="0"/>
        </w:rPr>
        <w:tab/>
        <w:t>(b)</w:t>
      </w:r>
      <w:r>
        <w:rPr>
          <w:snapToGrid w:val="0"/>
        </w:rPr>
        <w:tab/>
        <w:t>make the report available to the public,</w:t>
      </w:r>
    </w:p>
    <w:p>
      <w:pPr>
        <w:pStyle w:val="Subsection"/>
        <w:rPr>
          <w:snapToGrid w:val="0"/>
        </w:rPr>
      </w:pPr>
      <w:r>
        <w:rPr>
          <w:snapToGrid w:val="0"/>
        </w:rPr>
        <w:tab/>
      </w:r>
      <w:r>
        <w:rPr>
          <w:snapToGrid w:val="0"/>
        </w:rPr>
        <w:tab/>
        <w:t>within 14 days after signing the report.</w:t>
      </w:r>
    </w:p>
    <w:p>
      <w:pPr>
        <w:pStyle w:val="Heading5"/>
        <w:rPr>
          <w:snapToGrid w:val="0"/>
        </w:rPr>
      </w:pPr>
      <w:bookmarkStart w:id="94" w:name="_Toc375040835"/>
      <w:bookmarkStart w:id="95" w:name="_Toc473795958"/>
      <w:r>
        <w:rPr>
          <w:rStyle w:val="CharSectno"/>
        </w:rPr>
        <w:t>25</w:t>
      </w:r>
      <w:r>
        <w:t>.</w:t>
      </w:r>
      <w:r>
        <w:tab/>
        <w:t>Report on an examination or investigation</w:t>
      </w:r>
      <w:bookmarkEnd w:id="94"/>
      <w:bookmarkEnd w:id="95"/>
    </w:p>
    <w:p>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pPr>
        <w:pStyle w:val="Indenta"/>
        <w:rPr>
          <w:snapToGrid w:val="0"/>
        </w:rPr>
      </w:pPr>
      <w:r>
        <w:rPr>
          <w:snapToGrid w:val="0"/>
        </w:rPr>
        <w:tab/>
        <w:t>(a)</w:t>
      </w:r>
      <w:r>
        <w:rPr>
          <w:snapToGrid w:val="0"/>
        </w:rPr>
        <w:tab/>
        <w:t xml:space="preserve">both Houses of Parliament; or </w:t>
      </w:r>
    </w:p>
    <w:p>
      <w:pPr>
        <w:pStyle w:val="Indenta"/>
      </w:pPr>
      <w:r>
        <w:rPr>
          <w:snapToGrid w:val="0"/>
        </w:rPr>
        <w:tab/>
        <w:t>(b)</w:t>
      </w:r>
      <w:r>
        <w:rPr>
          <w:snapToGrid w:val="0"/>
        </w:rPr>
        <w:tab/>
      </w:r>
      <w:r>
        <w:t xml:space="preserve">the Public Accounts Committee </w:t>
      </w:r>
      <w:r>
        <w:rPr>
          <w:szCs w:val="22"/>
        </w:rPr>
        <w:t>and the Estimates and Financial Operations Committee</w:t>
      </w:r>
      <w:r>
        <w:t>.</w:t>
      </w:r>
    </w:p>
    <w:p>
      <w:pPr>
        <w:pStyle w:val="Subsection"/>
        <w:keepNext/>
        <w:keepLines/>
      </w:pPr>
      <w:r>
        <w:tab/>
        <w:t>(2)</w:t>
      </w:r>
      <w:r>
        <w:tab/>
        <w:t>Before signing a report proposed to be submitted under subsection (1), the Auditor General must —</w:t>
      </w:r>
    </w:p>
    <w:p>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pPr>
        <w:pStyle w:val="Subsection"/>
      </w:pPr>
      <w:r>
        <w:tab/>
        <w:t>(3)</w:t>
      </w:r>
      <w:r>
        <w:tab/>
        <w:t>The Auditor General must include in a report prepared under subsection (1) any submissions or comments made under subsection (2) before the specified day, or a fair summary of them.</w:t>
      </w:r>
    </w:p>
    <w:p>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pPr>
        <w:pStyle w:val="Heading5"/>
      </w:pPr>
      <w:bookmarkStart w:id="96" w:name="_Toc375040836"/>
      <w:bookmarkStart w:id="97" w:name="_Toc473795959"/>
      <w:r>
        <w:rPr>
          <w:rStyle w:val="CharSectno"/>
        </w:rPr>
        <w:t>26</w:t>
      </w:r>
      <w:r>
        <w:t>.</w:t>
      </w:r>
      <w:r>
        <w:tab/>
        <w:t>Reports transmitted to Clerks</w:t>
      </w:r>
      <w:bookmarkEnd w:id="96"/>
      <w:bookmarkEnd w:id="97"/>
    </w:p>
    <w:p>
      <w:pPr>
        <w:pStyle w:val="Subsection"/>
      </w:pPr>
      <w:r>
        <w:tab/>
        <w:t>(1)</w:t>
      </w:r>
      <w:r>
        <w:tab/>
        <w:t>A copy of a report transmitted to the Clerk of a House of Parliament under section 24(4) or 25(4) is taken to have been laid before the House.</w:t>
      </w:r>
    </w:p>
    <w:p>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pPr>
        <w:pStyle w:val="Heading2"/>
      </w:pPr>
      <w:bookmarkStart w:id="98" w:name="_Toc375040837"/>
      <w:bookmarkStart w:id="99" w:name="_Toc412629244"/>
      <w:bookmarkStart w:id="100" w:name="_Toc412630631"/>
      <w:bookmarkStart w:id="101" w:name="_Toc473723363"/>
      <w:bookmarkStart w:id="102" w:name="_Toc473723439"/>
      <w:bookmarkStart w:id="103" w:name="_Toc473795884"/>
      <w:bookmarkStart w:id="104" w:name="_Toc473795960"/>
      <w:r>
        <w:rPr>
          <w:rStyle w:val="CharPartNo"/>
        </w:rPr>
        <w:t>Part 4</w:t>
      </w:r>
      <w:r>
        <w:t> — </w:t>
      </w:r>
      <w:r>
        <w:rPr>
          <w:rStyle w:val="CharPartText"/>
        </w:rPr>
        <w:t>Powers and duties of Auditor General</w:t>
      </w:r>
      <w:bookmarkEnd w:id="98"/>
      <w:bookmarkEnd w:id="99"/>
      <w:bookmarkEnd w:id="100"/>
      <w:bookmarkEnd w:id="101"/>
      <w:bookmarkEnd w:id="102"/>
      <w:bookmarkEnd w:id="103"/>
      <w:bookmarkEnd w:id="104"/>
    </w:p>
    <w:p>
      <w:pPr>
        <w:pStyle w:val="Heading3"/>
      </w:pPr>
      <w:bookmarkStart w:id="105" w:name="_Toc375040838"/>
      <w:bookmarkStart w:id="106" w:name="_Toc412629245"/>
      <w:bookmarkStart w:id="107" w:name="_Toc412630632"/>
      <w:bookmarkStart w:id="108" w:name="_Toc473723364"/>
      <w:bookmarkStart w:id="109" w:name="_Toc473723440"/>
      <w:bookmarkStart w:id="110" w:name="_Toc473795885"/>
      <w:bookmarkStart w:id="111" w:name="_Toc473795961"/>
      <w:r>
        <w:rPr>
          <w:rStyle w:val="CharDivNo"/>
        </w:rPr>
        <w:t>Division 1</w:t>
      </w:r>
      <w:r>
        <w:t> — </w:t>
      </w:r>
      <w:r>
        <w:rPr>
          <w:rStyle w:val="CharDivText"/>
        </w:rPr>
        <w:t>Powers and duties generally</w:t>
      </w:r>
      <w:bookmarkEnd w:id="105"/>
      <w:bookmarkEnd w:id="106"/>
      <w:bookmarkEnd w:id="107"/>
      <w:bookmarkEnd w:id="108"/>
      <w:bookmarkEnd w:id="109"/>
      <w:bookmarkEnd w:id="110"/>
      <w:bookmarkEnd w:id="111"/>
    </w:p>
    <w:p>
      <w:pPr>
        <w:pStyle w:val="Heading5"/>
        <w:rPr>
          <w:snapToGrid w:val="0"/>
        </w:rPr>
      </w:pPr>
      <w:bookmarkStart w:id="112" w:name="_Toc375040839"/>
      <w:bookmarkStart w:id="113" w:name="_Toc473795962"/>
      <w:r>
        <w:rPr>
          <w:rStyle w:val="CharSectno"/>
        </w:rPr>
        <w:t>27</w:t>
      </w:r>
      <w:r>
        <w:t>.</w:t>
      </w:r>
      <w:r>
        <w:tab/>
      </w:r>
      <w:r>
        <w:rPr>
          <w:snapToGrid w:val="0"/>
        </w:rPr>
        <w:t>Powers</w:t>
      </w:r>
      <w:bookmarkEnd w:id="112"/>
      <w:bookmarkEnd w:id="113"/>
    </w:p>
    <w:p>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pPr>
        <w:pStyle w:val="Heading5"/>
        <w:rPr>
          <w:snapToGrid w:val="0"/>
        </w:rPr>
      </w:pPr>
      <w:bookmarkStart w:id="114" w:name="_Toc375040840"/>
      <w:bookmarkStart w:id="115" w:name="_Toc473795963"/>
      <w:r>
        <w:rPr>
          <w:rStyle w:val="CharSectno"/>
        </w:rPr>
        <w:t>28</w:t>
      </w:r>
      <w:r>
        <w:t>.</w:t>
      </w:r>
      <w:r>
        <w:tab/>
      </w:r>
      <w:r>
        <w:rPr>
          <w:snapToGrid w:val="0"/>
        </w:rPr>
        <w:t>Duties of Auditor General as to audits</w:t>
      </w:r>
      <w:bookmarkEnd w:id="114"/>
      <w:bookmarkEnd w:id="115"/>
      <w:r>
        <w:rPr>
          <w:snapToGrid w:val="0"/>
        </w:rPr>
        <w:t xml:space="preserve"> </w:t>
      </w:r>
    </w:p>
    <w:p>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pPr>
        <w:pStyle w:val="Indenta"/>
        <w:rPr>
          <w:snapToGrid w:val="0"/>
        </w:rPr>
      </w:pPr>
      <w:r>
        <w:rPr>
          <w:snapToGrid w:val="0"/>
        </w:rPr>
        <w:tab/>
        <w:t>(a)</w:t>
      </w:r>
      <w:r>
        <w:rPr>
          <w:snapToGrid w:val="0"/>
        </w:rPr>
        <w:tab/>
      </w:r>
      <w:r>
        <w:t>A</w:t>
      </w:r>
      <w:r>
        <w:rPr>
          <w:snapToGrid w:val="0"/>
        </w:rPr>
        <w:t>uditing and Assurance Standards; and</w:t>
      </w:r>
    </w:p>
    <w:p>
      <w:pPr>
        <w:pStyle w:val="Indenta"/>
        <w:rPr>
          <w:snapToGrid w:val="0"/>
        </w:rPr>
      </w:pPr>
      <w:r>
        <w:rPr>
          <w:snapToGrid w:val="0"/>
        </w:rPr>
        <w:tab/>
        <w:t>(b)</w:t>
      </w:r>
      <w:r>
        <w:rPr>
          <w:snapToGrid w:val="0"/>
        </w:rPr>
        <w:tab/>
        <w:t>the character and effectiveness of the internal control and internal audit of the relevant agency, person or body.</w:t>
      </w:r>
    </w:p>
    <w:p>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pPr>
        <w:pStyle w:val="Heading5"/>
        <w:rPr>
          <w:snapToGrid w:val="0"/>
        </w:rPr>
      </w:pPr>
      <w:bookmarkStart w:id="116" w:name="_Toc375040841"/>
      <w:bookmarkStart w:id="117" w:name="_Toc473795964"/>
      <w:r>
        <w:rPr>
          <w:rStyle w:val="CharSectno"/>
        </w:rPr>
        <w:t>29</w:t>
      </w:r>
      <w:r>
        <w:t>.</w:t>
      </w:r>
      <w:r>
        <w:tab/>
      </w:r>
      <w:r>
        <w:rPr>
          <w:snapToGrid w:val="0"/>
        </w:rPr>
        <w:t>Auditor General may appoint person to audit</w:t>
      </w:r>
      <w:bookmarkEnd w:id="116"/>
      <w:bookmarkEnd w:id="117"/>
      <w:r>
        <w:rPr>
          <w:snapToGrid w:val="0"/>
        </w:rPr>
        <w:t xml:space="preserve"> </w:t>
      </w:r>
    </w:p>
    <w:p>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pPr>
        <w:pStyle w:val="Subsection"/>
        <w:spacing w:before="120"/>
        <w:rPr>
          <w:snapToGrid w:val="0"/>
        </w:rPr>
      </w:pPr>
      <w:r>
        <w:rPr>
          <w:snapToGrid w:val="0"/>
        </w:rPr>
        <w:tab/>
        <w:t>(2)</w:t>
      </w:r>
      <w:r>
        <w:rPr>
          <w:snapToGrid w:val="0"/>
        </w:rPr>
        <w:tab/>
        <w:t>A person appointed under subsection (1) must report on completion of the audit to the Auditor General.</w:t>
      </w:r>
    </w:p>
    <w:p>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pPr>
        <w:pStyle w:val="Heading5"/>
        <w:rPr>
          <w:snapToGrid w:val="0"/>
        </w:rPr>
      </w:pPr>
      <w:bookmarkStart w:id="118" w:name="_Toc375040842"/>
      <w:bookmarkStart w:id="119" w:name="_Toc473795965"/>
      <w:r>
        <w:rPr>
          <w:rStyle w:val="CharSectno"/>
        </w:rPr>
        <w:t>30</w:t>
      </w:r>
      <w:r>
        <w:t>.</w:t>
      </w:r>
      <w:r>
        <w:tab/>
      </w:r>
      <w:r>
        <w:rPr>
          <w:snapToGrid w:val="0"/>
        </w:rPr>
        <w:t>Power to obtain opinion</w:t>
      </w:r>
      <w:bookmarkEnd w:id="118"/>
      <w:bookmarkEnd w:id="119"/>
      <w:r>
        <w:rPr>
          <w:snapToGrid w:val="0"/>
        </w:rPr>
        <w:t xml:space="preserve"> </w:t>
      </w:r>
    </w:p>
    <w:p>
      <w:pPr>
        <w:pStyle w:val="Subsection"/>
        <w:spacing w:before="120"/>
      </w:pPr>
      <w:r>
        <w:tab/>
      </w:r>
      <w:r>
        <w:tab/>
        <w:t xml:space="preserve">The Auditor General is entitled to submit to the State Solicitor — </w:t>
      </w:r>
    </w:p>
    <w:p>
      <w:pPr>
        <w:pStyle w:val="Indenta"/>
      </w:pPr>
      <w:r>
        <w:tab/>
        <w:t>(a)</w:t>
      </w:r>
      <w:r>
        <w:tab/>
        <w:t xml:space="preserve">a question concerning the functions of the Auditor General; or </w:t>
      </w:r>
    </w:p>
    <w:p>
      <w:pPr>
        <w:pStyle w:val="Indenta"/>
      </w:pPr>
      <w:r>
        <w:tab/>
        <w:t>(b)</w:t>
      </w:r>
      <w:r>
        <w:tab/>
        <w:t>a question of law relating to an audit,</w:t>
      </w:r>
    </w:p>
    <w:p>
      <w:pPr>
        <w:pStyle w:val="Subsection"/>
        <w:spacing w:before="120"/>
      </w:pPr>
      <w:r>
        <w:tab/>
      </w:r>
      <w:r>
        <w:tab/>
        <w:t>and the State Solicitor is to give the Auditor General a written opinion on the question.</w:t>
      </w:r>
    </w:p>
    <w:p>
      <w:pPr>
        <w:pStyle w:val="Heading5"/>
      </w:pPr>
      <w:bookmarkStart w:id="120" w:name="_Toc375040843"/>
      <w:bookmarkStart w:id="121" w:name="_Toc473795966"/>
      <w:r>
        <w:rPr>
          <w:rStyle w:val="CharSectno"/>
        </w:rPr>
        <w:t>31</w:t>
      </w:r>
      <w:r>
        <w:t>.</w:t>
      </w:r>
      <w:r>
        <w:tab/>
      </w:r>
      <w:r>
        <w:rPr>
          <w:snapToGrid w:val="0"/>
        </w:rPr>
        <w:t>Delegation</w:t>
      </w:r>
      <w:r>
        <w:t xml:space="preserve"> by </w:t>
      </w:r>
      <w:r>
        <w:rPr>
          <w:snapToGrid w:val="0"/>
        </w:rPr>
        <w:t>Auditor General</w:t>
      </w:r>
      <w:bookmarkEnd w:id="120"/>
      <w:bookmarkEnd w:id="121"/>
    </w:p>
    <w:p>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pPr>
        <w:pStyle w:val="Indenta"/>
      </w:pPr>
      <w:r>
        <w:tab/>
        <w:t>(a)</w:t>
      </w:r>
      <w:r>
        <w:tab/>
        <w:t xml:space="preserve">a provision of this Act, other than this section or section 24, 25 or 34(1); or </w:t>
      </w:r>
    </w:p>
    <w:p>
      <w:pPr>
        <w:pStyle w:val="Indenta"/>
      </w:pPr>
      <w:r>
        <w:tab/>
        <w:t>(b)</w:t>
      </w:r>
      <w:r>
        <w:tab/>
        <w:t>another written law.</w:t>
      </w:r>
    </w:p>
    <w:p>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pPr>
        <w:pStyle w:val="Indenta"/>
      </w:pPr>
      <w:r>
        <w:tab/>
        <w:t>(a)</w:t>
      </w:r>
      <w:r>
        <w:tab/>
        <w:t xml:space="preserve">a provision of this Act, other than this section or section 24, 25, 29(1) or 34(1); or </w:t>
      </w:r>
    </w:p>
    <w:p>
      <w:pPr>
        <w:pStyle w:val="Indenta"/>
      </w:pPr>
      <w:r>
        <w:tab/>
        <w:t>(b)</w:t>
      </w:r>
      <w:r>
        <w:tab/>
        <w:t>another written law,</w:t>
      </w:r>
    </w:p>
    <w:p>
      <w:pPr>
        <w:pStyle w:val="Subsection"/>
        <w:spacing w:before="120"/>
      </w:pPr>
      <w:r>
        <w:tab/>
      </w:r>
      <w:r>
        <w:tab/>
        <w:t>in relation to that audit.</w:t>
      </w:r>
    </w:p>
    <w:p>
      <w:pPr>
        <w:pStyle w:val="Subsection"/>
        <w:spacing w:before="120"/>
      </w:pPr>
      <w:r>
        <w:tab/>
      </w:r>
      <w:r>
        <w:rPr>
          <w:snapToGrid w:val="0"/>
        </w:rPr>
        <w:t>(3)</w:t>
      </w:r>
      <w:r>
        <w:tab/>
        <w:t>A delegation under this section must be by written notice signed by the Auditor General.</w:t>
      </w:r>
    </w:p>
    <w:p>
      <w:pPr>
        <w:pStyle w:val="Subsection"/>
        <w:spacing w:before="120"/>
      </w:pPr>
      <w:r>
        <w:tab/>
      </w:r>
      <w:r>
        <w:rPr>
          <w:snapToGrid w:val="0"/>
        </w:rPr>
        <w:t>(4)</w:t>
      </w:r>
      <w:r>
        <w:tab/>
        <w:t>A person to whom a power or duty is delegated in accordance with this section cannot delegate that power or duty.</w:t>
      </w:r>
    </w:p>
    <w:p>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pPr>
        <w:pStyle w:val="Subsection"/>
        <w:spacing w:before="120"/>
      </w:pPr>
      <w:r>
        <w:tab/>
      </w:r>
      <w:r>
        <w:rPr>
          <w:snapToGrid w:val="0"/>
        </w:rPr>
        <w:t>(6)</w:t>
      </w:r>
      <w:r>
        <w:tab/>
        <w:t>Nothing in this section limits the ability of the Auditor General to perform a function through an officer or agent.</w:t>
      </w:r>
    </w:p>
    <w:p>
      <w:pPr>
        <w:pStyle w:val="Heading5"/>
      </w:pPr>
      <w:bookmarkStart w:id="122" w:name="_Toc375040844"/>
      <w:bookmarkStart w:id="123" w:name="_Toc473795967"/>
      <w:r>
        <w:rPr>
          <w:rStyle w:val="CharSectno"/>
        </w:rPr>
        <w:t>32</w:t>
      </w:r>
      <w:r>
        <w:t>.</w:t>
      </w:r>
      <w:r>
        <w:tab/>
        <w:t>Powers and duties under other written laws</w:t>
      </w:r>
      <w:bookmarkEnd w:id="122"/>
      <w:bookmarkEnd w:id="123"/>
    </w:p>
    <w:p>
      <w:pPr>
        <w:pStyle w:val="Subsection"/>
        <w:spacing w:before="120"/>
      </w:pPr>
      <w:r>
        <w:tab/>
      </w:r>
      <w:r>
        <w:tab/>
        <w:t>The Auditor General’s powers and duties under this Part are in addition to the Auditor General’s powers and duties under other written laws.</w:t>
      </w:r>
    </w:p>
    <w:p>
      <w:pPr>
        <w:pStyle w:val="Heading3"/>
      </w:pPr>
      <w:bookmarkStart w:id="124" w:name="_Toc375040845"/>
      <w:bookmarkStart w:id="125" w:name="_Toc412629252"/>
      <w:bookmarkStart w:id="126" w:name="_Toc412630639"/>
      <w:bookmarkStart w:id="127" w:name="_Toc473723371"/>
      <w:bookmarkStart w:id="128" w:name="_Toc473723447"/>
      <w:bookmarkStart w:id="129" w:name="_Toc473795892"/>
      <w:bookmarkStart w:id="130" w:name="_Toc473795968"/>
      <w:r>
        <w:rPr>
          <w:rStyle w:val="CharDivNo"/>
        </w:rPr>
        <w:t>Division 2</w:t>
      </w:r>
      <w:r>
        <w:t> — </w:t>
      </w:r>
      <w:r>
        <w:rPr>
          <w:rStyle w:val="CharDivText"/>
        </w:rPr>
        <w:t>Information gathering powers</w:t>
      </w:r>
      <w:bookmarkEnd w:id="124"/>
      <w:bookmarkEnd w:id="125"/>
      <w:bookmarkEnd w:id="126"/>
      <w:bookmarkEnd w:id="127"/>
      <w:bookmarkEnd w:id="128"/>
      <w:bookmarkEnd w:id="129"/>
      <w:bookmarkEnd w:id="130"/>
    </w:p>
    <w:p>
      <w:pPr>
        <w:pStyle w:val="Heading5"/>
        <w:rPr>
          <w:snapToGrid w:val="0"/>
        </w:rPr>
      </w:pPr>
      <w:bookmarkStart w:id="131" w:name="_Toc375040846"/>
      <w:bookmarkStart w:id="132" w:name="_Toc473795969"/>
      <w:r>
        <w:rPr>
          <w:rStyle w:val="CharSectno"/>
        </w:rPr>
        <w:t>33</w:t>
      </w:r>
      <w:r>
        <w:t>.</w:t>
      </w:r>
      <w:r>
        <w:tab/>
      </w:r>
      <w:r>
        <w:rPr>
          <w:snapToGrid w:val="0"/>
        </w:rPr>
        <w:t>Auditor General may authorise people to perform functions</w:t>
      </w:r>
      <w:bookmarkEnd w:id="131"/>
      <w:bookmarkEnd w:id="132"/>
    </w:p>
    <w:p>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r>
        <w:rPr>
          <w:rStyle w:val="CharDefText"/>
        </w:rPr>
        <w:t>authorised person</w:t>
      </w:r>
      <w:r>
        <w:rPr>
          <w:bCs/>
          <w:snapToGrid w:val="0"/>
        </w:rPr>
        <w:t>)</w:t>
      </w:r>
      <w:r>
        <w:rPr>
          <w:snapToGrid w:val="0"/>
        </w:rPr>
        <w:t xml:space="preserve"> to perform functions under this Division.</w:t>
      </w:r>
    </w:p>
    <w:p>
      <w:pPr>
        <w:pStyle w:val="Heading5"/>
      </w:pPr>
      <w:bookmarkStart w:id="133" w:name="_Toc375040847"/>
      <w:bookmarkStart w:id="134" w:name="_Toc473795970"/>
      <w:r>
        <w:rPr>
          <w:rStyle w:val="CharSectno"/>
        </w:rPr>
        <w:t>34</w:t>
      </w:r>
      <w:r>
        <w:t>.</w:t>
      </w:r>
      <w:r>
        <w:tab/>
        <w:t>Power to obtain information</w:t>
      </w:r>
      <w:bookmarkEnd w:id="133"/>
      <w:bookmarkEnd w:id="134"/>
    </w:p>
    <w:p>
      <w:pPr>
        <w:pStyle w:val="Subsection"/>
      </w:pPr>
      <w:r>
        <w:tab/>
        <w:t>(1)</w:t>
      </w:r>
      <w:r>
        <w:tab/>
      </w:r>
      <w:r>
        <w:rPr>
          <w:snapToGrid w:val="0"/>
        </w:rPr>
        <w:t>For the purpose of an audit t</w:t>
      </w:r>
      <w:r>
        <w:t xml:space="preserve">he Auditor General may, by written notice, direct a person to do all or any of the following — </w:t>
      </w:r>
    </w:p>
    <w:p>
      <w:pPr>
        <w:pStyle w:val="Indenta"/>
        <w:rPr>
          <w:snapToGrid w:val="0"/>
        </w:rPr>
      </w:pPr>
      <w:r>
        <w:rPr>
          <w:snapToGrid w:val="0"/>
        </w:rPr>
        <w:tab/>
        <w:t>(a)</w:t>
      </w:r>
      <w:r>
        <w:rPr>
          <w:snapToGrid w:val="0"/>
        </w:rPr>
        <w:tab/>
        <w:t>to provide the Auditor General with any information or explanation that the Auditor General requires;</w:t>
      </w:r>
    </w:p>
    <w:p>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pPr>
        <w:pStyle w:val="Indenta"/>
        <w:rPr>
          <w:snapToGrid w:val="0"/>
        </w:rPr>
      </w:pPr>
      <w:r>
        <w:rPr>
          <w:snapToGrid w:val="0"/>
        </w:rPr>
        <w:tab/>
        <w:t>(c)</w:t>
      </w:r>
      <w:r>
        <w:rPr>
          <w:snapToGrid w:val="0"/>
        </w:rPr>
        <w:tab/>
        <w:t>to produce to the Auditor General any documents in the custody or under the control of the person.</w:t>
      </w:r>
    </w:p>
    <w:p>
      <w:pPr>
        <w:pStyle w:val="Subsection"/>
      </w:pPr>
      <w:r>
        <w:tab/>
        <w:t>(2)</w:t>
      </w:r>
      <w:r>
        <w:tab/>
        <w:t xml:space="preserve">The Auditor General may direct that — </w:t>
      </w:r>
    </w:p>
    <w:p>
      <w:pPr>
        <w:pStyle w:val="Indenta"/>
        <w:rPr>
          <w:snapToGrid w:val="0"/>
        </w:rPr>
      </w:pPr>
      <w:r>
        <w:rPr>
          <w:snapToGrid w:val="0"/>
        </w:rPr>
        <w:tab/>
        <w:t>(a)</w:t>
      </w:r>
      <w:r>
        <w:rPr>
          <w:snapToGrid w:val="0"/>
        </w:rPr>
        <w:tab/>
        <w:t>the information, explanation or answers to questions be given either orally or in writing (as the Auditor General requires);</w:t>
      </w:r>
    </w:p>
    <w:p>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pPr>
        <w:pStyle w:val="Subsection"/>
      </w:pPr>
      <w:r>
        <w:tab/>
        <w:t>(3)</w:t>
      </w:r>
      <w:r>
        <w:tab/>
        <w:t xml:space="preserve">The Auditor General or an authorised person may </w:t>
      </w:r>
      <w:r>
        <w:rPr>
          <w:snapToGrid w:val="0"/>
        </w:rPr>
        <w:t>administer</w:t>
      </w:r>
      <w:r>
        <w:t xml:space="preserve"> an oath or affirmation for the purposes of this section.</w:t>
      </w:r>
    </w:p>
    <w:p>
      <w:pPr>
        <w:pStyle w:val="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pPr>
        <w:pStyle w:val="Penstart"/>
        <w:rPr>
          <w:b/>
          <w:i/>
        </w:rPr>
      </w:pPr>
      <w:r>
        <w:tab/>
        <w:t>Penalty: a fine of $50 000.</w:t>
      </w:r>
    </w:p>
    <w:p>
      <w:pPr>
        <w:pStyle w:val="Subsection"/>
      </w:pPr>
      <w:r>
        <w:tab/>
        <w:t>(5)</w:t>
      </w:r>
      <w:r>
        <w:tab/>
        <w:t>The regulations may prescribe scales of expenses to be allowed to persons who are required to attend under this section.</w:t>
      </w:r>
    </w:p>
    <w:p>
      <w:pPr>
        <w:pStyle w:val="Heading5"/>
        <w:rPr>
          <w:snapToGrid w:val="0"/>
        </w:rPr>
      </w:pPr>
      <w:bookmarkStart w:id="135" w:name="_Toc375040848"/>
      <w:bookmarkStart w:id="136" w:name="_Toc473795971"/>
      <w:r>
        <w:rPr>
          <w:rStyle w:val="CharSectno"/>
        </w:rPr>
        <w:t>35</w:t>
      </w:r>
      <w:r>
        <w:t>.</w:t>
      </w:r>
      <w:r>
        <w:tab/>
      </w:r>
      <w:r>
        <w:rPr>
          <w:snapToGrid w:val="0"/>
        </w:rPr>
        <w:t>Access to accounts, information, money and property</w:t>
      </w:r>
      <w:bookmarkEnd w:id="135"/>
      <w:bookmarkEnd w:id="136"/>
    </w:p>
    <w:p>
      <w:pPr>
        <w:pStyle w:val="Subsection"/>
      </w:pPr>
      <w:r>
        <w:tab/>
        <w:t>(1)</w:t>
      </w:r>
      <w:r>
        <w:tab/>
        <w:t xml:space="preserve">In this section — </w:t>
      </w:r>
    </w:p>
    <w:p>
      <w:pPr>
        <w:pStyle w:val="Defstart"/>
      </w:pPr>
      <w:r>
        <w:rPr>
          <w:b/>
        </w:rPr>
        <w:tab/>
      </w:r>
      <w:r>
        <w:rPr>
          <w:rStyle w:val="CharDefText"/>
        </w:rPr>
        <w:t>premises</w:t>
      </w:r>
      <w:r>
        <w:t xml:space="preserve"> means any land or place;</w:t>
      </w:r>
    </w:p>
    <w:p>
      <w:pPr>
        <w:pStyle w:val="Defstart"/>
      </w:pPr>
      <w:r>
        <w:rPr>
          <w:b/>
        </w:rPr>
        <w:tab/>
      </w:r>
      <w:r>
        <w:rPr>
          <w:rStyle w:val="CharDefText"/>
        </w:rPr>
        <w:t>written authority</w:t>
      </w:r>
      <w:r>
        <w:t>, in relation to an authorised person, means a written notice signed by the Auditor General that states that the person is authorised to exercise powers under this Division.</w:t>
      </w:r>
    </w:p>
    <w:p>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pPr>
        <w:pStyle w:val="Indenta"/>
        <w:rPr>
          <w:snapToGrid w:val="0"/>
        </w:rPr>
      </w:pPr>
      <w:r>
        <w:rPr>
          <w:snapToGrid w:val="0"/>
        </w:rPr>
        <w:tab/>
        <w:t>(b)</w:t>
      </w:r>
      <w:r>
        <w:rPr>
          <w:snapToGrid w:val="0"/>
        </w:rPr>
        <w:tab/>
        <w:t>public money, other money or statutory authority money; or</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pPr>
        <w:pStyle w:val="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pPr>
        <w:pStyle w:val="Penstart"/>
      </w:pPr>
      <w:r>
        <w:tab/>
        <w:t>Penalty: a fine of $50 000.</w:t>
      </w:r>
    </w:p>
    <w:p>
      <w:pPr>
        <w:pStyle w:val="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pPr>
        <w:pStyle w:val="Heading5"/>
      </w:pPr>
      <w:bookmarkStart w:id="137" w:name="_Toc375040849"/>
      <w:bookmarkStart w:id="138" w:name="_Toc473795972"/>
      <w:r>
        <w:rPr>
          <w:rStyle w:val="CharSectno"/>
        </w:rPr>
        <w:t>36</w:t>
      </w:r>
      <w:r>
        <w:t>.</w:t>
      </w:r>
      <w:r>
        <w:tab/>
        <w:t>Duty to give information overrides other duties and rights</w:t>
      </w:r>
      <w:bookmarkEnd w:id="137"/>
      <w:bookmarkEnd w:id="138"/>
    </w:p>
    <w:p>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pPr>
        <w:pStyle w:val="Subsection"/>
      </w:pPr>
      <w:r>
        <w:tab/>
        <w:t>(3)</w:t>
      </w:r>
      <w:r>
        <w:tab/>
        <w:t xml:space="preserve">If a person gives information or an explanation, answers a question or produces a document under section 34, neither — </w:t>
      </w:r>
    </w:p>
    <w:p>
      <w:pPr>
        <w:pStyle w:val="Indenta"/>
      </w:pPr>
      <w:r>
        <w:tab/>
        <w:t>(a)</w:t>
      </w:r>
      <w:r>
        <w:tab/>
        <w:t>the giving of the information or explanation, answering of the question or production of the document; nor</w:t>
      </w:r>
    </w:p>
    <w:p>
      <w:pPr>
        <w:pStyle w:val="Indenta"/>
      </w:pPr>
      <w:r>
        <w:tab/>
        <w:t>(b)</w:t>
      </w:r>
      <w:r>
        <w:tab/>
        <w:t>anything obtained as a direct or indirect result of the giving of the information or explanation, answering of the question or production of the document,</w:t>
      </w:r>
    </w:p>
    <w:p>
      <w:pPr>
        <w:pStyle w:val="Subsection"/>
      </w:pPr>
      <w:r>
        <w:tab/>
      </w:r>
      <w:r>
        <w:tab/>
        <w:t xml:space="preserve">is admissible in evidence against that person in any civil or criminal proceedings except — </w:t>
      </w:r>
    </w:p>
    <w:p>
      <w:pPr>
        <w:pStyle w:val="Indenta"/>
      </w:pPr>
      <w:r>
        <w:tab/>
      </w:r>
      <w:r>
        <w:rPr>
          <w:snapToGrid w:val="0"/>
        </w:rPr>
        <w:t>(c)</w:t>
      </w:r>
      <w:r>
        <w:tab/>
        <w:t>proceedings for an offence against this Division; or</w:t>
      </w:r>
    </w:p>
    <w:p>
      <w:pPr>
        <w:pStyle w:val="Indenta"/>
      </w:pPr>
      <w:r>
        <w:tab/>
      </w:r>
      <w:r>
        <w:rPr>
          <w:snapToGrid w:val="0"/>
        </w:rPr>
        <w:t>(d)</w:t>
      </w:r>
      <w:r>
        <w:tab/>
        <w:t xml:space="preserve">proceedings under </w:t>
      </w:r>
      <w:r>
        <w:rPr>
          <w:i/>
        </w:rPr>
        <w:t xml:space="preserve">The Criminal </w:t>
      </w:r>
      <w:r>
        <w:rPr>
          <w:i/>
          <w:iCs/>
        </w:rPr>
        <w:t>Code</w:t>
      </w:r>
      <w:r>
        <w:t xml:space="preserve"> Chapter XX.</w:t>
      </w:r>
    </w:p>
    <w:p>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pPr>
        <w:pStyle w:val="Heading5"/>
      </w:pPr>
      <w:bookmarkStart w:id="139" w:name="_Toc375040850"/>
      <w:bookmarkStart w:id="140" w:name="_Toc473795973"/>
      <w:r>
        <w:rPr>
          <w:rStyle w:val="CharSectno"/>
        </w:rPr>
        <w:t>37</w:t>
      </w:r>
      <w:r>
        <w:t>.</w:t>
      </w:r>
      <w:r>
        <w:tab/>
        <w:t>Powers extend to confidential information</w:t>
      </w:r>
      <w:bookmarkEnd w:id="139"/>
      <w:bookmarkEnd w:id="140"/>
    </w:p>
    <w:p>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pPr>
        <w:pStyle w:val="Heading2"/>
      </w:pPr>
      <w:bookmarkStart w:id="141" w:name="_Toc375040851"/>
      <w:bookmarkStart w:id="142" w:name="_Toc412629258"/>
      <w:bookmarkStart w:id="143" w:name="_Toc412630645"/>
      <w:bookmarkStart w:id="144" w:name="_Toc473723377"/>
      <w:bookmarkStart w:id="145" w:name="_Toc473723453"/>
      <w:bookmarkStart w:id="146" w:name="_Toc473795898"/>
      <w:bookmarkStart w:id="147" w:name="_Toc473795974"/>
      <w:r>
        <w:rPr>
          <w:rStyle w:val="CharPartNo"/>
        </w:rPr>
        <w:t>Part 5</w:t>
      </w:r>
      <w:r>
        <w:rPr>
          <w:rStyle w:val="CharDivNo"/>
        </w:rPr>
        <w:t> </w:t>
      </w:r>
      <w:r>
        <w:t>—</w:t>
      </w:r>
      <w:r>
        <w:rPr>
          <w:rStyle w:val="CharDivText"/>
        </w:rPr>
        <w:t> </w:t>
      </w:r>
      <w:r>
        <w:rPr>
          <w:rStyle w:val="CharPartText"/>
        </w:rPr>
        <w:t>Independent auditing of the OAG</w:t>
      </w:r>
      <w:bookmarkEnd w:id="141"/>
      <w:bookmarkEnd w:id="142"/>
      <w:bookmarkEnd w:id="143"/>
      <w:bookmarkEnd w:id="144"/>
      <w:bookmarkEnd w:id="145"/>
      <w:bookmarkEnd w:id="146"/>
      <w:bookmarkEnd w:id="147"/>
    </w:p>
    <w:p>
      <w:pPr>
        <w:pStyle w:val="Heading5"/>
        <w:rPr>
          <w:snapToGrid w:val="0"/>
        </w:rPr>
      </w:pPr>
      <w:bookmarkStart w:id="148" w:name="_Toc375040852"/>
      <w:bookmarkStart w:id="149" w:name="_Toc473795975"/>
      <w:r>
        <w:rPr>
          <w:rStyle w:val="CharSectno"/>
        </w:rPr>
        <w:t>38</w:t>
      </w:r>
      <w:r>
        <w:rPr>
          <w:snapToGrid w:val="0"/>
        </w:rPr>
        <w:t>.</w:t>
      </w:r>
      <w:r>
        <w:rPr>
          <w:snapToGrid w:val="0"/>
        </w:rPr>
        <w:tab/>
        <w:t>Appointment of independent auditor for the OAG</w:t>
      </w:r>
      <w:bookmarkEnd w:id="148"/>
      <w:bookmarkEnd w:id="149"/>
      <w:r>
        <w:rPr>
          <w:snapToGrid w:val="0"/>
        </w:rPr>
        <w:t xml:space="preserve"> </w:t>
      </w:r>
    </w:p>
    <w:p>
      <w:pPr>
        <w:pStyle w:val="Subsection"/>
        <w:spacing w:before="120"/>
        <w:rPr>
          <w:snapToGrid w:val="0"/>
        </w:rPr>
      </w:pPr>
      <w:r>
        <w:rPr>
          <w:snapToGrid w:val="0"/>
        </w:rPr>
        <w:tab/>
      </w:r>
      <w:r>
        <w:t>(1)</w:t>
      </w:r>
      <w:r>
        <w:rPr>
          <w:snapToGrid w:val="0"/>
        </w:rPr>
        <w:tab/>
        <w:t>The Auditor General is not to carry out audits under Part 3 Division 1 in relation to the OAG.</w:t>
      </w:r>
    </w:p>
    <w:p>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rStyle w:val="CharDefText"/>
        </w:rPr>
        <w:t>independent auditor</w:t>
      </w:r>
      <w:r>
        <w:rPr>
          <w:iCs/>
        </w:rPr>
        <w:t xml:space="preserve">) </w:t>
      </w:r>
      <w:r>
        <w:rPr>
          <w:snapToGrid w:val="0"/>
        </w:rPr>
        <w:t>to carry out audits in relation to the OAG.</w:t>
      </w:r>
    </w:p>
    <w:p>
      <w:pPr>
        <w:pStyle w:val="Heading5"/>
        <w:rPr>
          <w:snapToGrid w:val="0"/>
        </w:rPr>
      </w:pPr>
      <w:bookmarkStart w:id="150" w:name="_Toc375040853"/>
      <w:bookmarkStart w:id="151" w:name="_Toc473795976"/>
      <w:r>
        <w:rPr>
          <w:rStyle w:val="CharSectno"/>
        </w:rPr>
        <w:t>39</w:t>
      </w:r>
      <w:r>
        <w:rPr>
          <w:snapToGrid w:val="0"/>
        </w:rPr>
        <w:t>.</w:t>
      </w:r>
      <w:r>
        <w:rPr>
          <w:snapToGrid w:val="0"/>
        </w:rPr>
        <w:tab/>
        <w:t>Audits of accounts of the OAG</w:t>
      </w:r>
      <w:bookmarkEnd w:id="150"/>
      <w:bookmarkEnd w:id="151"/>
    </w:p>
    <w:p>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pPr>
        <w:pStyle w:val="Heading5"/>
        <w:rPr>
          <w:snapToGrid w:val="0"/>
        </w:rPr>
      </w:pPr>
      <w:bookmarkStart w:id="152" w:name="_Toc375040854"/>
      <w:bookmarkStart w:id="153" w:name="_Toc473795977"/>
      <w:r>
        <w:rPr>
          <w:rStyle w:val="CharSectno"/>
        </w:rPr>
        <w:t>40</w:t>
      </w:r>
      <w:r>
        <w:rPr>
          <w:snapToGrid w:val="0"/>
        </w:rPr>
        <w:t>.</w:t>
      </w:r>
      <w:r>
        <w:rPr>
          <w:snapToGrid w:val="0"/>
        </w:rPr>
        <w:tab/>
        <w:t>Audits and opinions on financial statements and related information as to the OAG</w:t>
      </w:r>
      <w:bookmarkEnd w:id="152"/>
      <w:bookmarkEnd w:id="153"/>
    </w:p>
    <w:p>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pPr>
        <w:pStyle w:val="Indenta"/>
        <w:keepLines/>
        <w:rPr>
          <w:snapToGrid w:val="0"/>
        </w:rPr>
      </w:pPr>
      <w:r>
        <w:rPr>
          <w:snapToGrid w:val="0"/>
        </w:rPr>
        <w:tab/>
        <w:t>(c)</w:t>
      </w:r>
      <w:r>
        <w:rPr>
          <w:snapToGrid w:val="0"/>
        </w:rPr>
        <w:tab/>
        <w:t>the key performance indicators are relevant and appropriate to assist users to assess the OAG’s performance and fairly represent indicated performance for the period under review.</w:t>
      </w:r>
    </w:p>
    <w:p>
      <w:pPr>
        <w:pStyle w:val="Subsection"/>
      </w:pPr>
      <w:r>
        <w:tab/>
        <w:t>(3)</w:t>
      </w:r>
      <w:r>
        <w:tab/>
        <w:t xml:space="preserve">In subsection (2)(b) — </w:t>
      </w:r>
    </w:p>
    <w:p>
      <w:pPr>
        <w:pStyle w:val="Defstart"/>
      </w:pPr>
      <w:r>
        <w:rPr>
          <w:b/>
        </w:rPr>
        <w:tab/>
      </w:r>
      <w:r>
        <w:rPr>
          <w:rStyle w:val="CharDefText"/>
        </w:rPr>
        <w:t>controls</w:t>
      </w:r>
      <w:r>
        <w:t xml:space="preserve"> exercised by the OAG means the policies and procedures that have been established for the governance and management of the OAG by the Auditor General and other staff of the OAG. </w:t>
      </w:r>
    </w:p>
    <w:p>
      <w:pPr>
        <w:pStyle w:val="Subsection"/>
      </w:pPr>
      <w:r>
        <w:tab/>
        <w:t>(4)</w:t>
      </w:r>
      <w:r>
        <w:tab/>
        <w:t xml:space="preserve">The </w:t>
      </w:r>
      <w:r>
        <w:rPr>
          <w:snapToGrid w:val="0"/>
        </w:rPr>
        <w:t>independent auditor</w:t>
      </w:r>
      <w:r>
        <w:t xml:space="preserve"> is to provide the opinion prepared and signed under subsection (2) to the Auditor General. </w:t>
      </w:r>
    </w:p>
    <w:p>
      <w:pPr>
        <w:pStyle w:val="Heading5"/>
        <w:spacing w:before="200"/>
        <w:rPr>
          <w:snapToGrid w:val="0"/>
        </w:rPr>
      </w:pPr>
      <w:bookmarkStart w:id="154" w:name="_Toc375040855"/>
      <w:bookmarkStart w:id="155" w:name="_Toc473795978"/>
      <w:r>
        <w:rPr>
          <w:rStyle w:val="CharSectno"/>
        </w:rPr>
        <w:t>41</w:t>
      </w:r>
      <w:r>
        <w:rPr>
          <w:snapToGrid w:val="0"/>
        </w:rPr>
        <w:t>.</w:t>
      </w:r>
      <w:r>
        <w:rPr>
          <w:snapToGrid w:val="0"/>
        </w:rPr>
        <w:tab/>
        <w:t>Duties of independent auditor as to audits</w:t>
      </w:r>
      <w:bookmarkEnd w:id="154"/>
      <w:bookmarkEnd w:id="155"/>
    </w:p>
    <w:p>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pPr>
        <w:pStyle w:val="Heading5"/>
        <w:spacing w:before="200"/>
        <w:rPr>
          <w:snapToGrid w:val="0"/>
        </w:rPr>
      </w:pPr>
      <w:bookmarkStart w:id="156" w:name="_Toc375040856"/>
      <w:bookmarkStart w:id="157" w:name="_Toc473795979"/>
      <w:r>
        <w:rPr>
          <w:rStyle w:val="CharSectno"/>
        </w:rPr>
        <w:t>42</w:t>
      </w:r>
      <w:r>
        <w:rPr>
          <w:snapToGrid w:val="0"/>
        </w:rPr>
        <w:t>.</w:t>
      </w:r>
      <w:r>
        <w:rPr>
          <w:snapToGrid w:val="0"/>
        </w:rPr>
        <w:tab/>
        <w:t>Audit fees for independent auditor</w:t>
      </w:r>
      <w:bookmarkEnd w:id="156"/>
      <w:bookmarkEnd w:id="157"/>
    </w:p>
    <w:p>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pPr>
        <w:pStyle w:val="Heading2"/>
      </w:pPr>
      <w:bookmarkStart w:id="158" w:name="_Toc375040857"/>
      <w:bookmarkStart w:id="159" w:name="_Toc412629264"/>
      <w:bookmarkStart w:id="160" w:name="_Toc412630651"/>
      <w:bookmarkStart w:id="161" w:name="_Toc473723383"/>
      <w:bookmarkStart w:id="162" w:name="_Toc473723459"/>
      <w:bookmarkStart w:id="163" w:name="_Toc473795904"/>
      <w:bookmarkStart w:id="164" w:name="_Toc473795980"/>
      <w:r>
        <w:rPr>
          <w:rStyle w:val="CharPartNo"/>
        </w:rPr>
        <w:t>Part 6</w:t>
      </w:r>
      <w:r>
        <w:rPr>
          <w:rStyle w:val="CharDivNo"/>
        </w:rPr>
        <w:t> </w:t>
      </w:r>
      <w:r>
        <w:t>—</w:t>
      </w:r>
      <w:r>
        <w:rPr>
          <w:rStyle w:val="CharDivText"/>
        </w:rPr>
        <w:t> </w:t>
      </w:r>
      <w:r>
        <w:rPr>
          <w:rStyle w:val="CharPartText"/>
        </w:rPr>
        <w:t>Miscellaneous</w:t>
      </w:r>
      <w:bookmarkEnd w:id="158"/>
      <w:bookmarkEnd w:id="159"/>
      <w:bookmarkEnd w:id="160"/>
      <w:bookmarkEnd w:id="161"/>
      <w:bookmarkEnd w:id="162"/>
      <w:bookmarkEnd w:id="163"/>
      <w:bookmarkEnd w:id="164"/>
    </w:p>
    <w:p>
      <w:pPr>
        <w:pStyle w:val="Heading5"/>
      </w:pPr>
      <w:bookmarkStart w:id="165" w:name="_Toc375040858"/>
      <w:bookmarkStart w:id="166" w:name="_Toc473795981"/>
      <w:r>
        <w:rPr>
          <w:rStyle w:val="CharSectno"/>
        </w:rPr>
        <w:t>43</w:t>
      </w:r>
      <w:r>
        <w:t>.</w:t>
      </w:r>
      <w:r>
        <w:tab/>
        <w:t>Joint Standing Committee on Audit</w:t>
      </w:r>
      <w:bookmarkEnd w:id="165"/>
      <w:bookmarkEnd w:id="166"/>
    </w:p>
    <w:p>
      <w:pPr>
        <w:pStyle w:val="Subsection"/>
      </w:pPr>
      <w:r>
        <w:tab/>
      </w:r>
      <w:r>
        <w:tab/>
        <w:t>The Houses of Parliament are to establish a Joint Standing Committee on Audit comprising an equal number of members appointed by each House.</w:t>
      </w:r>
    </w:p>
    <w:p>
      <w:pPr>
        <w:pStyle w:val="Heading5"/>
      </w:pPr>
      <w:bookmarkStart w:id="167" w:name="_Toc375040859"/>
      <w:bookmarkStart w:id="168" w:name="_Toc473795982"/>
      <w:r>
        <w:rPr>
          <w:rStyle w:val="CharSectno"/>
        </w:rPr>
        <w:t>44</w:t>
      </w:r>
      <w:r>
        <w:t>.</w:t>
      </w:r>
      <w:r>
        <w:tab/>
        <w:t>Recommendations by the Joint Standing Committee on Audit</w:t>
      </w:r>
      <w:bookmarkEnd w:id="167"/>
      <w:bookmarkEnd w:id="168"/>
    </w:p>
    <w:p>
      <w:pPr>
        <w:pStyle w:val="Subsection"/>
      </w:pPr>
      <w:r>
        <w:tab/>
        <w:t>(1)</w:t>
      </w:r>
      <w:r>
        <w:tab/>
        <w:t>In the determination of the budget of the OAG for a financial year regard is to be had to any recommendation as to that budget made to the Treasurer by the Joint Standing Committee on Audit.</w:t>
      </w:r>
    </w:p>
    <w:p>
      <w:pPr>
        <w:pStyle w:val="Subsection"/>
      </w:pPr>
      <w:r>
        <w:tab/>
        <w:t>(2)</w:t>
      </w:r>
      <w:r>
        <w:tab/>
        <w:t>Regard is to be had to any recommendation as to organisational structure or resources of the OAG made by the Joint Standing Committee on Audit.</w:t>
      </w:r>
    </w:p>
    <w:p>
      <w:pPr>
        <w:pStyle w:val="Heading5"/>
        <w:spacing w:before="180"/>
        <w:rPr>
          <w:snapToGrid w:val="0"/>
        </w:rPr>
      </w:pPr>
      <w:bookmarkStart w:id="169" w:name="_Toc375040860"/>
      <w:bookmarkStart w:id="170" w:name="_Toc473795983"/>
      <w:r>
        <w:rPr>
          <w:rStyle w:val="CharSectno"/>
        </w:rPr>
        <w:t>45</w:t>
      </w:r>
      <w:r>
        <w:rPr>
          <w:snapToGrid w:val="0"/>
        </w:rPr>
        <w:t>.</w:t>
      </w:r>
      <w:r>
        <w:rPr>
          <w:snapToGrid w:val="0"/>
        </w:rPr>
        <w:tab/>
        <w:t>Protection from liability</w:t>
      </w:r>
      <w:bookmarkEnd w:id="169"/>
      <w:bookmarkEnd w:id="170"/>
      <w:r>
        <w:rPr>
          <w:snapToGrid w:val="0"/>
        </w:rPr>
        <w:t xml:space="preserve"> </w:t>
      </w:r>
    </w:p>
    <w:p>
      <w:pPr>
        <w:pStyle w:val="Subsection"/>
        <w:spacing w:before="120"/>
        <w:rPr>
          <w:snapToGrid w:val="0"/>
        </w:rPr>
      </w:pPr>
      <w:r>
        <w:rPr>
          <w:snapToGrid w:val="0"/>
        </w:rPr>
        <w:tab/>
      </w:r>
      <w:r>
        <w:t>(1)</w:t>
      </w:r>
      <w:r>
        <w:rPr>
          <w:snapToGrid w:val="0"/>
        </w:rPr>
        <w:tab/>
        <w:t xml:space="preserve">No action or claim for damages lies against — </w:t>
      </w:r>
    </w:p>
    <w:p>
      <w:pPr>
        <w:pStyle w:val="Indenta"/>
        <w:rPr>
          <w:snapToGrid w:val="0"/>
        </w:rPr>
      </w:pPr>
      <w:r>
        <w:rPr>
          <w:snapToGrid w:val="0"/>
        </w:rPr>
        <w:tab/>
        <w:t>(a)</w:t>
      </w:r>
      <w:r>
        <w:rPr>
          <w:snapToGrid w:val="0"/>
        </w:rPr>
        <w:tab/>
        <w:t>the Auditor General; or</w:t>
      </w:r>
    </w:p>
    <w:p>
      <w:pPr>
        <w:pStyle w:val="Indenta"/>
        <w:rPr>
          <w:snapToGrid w:val="0"/>
        </w:rPr>
      </w:pPr>
      <w:r>
        <w:rPr>
          <w:snapToGrid w:val="0"/>
        </w:rPr>
        <w:tab/>
        <w:t>(b)</w:t>
      </w:r>
      <w:r>
        <w:rPr>
          <w:snapToGrid w:val="0"/>
        </w:rPr>
        <w:tab/>
        <w:t>any person acting on behalf of, or with the authority of, the Auditor General; or</w:t>
      </w:r>
    </w:p>
    <w:p>
      <w:pPr>
        <w:pStyle w:val="Indenta"/>
      </w:pPr>
      <w:r>
        <w:tab/>
        <w:t>(c)</w:t>
      </w:r>
      <w:r>
        <w:tab/>
        <w:t>the independent auditor,</w:t>
      </w:r>
    </w:p>
    <w:p>
      <w:pPr>
        <w:pStyle w:val="Subsection"/>
        <w:spacing w:before="120"/>
        <w:rPr>
          <w:snapToGrid w:val="0"/>
        </w:rPr>
      </w:pPr>
      <w:r>
        <w:rPr>
          <w:snapToGrid w:val="0"/>
        </w:rPr>
        <w:tab/>
      </w:r>
      <w:r>
        <w:rPr>
          <w:snapToGrid w:val="0"/>
        </w:rPr>
        <w:tab/>
        <w:t>for or on account of anything done or omitted, or ordered or authorised to be done or omitted — </w:t>
      </w:r>
    </w:p>
    <w:p>
      <w:pPr>
        <w:pStyle w:val="Indenta"/>
        <w:rPr>
          <w:snapToGrid w:val="0"/>
        </w:rPr>
      </w:pPr>
      <w:r>
        <w:rPr>
          <w:snapToGrid w:val="0"/>
        </w:rPr>
        <w:tab/>
        <w:t>(d)</w:t>
      </w:r>
      <w:r>
        <w:rPr>
          <w:snapToGrid w:val="0"/>
        </w:rPr>
        <w:tab/>
        <w:t>under, or apparently under, this Act or any other written law; or</w:t>
      </w:r>
    </w:p>
    <w:p>
      <w:pPr>
        <w:pStyle w:val="Indenta"/>
        <w:rPr>
          <w:snapToGrid w:val="0"/>
        </w:rPr>
      </w:pPr>
      <w:r>
        <w:rPr>
          <w:snapToGrid w:val="0"/>
        </w:rPr>
        <w:tab/>
        <w:t>(e)</w:t>
      </w:r>
      <w:r>
        <w:rPr>
          <w:snapToGrid w:val="0"/>
        </w:rPr>
        <w:tab/>
        <w:t>for the purpose, or apparently for the purpose, of giving effect to this Act or any other written law.</w:t>
      </w:r>
    </w:p>
    <w:p>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pPr>
        <w:pStyle w:val="Heading5"/>
        <w:spacing w:before="180"/>
        <w:rPr>
          <w:snapToGrid w:val="0"/>
        </w:rPr>
      </w:pPr>
      <w:bookmarkStart w:id="171" w:name="_Toc375040861"/>
      <w:bookmarkStart w:id="172" w:name="_Toc473795984"/>
      <w:r>
        <w:rPr>
          <w:rStyle w:val="CharSectno"/>
        </w:rPr>
        <w:t>46</w:t>
      </w:r>
      <w:r>
        <w:rPr>
          <w:snapToGrid w:val="0"/>
        </w:rPr>
        <w:t>.</w:t>
      </w:r>
      <w:r>
        <w:rPr>
          <w:snapToGrid w:val="0"/>
        </w:rPr>
        <w:tab/>
        <w:t>Information confidential</w:t>
      </w:r>
      <w:bookmarkEnd w:id="171"/>
      <w:bookmarkEnd w:id="172"/>
      <w:r>
        <w:rPr>
          <w:snapToGrid w:val="0"/>
        </w:rPr>
        <w:t xml:space="preserve"> </w:t>
      </w:r>
    </w:p>
    <w:p>
      <w:pPr>
        <w:pStyle w:val="Subsection"/>
      </w:pPr>
      <w:r>
        <w:tab/>
        <w:t>(1)</w:t>
      </w:r>
      <w:r>
        <w:tab/>
        <w:t>Subsection </w:t>
      </w:r>
      <w:r>
        <w:rPr>
          <w:rStyle w:val="CharSectno"/>
        </w:rPr>
        <w:t xml:space="preserve">(2) </w:t>
      </w:r>
      <w:r>
        <w:t xml:space="preserve">applies to a person who is or has been — </w:t>
      </w:r>
    </w:p>
    <w:p>
      <w:pPr>
        <w:pStyle w:val="Indenta"/>
        <w:rPr>
          <w:snapToGrid w:val="0"/>
        </w:rPr>
      </w:pPr>
      <w:r>
        <w:rPr>
          <w:snapToGrid w:val="0"/>
        </w:rPr>
        <w:tab/>
        <w:t>(a)</w:t>
      </w:r>
      <w:r>
        <w:rPr>
          <w:snapToGrid w:val="0"/>
        </w:rPr>
        <w:tab/>
        <w:t>the Auditor General; or</w:t>
      </w:r>
    </w:p>
    <w:p>
      <w:pPr>
        <w:pStyle w:val="Indenta"/>
      </w:pPr>
      <w:r>
        <w:tab/>
        <w:t>(b)</w:t>
      </w:r>
      <w:r>
        <w:tab/>
      </w:r>
      <w:r>
        <w:rPr>
          <w:snapToGrid w:val="0"/>
        </w:rPr>
        <w:t>a person employed in the OAG; or</w:t>
      </w:r>
    </w:p>
    <w:p>
      <w:pPr>
        <w:pStyle w:val="Indenta"/>
        <w:rPr>
          <w:snapToGrid w:val="0"/>
        </w:rPr>
      </w:pPr>
      <w:r>
        <w:rPr>
          <w:snapToGrid w:val="0"/>
        </w:rPr>
        <w:tab/>
        <w:t>(c)</w:t>
      </w:r>
      <w:r>
        <w:rPr>
          <w:snapToGrid w:val="0"/>
        </w:rPr>
        <w:tab/>
        <w:t>a person appointed to assist the Auditor General in respect of a particular matter; or</w:t>
      </w:r>
    </w:p>
    <w:p>
      <w:pPr>
        <w:pStyle w:val="Indenta"/>
      </w:pPr>
      <w:r>
        <w:tab/>
        <w:t>(d)</w:t>
      </w:r>
      <w:r>
        <w:tab/>
      </w:r>
      <w:r>
        <w:rPr>
          <w:snapToGrid w:val="0"/>
        </w:rPr>
        <w:t>the</w:t>
      </w:r>
      <w:r>
        <w:t xml:space="preserve"> independent auditor.</w:t>
      </w:r>
    </w:p>
    <w:p>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pPr>
        <w:pStyle w:val="Indenta"/>
        <w:rPr>
          <w:snapToGrid w:val="0"/>
        </w:rPr>
      </w:pPr>
      <w:r>
        <w:rPr>
          <w:snapToGrid w:val="0"/>
        </w:rPr>
        <w:tab/>
        <w:t>(a)</w:t>
      </w:r>
      <w:r>
        <w:rPr>
          <w:snapToGrid w:val="0"/>
        </w:rPr>
        <w:tab/>
        <w:t>the administration of this Act or that other written law; or</w:t>
      </w:r>
    </w:p>
    <w:p>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pPr>
        <w:pStyle w:val="Penstart"/>
      </w:pPr>
      <w:r>
        <w:tab/>
        <w:t>Penalty: a fine of $50 000.</w:t>
      </w:r>
    </w:p>
    <w:p>
      <w:pPr>
        <w:pStyle w:val="Subsection"/>
      </w:pPr>
      <w:r>
        <w:tab/>
        <w:t>(3)</w:t>
      </w:r>
      <w:r>
        <w:tab/>
        <w:t>Subsection (2) does not apply to the communication of information to —</w:t>
      </w:r>
    </w:p>
    <w:p>
      <w:pPr>
        <w:pStyle w:val="Indenta"/>
      </w:pPr>
      <w:r>
        <w:tab/>
        <w:t>(a)</w:t>
      </w:r>
      <w:r>
        <w:tab/>
        <w:t>the Joint Standing Committee on Audit; or</w:t>
      </w:r>
    </w:p>
    <w:p>
      <w:pPr>
        <w:pStyle w:val="Indenta"/>
      </w:pPr>
      <w:r>
        <w:tab/>
        <w:t>(b)</w:t>
      </w:r>
      <w:r>
        <w:tab/>
        <w:t>the Public Accounts Committee; or</w:t>
      </w:r>
    </w:p>
    <w:p>
      <w:pPr>
        <w:pStyle w:val="Indenta"/>
      </w:pPr>
      <w:r>
        <w:tab/>
        <w:t>(c)</w:t>
      </w:r>
      <w:r>
        <w:tab/>
        <w:t>the Estimates and Financial Operations Committee.</w:t>
      </w:r>
    </w:p>
    <w:p>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pPr>
        <w:pStyle w:val="Indenta"/>
        <w:rPr>
          <w:snapToGrid w:val="0"/>
        </w:rPr>
      </w:pPr>
      <w:r>
        <w:rPr>
          <w:snapToGrid w:val="0"/>
        </w:rPr>
        <w:tab/>
        <w:t>(a)</w:t>
      </w:r>
      <w:r>
        <w:rPr>
          <w:snapToGrid w:val="0"/>
        </w:rPr>
        <w:tab/>
        <w:t>communicate any information as to those matters to any person; or</w:t>
      </w:r>
    </w:p>
    <w:p>
      <w:pPr>
        <w:pStyle w:val="Indenta"/>
        <w:rPr>
          <w:snapToGrid w:val="0"/>
        </w:rPr>
      </w:pPr>
      <w:r>
        <w:rPr>
          <w:snapToGrid w:val="0"/>
        </w:rPr>
        <w:tab/>
        <w:t>(b)</w:t>
      </w:r>
      <w:r>
        <w:rPr>
          <w:snapToGrid w:val="0"/>
        </w:rPr>
        <w:tab/>
      </w:r>
      <w:r>
        <w:t xml:space="preserve">copy or reproduce any part of the </w:t>
      </w:r>
      <w:r>
        <w:rPr>
          <w:snapToGrid w:val="0"/>
        </w:rPr>
        <w:t>summary of findings,</w:t>
      </w:r>
    </w:p>
    <w:p>
      <w:pPr>
        <w:pStyle w:val="Subsection"/>
        <w:spacing w:before="120"/>
        <w:rPr>
          <w:snapToGrid w:val="0"/>
        </w:rPr>
      </w:pPr>
      <w:r>
        <w:rPr>
          <w:snapToGrid w:val="0"/>
        </w:rPr>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pPr>
        <w:pStyle w:val="Penstart"/>
      </w:pPr>
      <w:r>
        <w:tab/>
        <w:t>Penalty: a fine of $50 000.</w:t>
      </w:r>
    </w:p>
    <w:p>
      <w:pPr>
        <w:pStyle w:val="Heading5"/>
        <w:rPr>
          <w:snapToGrid w:val="0"/>
        </w:rPr>
      </w:pPr>
      <w:bookmarkStart w:id="173" w:name="_Toc375040862"/>
      <w:bookmarkStart w:id="174" w:name="_Toc473795985"/>
      <w:r>
        <w:rPr>
          <w:rStyle w:val="CharSectno"/>
        </w:rPr>
        <w:t>47</w:t>
      </w:r>
      <w:r>
        <w:rPr>
          <w:snapToGrid w:val="0"/>
        </w:rPr>
        <w:t>.</w:t>
      </w:r>
      <w:r>
        <w:rPr>
          <w:snapToGrid w:val="0"/>
        </w:rPr>
        <w:tab/>
        <w:t>Regulations</w:t>
      </w:r>
      <w:bookmarkEnd w:id="173"/>
      <w:bookmarkEnd w:id="174"/>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Heading5"/>
      </w:pPr>
      <w:bookmarkStart w:id="175" w:name="_Toc375040863"/>
      <w:bookmarkStart w:id="176" w:name="_Toc473795986"/>
      <w:r>
        <w:rPr>
          <w:rStyle w:val="CharSectno"/>
        </w:rPr>
        <w:t>48</w:t>
      </w:r>
      <w:r>
        <w:t>.</w:t>
      </w:r>
      <w:r>
        <w:tab/>
        <w:t>Review of Act</w:t>
      </w:r>
      <w:bookmarkEnd w:id="175"/>
      <w:bookmarkEnd w:id="176"/>
    </w:p>
    <w:p>
      <w:pPr>
        <w:pStyle w:val="Subsection"/>
      </w:pPr>
      <w:r>
        <w:tab/>
        <w:t>(1)</w:t>
      </w:r>
      <w:r>
        <w:tab/>
        <w:t>The Joint Standing Committee on Audit is to carry out a review of the operation and effectiveness of this Act as soon as is practicable after —</w:t>
      </w:r>
    </w:p>
    <w:p>
      <w:pPr>
        <w:pStyle w:val="Indenta"/>
        <w:rPr>
          <w:szCs w:val="22"/>
        </w:rPr>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Joint Standing Committee on Audit is to consider and have regard to — </w:t>
      </w:r>
    </w:p>
    <w:p>
      <w:pPr>
        <w:pStyle w:val="Indenta"/>
      </w:pPr>
      <w:r>
        <w:tab/>
        <w:t>(a)</w:t>
      </w:r>
      <w:r>
        <w:tab/>
        <w:t>whether there is a need for this Act to continue; and</w:t>
      </w:r>
    </w:p>
    <w:p>
      <w:pPr>
        <w:pStyle w:val="Indenta"/>
      </w:pPr>
      <w:r>
        <w:tab/>
        <w:t>(b)</w:t>
      </w:r>
      <w:r>
        <w:tab/>
        <w:t>how the process for appointing an Auditor General has operated in practice; and</w:t>
      </w:r>
    </w:p>
    <w:p>
      <w:pPr>
        <w:pStyle w:val="Indenta"/>
      </w:pPr>
      <w:r>
        <w:tab/>
        <w:t>(c)</w:t>
      </w:r>
      <w:r>
        <w:tab/>
        <w:t>whether the Auditor General’s information gathering powers are adequate, particularly in relation to claims of legal professional privilege and Cabinet documents; and</w:t>
      </w:r>
    </w:p>
    <w:p>
      <w:pPr>
        <w:pStyle w:val="Indenta"/>
      </w:pPr>
      <w:r>
        <w:tab/>
        <w:t>(d)</w:t>
      </w:r>
      <w:r>
        <w:tab/>
        <w:t>the impact of any exercise of the power to audit certain accounts of related entities; and</w:t>
      </w:r>
    </w:p>
    <w:p>
      <w:pPr>
        <w:pStyle w:val="Indenta"/>
      </w:pPr>
      <w:r>
        <w:tab/>
        <w:t>(e)</w:t>
      </w:r>
      <w:r>
        <w:tab/>
        <w:t>the efficiency and effectiveness of the provisions for dealing with confidential information; and</w:t>
      </w:r>
    </w:p>
    <w:p>
      <w:pPr>
        <w:pStyle w:val="Indenta"/>
      </w:pPr>
      <w:r>
        <w:tab/>
        <w:t>(f)</w:t>
      </w:r>
      <w:r>
        <w:tab/>
        <w:t>any other matters that appear to the Joint Standing Committee on Audit to be relevant to the operation and effectiveness of this Act.</w:t>
      </w:r>
    </w:p>
    <w:p>
      <w:pPr>
        <w:pStyle w:val="Subsection"/>
        <w:spacing w:before="0"/>
        <w:rPr>
          <w:szCs w:val="22"/>
        </w:rPr>
      </w:pPr>
      <w:r>
        <w:tab/>
        <w:t>(3)</w:t>
      </w:r>
      <w:r>
        <w:tab/>
      </w:r>
      <w:r>
        <w:rPr>
          <w:szCs w:val="22"/>
        </w:rPr>
        <w:t xml:space="preserve">For the purposes of subsection (1), the Joint Standing Committee on Audit is to appoint a suitably qualified person (the </w:t>
      </w:r>
      <w:r>
        <w:rPr>
          <w:rStyle w:val="CharDefText"/>
          <w:szCs w:val="22"/>
        </w:rPr>
        <w:t>reviewer</w:t>
      </w:r>
      <w:r>
        <w:rPr>
          <w:szCs w:val="22"/>
        </w:rPr>
        <w:t xml:space="preserve">) to conduct a review (a </w:t>
      </w:r>
      <w:r>
        <w:rPr>
          <w:rStyle w:val="CharDefText"/>
          <w:szCs w:val="22"/>
        </w:rPr>
        <w:t>performance and legislative review</w:t>
      </w:r>
      <w:r>
        <w:rPr>
          <w:szCs w:val="22"/>
        </w:rPr>
        <w:t xml:space="preserve">) as to such matters relating to — </w:t>
      </w:r>
    </w:p>
    <w:p>
      <w:pPr>
        <w:pStyle w:val="Indenta"/>
        <w:rPr>
          <w:szCs w:val="22"/>
        </w:rPr>
      </w:pPr>
      <w:r>
        <w:rPr>
          <w:szCs w:val="22"/>
        </w:rPr>
        <w:tab/>
        <w:t>(a)</w:t>
      </w:r>
      <w:r>
        <w:rPr>
          <w:szCs w:val="22"/>
        </w:rPr>
        <w:tab/>
        <w:t>the operation and effectiveness of this Act; and</w:t>
      </w:r>
    </w:p>
    <w:p>
      <w:pPr>
        <w:pStyle w:val="Indenta"/>
        <w:rPr>
          <w:szCs w:val="22"/>
        </w:rPr>
      </w:pPr>
      <w:r>
        <w:rPr>
          <w:szCs w:val="22"/>
        </w:rPr>
        <w:tab/>
        <w:t>(b)</w:t>
      </w:r>
      <w:r>
        <w:rPr>
          <w:szCs w:val="22"/>
        </w:rPr>
        <w:tab/>
        <w:t>the performance of the Auditor General’s functions by the Auditor General and the OAG,</w:t>
      </w:r>
    </w:p>
    <w:p>
      <w:pPr>
        <w:pStyle w:val="Subsection"/>
        <w:rPr>
          <w:szCs w:val="22"/>
        </w:rPr>
      </w:pPr>
      <w:r>
        <w:rPr>
          <w:szCs w:val="22"/>
        </w:rPr>
        <w:tab/>
      </w:r>
      <w:r>
        <w:rPr>
          <w:szCs w:val="22"/>
        </w:rPr>
        <w:tab/>
        <w:t>as are within the terms of reference given to the reviewer by the Joint Standing Committee on Audit.</w:t>
      </w:r>
    </w:p>
    <w:p>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pPr>
        <w:pStyle w:val="Subsection"/>
        <w:rPr>
          <w:szCs w:val="22"/>
        </w:rPr>
      </w:pPr>
      <w:r>
        <w:tab/>
        <w:t>(6)</w:t>
      </w:r>
      <w:r>
        <w:tab/>
      </w:r>
      <w:r>
        <w:rPr>
          <w:szCs w:val="22"/>
        </w:rPr>
        <w:t xml:space="preserve">Before providing the report the reviewer must — </w:t>
      </w:r>
    </w:p>
    <w:p>
      <w:pPr>
        <w:pStyle w:val="Indenta"/>
        <w:rPr>
          <w:szCs w:val="22"/>
        </w:rPr>
      </w:pPr>
      <w:r>
        <w:rPr>
          <w:szCs w:val="22"/>
        </w:rPr>
        <w:tab/>
        <w:t>(a)</w:t>
      </w:r>
      <w:r>
        <w:rPr>
          <w:szCs w:val="22"/>
        </w:rPr>
        <w:tab/>
        <w:t xml:space="preserve">give a summary of the findings of the performance and legislative review to the Auditor General; and </w:t>
      </w:r>
    </w:p>
    <w:p>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pPr>
        <w:pStyle w:val="Indenti"/>
        <w:rPr>
          <w:szCs w:val="22"/>
        </w:rPr>
      </w:pPr>
      <w:r>
        <w:rPr>
          <w:szCs w:val="22"/>
        </w:rPr>
        <w:tab/>
        <w:t>(i)</w:t>
      </w:r>
      <w:r>
        <w:rPr>
          <w:szCs w:val="22"/>
        </w:rPr>
        <w:tab/>
        <w:t>not more than 14 days after the summary of findings is given to the Auditor General; and</w:t>
      </w:r>
    </w:p>
    <w:p>
      <w:pPr>
        <w:pStyle w:val="Indenti"/>
        <w:rPr>
          <w:szCs w:val="22"/>
        </w:rPr>
      </w:pPr>
      <w:r>
        <w:rPr>
          <w:szCs w:val="22"/>
        </w:rPr>
        <w:tab/>
        <w:t>(ii)</w:t>
      </w:r>
      <w:r>
        <w:rPr>
          <w:szCs w:val="22"/>
        </w:rPr>
        <w:tab/>
        <w:t>before the report is provided to the Joint Standing Committee on Audit.</w:t>
      </w:r>
    </w:p>
    <w:p>
      <w:pPr>
        <w:pStyle w:val="Subsection"/>
      </w:pPr>
      <w:r>
        <w:tab/>
        <w:t>(7)</w:t>
      </w:r>
      <w:r>
        <w:tab/>
      </w:r>
      <w:r>
        <w:rPr>
          <w:szCs w:val="22"/>
        </w:rPr>
        <w:t>The reviewer must include in the report any submissions or comments made under subsection (6) before the specified day, or a fair summary of them.</w:t>
      </w:r>
    </w:p>
    <w:p>
      <w:pPr>
        <w:pStyle w:val="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Legislative Council and the Legislative Assembly.</w:t>
      </w:r>
    </w:p>
    <w:p>
      <w:pPr>
        <w:pStyle w:val="Subsection"/>
      </w:pPr>
      <w:r>
        <w:tab/>
        <w:t>(9)</w:t>
      </w:r>
      <w:r>
        <w:tab/>
        <w:t>The Joint Standing Committee on Audit may adopt the report provided to it by the reviewer, in whole or in part and with or without modifications, as part of the report under subsection (8).</w:t>
      </w:r>
    </w:p>
    <w:p>
      <w:pPr>
        <w:pStyle w:val="Heading2"/>
      </w:pPr>
      <w:bookmarkStart w:id="177" w:name="_Toc375040864"/>
      <w:bookmarkStart w:id="178" w:name="_Toc412629271"/>
      <w:bookmarkStart w:id="179" w:name="_Toc412630658"/>
      <w:bookmarkStart w:id="180" w:name="_Toc473723390"/>
      <w:bookmarkStart w:id="181" w:name="_Toc473723466"/>
      <w:bookmarkStart w:id="182" w:name="_Toc473795911"/>
      <w:bookmarkStart w:id="183" w:name="_Toc473795987"/>
      <w:r>
        <w:rPr>
          <w:rStyle w:val="CharPartNo"/>
        </w:rPr>
        <w:t>Part 7</w:t>
      </w:r>
      <w:r>
        <w:rPr>
          <w:rStyle w:val="CharDivNo"/>
        </w:rPr>
        <w:t> </w:t>
      </w:r>
      <w:r>
        <w:t>—</w:t>
      </w:r>
      <w:r>
        <w:rPr>
          <w:rStyle w:val="CharDivText"/>
        </w:rPr>
        <w:t> </w:t>
      </w:r>
      <w:r>
        <w:rPr>
          <w:rStyle w:val="CharPartText"/>
        </w:rPr>
        <w:t>Transitional and saving</w:t>
      </w:r>
      <w:bookmarkEnd w:id="177"/>
      <w:bookmarkEnd w:id="178"/>
      <w:bookmarkEnd w:id="179"/>
      <w:bookmarkEnd w:id="180"/>
      <w:bookmarkEnd w:id="181"/>
      <w:bookmarkEnd w:id="182"/>
      <w:bookmarkEnd w:id="183"/>
    </w:p>
    <w:p>
      <w:pPr>
        <w:pStyle w:val="Heading5"/>
      </w:pPr>
      <w:bookmarkStart w:id="184" w:name="_Toc375040865"/>
      <w:bookmarkStart w:id="185" w:name="_Toc473795988"/>
      <w:r>
        <w:rPr>
          <w:rStyle w:val="CharSectno"/>
        </w:rPr>
        <w:t>49</w:t>
      </w:r>
      <w:r>
        <w:t>.</w:t>
      </w:r>
      <w:r>
        <w:tab/>
        <w:t>Incumbent Auditor General remains in office</w:t>
      </w:r>
      <w:bookmarkEnd w:id="184"/>
      <w:bookmarkEnd w:id="185"/>
    </w:p>
    <w:p>
      <w:pPr>
        <w:pStyle w:val="Subsection"/>
      </w:pPr>
      <w:r>
        <w:tab/>
        <w:t>(1)</w:t>
      </w:r>
      <w:r>
        <w:tab/>
        <w:t xml:space="preserve">In this section — </w:t>
      </w:r>
    </w:p>
    <w:p>
      <w:pPr>
        <w:pStyle w:val="Defstart"/>
        <w:rPr>
          <w:iCs/>
        </w:rPr>
      </w:pPr>
      <w:r>
        <w:rPr>
          <w:b/>
        </w:rPr>
        <w:tab/>
      </w:r>
      <w:r>
        <w:rPr>
          <w:rStyle w:val="CharDefText"/>
        </w:rPr>
        <w:t>former office</w:t>
      </w:r>
      <w:r>
        <w:t xml:space="preserve"> means the office of Auditor General under the </w:t>
      </w:r>
      <w:r>
        <w:rPr>
          <w:i/>
        </w:rPr>
        <w:t>Financial Administration and Audit Act 1985</w:t>
      </w:r>
      <w:r>
        <w:rPr>
          <w:iCs/>
        </w:rPr>
        <w:t>.</w:t>
      </w:r>
    </w:p>
    <w:p>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pPr>
        <w:pStyle w:val="Subsection"/>
        <w:rPr>
          <w:iCs/>
        </w:rPr>
      </w:pPr>
      <w:r>
        <w:tab/>
        <w:t>(3)</w:t>
      </w:r>
      <w:r>
        <w:tab/>
        <w:t xml:space="preserve">Subsection (2) does not apply if the person resigned from the former office with effect immediately </w:t>
      </w:r>
      <w:r>
        <w:rPr>
          <w:iCs/>
        </w:rPr>
        <w:t>before the commencement of this Act.</w:t>
      </w:r>
    </w:p>
    <w:p>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pPr>
        <w:pStyle w:val="Heading5"/>
      </w:pPr>
      <w:bookmarkStart w:id="186" w:name="_Toc375040866"/>
      <w:bookmarkStart w:id="187" w:name="_Toc473795989"/>
      <w:r>
        <w:rPr>
          <w:rStyle w:val="CharSectno"/>
        </w:rPr>
        <w:t>50</w:t>
      </w:r>
      <w:r>
        <w:t>.</w:t>
      </w:r>
      <w:r>
        <w:tab/>
        <w:t>Savings of appointments of persons to audit</w:t>
      </w:r>
      <w:bookmarkEnd w:id="186"/>
      <w:bookmarkEnd w:id="187"/>
      <w:r>
        <w:t xml:space="preserve"> </w:t>
      </w:r>
    </w:p>
    <w:p>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8" w:name="_Toc473795914"/>
      <w:bookmarkStart w:id="189" w:name="_Toc473795990"/>
      <w:bookmarkStart w:id="190" w:name="_Toc375040878"/>
      <w:bookmarkStart w:id="191" w:name="_Toc412629285"/>
      <w:bookmarkStart w:id="192" w:name="_Toc412630672"/>
      <w:bookmarkStart w:id="193" w:name="_Toc473723404"/>
      <w:bookmarkStart w:id="194" w:name="_Toc473723480"/>
      <w:r>
        <w:rPr>
          <w:rStyle w:val="CharSchNo"/>
        </w:rPr>
        <w:t>Schedule 1</w:t>
      </w:r>
      <w:r>
        <w:rPr>
          <w:rStyle w:val="CharSDivNo"/>
        </w:rPr>
        <w:t> </w:t>
      </w:r>
      <w:r>
        <w:t>—</w:t>
      </w:r>
      <w:r>
        <w:rPr>
          <w:rStyle w:val="CharSDivText"/>
        </w:rPr>
        <w:t> </w:t>
      </w:r>
      <w:r>
        <w:rPr>
          <w:rStyle w:val="CharSchText"/>
        </w:rPr>
        <w:t>General provisions as to Auditor General</w:t>
      </w:r>
      <w:bookmarkEnd w:id="188"/>
      <w:bookmarkEnd w:id="189"/>
    </w:p>
    <w:p>
      <w:pPr>
        <w:pStyle w:val="yShoulderClause"/>
      </w:pPr>
      <w:r>
        <w:t>[s. 6(2), 11 and 49(2)]</w:t>
      </w:r>
    </w:p>
    <w:p>
      <w:pPr>
        <w:pStyle w:val="yHeading5"/>
      </w:pPr>
      <w:bookmarkStart w:id="195" w:name="_Toc473795991"/>
      <w:r>
        <w:rPr>
          <w:rStyle w:val="CharSClsNo"/>
        </w:rPr>
        <w:t>1</w:t>
      </w:r>
      <w:r>
        <w:t>.</w:t>
      </w:r>
      <w:r>
        <w:tab/>
        <w:t>Appointment of Auditor General</w:t>
      </w:r>
      <w:bookmarkEnd w:id="195"/>
    </w:p>
    <w:p>
      <w:pPr>
        <w:pStyle w:val="ySubsection"/>
      </w:pPr>
      <w:r>
        <w:tab/>
        <w:t>(1)</w:t>
      </w:r>
      <w:r>
        <w:tab/>
        <w:t>The Auditor General is to be appointed by the Governor on the recommendation of the Minister, and is to hold office as Auditor General in accordance with this Schedule.</w:t>
      </w:r>
    </w:p>
    <w:p>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(4)</w:t>
      </w:r>
      <w:r>
        <w:tab/>
        <w:t>Subject to this Act, a person appointed as Auditor General holds office for a term of 10 years.</w:t>
      </w:r>
    </w:p>
    <w:p>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pPr>
        <w:pStyle w:val="ySubsection"/>
      </w:pPr>
      <w:r>
        <w:tab/>
        <w:t>(6)</w:t>
      </w:r>
      <w:r>
        <w:tab/>
        <w:t>Before performing the functions of Auditor General for the first time, the Auditor General must make a declaration in the form in Schedule 2 before the Governor.</w:t>
      </w:r>
    </w:p>
    <w:p>
      <w:pPr>
        <w:pStyle w:val="yHeading5"/>
      </w:pPr>
      <w:bookmarkStart w:id="196" w:name="_Toc473795992"/>
      <w:r>
        <w:rPr>
          <w:rStyle w:val="CharSClsNo"/>
        </w:rPr>
        <w:t>2</w:t>
      </w:r>
      <w:r>
        <w:t>.</w:t>
      </w:r>
      <w:r>
        <w:tab/>
        <w:t>Remuneration</w:t>
      </w:r>
      <w:bookmarkEnd w:id="196"/>
    </w:p>
    <w:p>
      <w:pPr>
        <w:pStyle w:val="ySubsection"/>
      </w:pPr>
      <w:r>
        <w:tab/>
        <w:t>(1)</w:t>
      </w:r>
      <w:r>
        <w:tab/>
        <w:t xml:space="preserve">In this clause — </w:t>
      </w:r>
    </w:p>
    <w:p>
      <w:pPr>
        <w:pStyle w:val="yDefstart"/>
      </w:pPr>
      <w:r>
        <w:rPr>
          <w:b/>
        </w:rPr>
        <w:tab/>
      </w:r>
      <w:r>
        <w:rPr>
          <w:rStyle w:val="CharDefText"/>
        </w:rPr>
        <w:t>remuneration</w:t>
      </w:r>
      <w:r>
        <w:t xml:space="preserve"> has the meaning given to that term in the </w:t>
      </w:r>
      <w:r>
        <w:rPr>
          <w:i/>
          <w:iCs/>
        </w:rPr>
        <w:t>Salaries and Allowances Act 1975</w:t>
      </w:r>
      <w:r>
        <w:t xml:space="preserve"> section 4(1).</w:t>
      </w:r>
    </w:p>
    <w:p>
      <w:pPr>
        <w:pStyle w:val="ySubsection"/>
      </w:pPr>
      <w:r>
        <w:tab/>
        <w:t>(2)</w:t>
      </w:r>
      <w:r>
        <w:tab/>
        <w:t xml:space="preserve">The remuneration of the Auditor General is to be determined by the Salaries and Allowances Tribunal under the </w:t>
      </w:r>
      <w:r>
        <w:rPr>
          <w:i/>
          <w:iCs/>
        </w:rPr>
        <w:t>Salaries and Allowances Act 1975</w:t>
      </w:r>
      <w:r>
        <w:t>.</w:t>
      </w:r>
    </w:p>
    <w:p>
      <w:pPr>
        <w:pStyle w:val="ySubsection"/>
      </w:pPr>
      <w:r>
        <w:tab/>
        <w:t>(3)</w:t>
      </w:r>
      <w:r>
        <w:tab/>
        <w:t>The rate of remuneration of the Auditor General must not be reduced during the term of office of the Auditor General without the Auditor General’s consent.</w:t>
      </w:r>
    </w:p>
    <w:p>
      <w:pPr>
        <w:pStyle w:val="yHeading5"/>
      </w:pPr>
      <w:bookmarkStart w:id="197" w:name="_Toc473795993"/>
      <w:r>
        <w:rPr>
          <w:rStyle w:val="CharSClsNo"/>
        </w:rPr>
        <w:t>3</w:t>
      </w:r>
      <w:r>
        <w:t>.</w:t>
      </w:r>
      <w:r>
        <w:tab/>
        <w:t>Other employment</w:t>
      </w:r>
      <w:bookmarkEnd w:id="197"/>
    </w:p>
    <w:p>
      <w:pPr>
        <w:pStyle w:val="ySubsection"/>
      </w:pPr>
      <w:r>
        <w:tab/>
      </w:r>
      <w:r>
        <w:tab/>
        <w:t xml:space="preserve">The Auditor General must not, except so far as authorised so to do by another enactment or by resolutions of both Houses of Parliament — </w:t>
      </w:r>
    </w:p>
    <w:p>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pPr>
        <w:pStyle w:val="yIndenta"/>
      </w:pPr>
      <w:r>
        <w:tab/>
        <w:t>(b)</w:t>
      </w:r>
      <w:r>
        <w:tab/>
        <w:t>engage in any paid employment outside the duties of the office of Auditor General.</w:t>
      </w:r>
    </w:p>
    <w:p>
      <w:pPr>
        <w:pStyle w:val="yHeading5"/>
      </w:pPr>
      <w:bookmarkStart w:id="198" w:name="_Toc473795994"/>
      <w:r>
        <w:rPr>
          <w:rStyle w:val="CharSClsNo"/>
        </w:rPr>
        <w:t>4</w:t>
      </w:r>
      <w:r>
        <w:t>.</w:t>
      </w:r>
      <w:r>
        <w:tab/>
        <w:t>Leave and other conditions of service</w:t>
      </w:r>
      <w:bookmarkEnd w:id="198"/>
    </w:p>
    <w:p>
      <w:pPr>
        <w:pStyle w:val="ySubsection"/>
      </w:pPr>
      <w:r>
        <w:tab/>
        <w:t>(1)</w:t>
      </w:r>
      <w:r>
        <w:tab/>
        <w:t xml:space="preserve">The Governor may determine — </w:t>
      </w:r>
    </w:p>
    <w:p>
      <w:pPr>
        <w:pStyle w:val="yIndenta"/>
      </w:pPr>
      <w:r>
        <w:tab/>
        <w:t>(a)</w:t>
      </w:r>
      <w:r>
        <w:tab/>
        <w:t>the leave of absence to which the Auditor General is entitled; and</w:t>
      </w:r>
    </w:p>
    <w:p>
      <w:pPr>
        <w:pStyle w:val="yIndenta"/>
      </w:pPr>
      <w:r>
        <w:tab/>
        <w:t>(b)</w:t>
      </w:r>
      <w:r>
        <w:tab/>
        <w:t>other terms and conditions of service that apply to the Auditor General.</w:t>
      </w:r>
    </w:p>
    <w:p>
      <w:pPr>
        <w:pStyle w:val="ySubsection"/>
      </w:pPr>
      <w:r>
        <w:tab/>
        <w:t>(2)</w:t>
      </w:r>
      <w:r>
        <w:tab/>
        <w:t>Subject to any determination under subclause (1), the Auditor General is entitled to leave of absence and other conditions of service as applicable to public service officers.</w:t>
      </w:r>
    </w:p>
    <w:p>
      <w:pPr>
        <w:pStyle w:val="yHeading5"/>
      </w:pPr>
      <w:bookmarkStart w:id="199" w:name="_Toc473795995"/>
      <w:r>
        <w:rPr>
          <w:rStyle w:val="CharSClsNo"/>
        </w:rPr>
        <w:t>5</w:t>
      </w:r>
      <w:r>
        <w:t>.</w:t>
      </w:r>
      <w:r>
        <w:tab/>
        <w:t>Rights of officers preserved</w:t>
      </w:r>
      <w:bookmarkEnd w:id="199"/>
      <w:r>
        <w:t xml:space="preserve"> </w:t>
      </w:r>
    </w:p>
    <w:p>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as a public service officer and, if applicable, for the purposes of the </w:t>
      </w:r>
      <w:r>
        <w:rPr>
          <w:i/>
          <w:iCs/>
        </w:rPr>
        <w:t>Superannuation and Family Benefits Act 1938</w:t>
      </w:r>
      <w:r>
        <w:t>.</w:t>
      </w:r>
    </w:p>
    <w:p>
      <w:pPr>
        <w:pStyle w:val="ySubsection"/>
        <w:keepNext/>
        <w:keepLines/>
      </w:pPr>
      <w:r>
        <w:tab/>
        <w:t>(3)</w:t>
      </w:r>
      <w:r>
        <w:tab/>
        <w:t xml:space="preserve">If — </w:t>
      </w:r>
    </w:p>
    <w:p>
      <w:pPr>
        <w:pStyle w:val="yIndenta"/>
      </w:pPr>
      <w:r>
        <w:tab/>
        <w:t>(a)</w:t>
      </w:r>
      <w:r>
        <w:tab/>
        <w:t xml:space="preserve">a person immediately before appointment as Auditor General occupied an office under the </w:t>
      </w:r>
      <w:r>
        <w:rPr>
          <w:i/>
          <w:iCs/>
        </w:rPr>
        <w:t>Public Sector Management Act 1994</w:t>
      </w:r>
      <w:r>
        <w:t xml:space="preserve"> Part 3; and</w:t>
      </w:r>
    </w:p>
    <w:p>
      <w:pPr>
        <w:pStyle w:val="yIndenta"/>
        <w:keepNext/>
      </w:pPr>
      <w:r>
        <w:tab/>
        <w:t>(b)</w:t>
      </w:r>
      <w:r>
        <w:tab/>
        <w:t>the person’s term of office expires by effluxion of time,</w:t>
      </w:r>
    </w:p>
    <w:p>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pPr>
        <w:pStyle w:val="yHeading5"/>
      </w:pPr>
      <w:bookmarkStart w:id="200" w:name="_Toc473795996"/>
      <w:r>
        <w:rPr>
          <w:rStyle w:val="CharSClsNo"/>
        </w:rPr>
        <w:t>6</w:t>
      </w:r>
      <w:r>
        <w:t>.</w:t>
      </w:r>
      <w:r>
        <w:tab/>
        <w:t>Resignation of Auditor General</w:t>
      </w:r>
      <w:bookmarkEnd w:id="200"/>
    </w:p>
    <w:p>
      <w:pPr>
        <w:pStyle w:val="ySubsection"/>
        <w:spacing w:before="120"/>
      </w:pPr>
      <w:r>
        <w:tab/>
      </w:r>
      <w:r>
        <w:tab/>
        <w:t>The Auditor General may resign from office by giving the Governor a signed letter of resignation.</w:t>
      </w:r>
    </w:p>
    <w:p>
      <w:pPr>
        <w:pStyle w:val="yHeading5"/>
      </w:pPr>
      <w:bookmarkStart w:id="201" w:name="_Toc473795997"/>
      <w:r>
        <w:rPr>
          <w:rStyle w:val="CharSClsNo"/>
        </w:rPr>
        <w:t>7</w:t>
      </w:r>
      <w:r>
        <w:t>.</w:t>
      </w:r>
      <w:r>
        <w:tab/>
        <w:t>Removal and suspension from office</w:t>
      </w:r>
      <w:bookmarkEnd w:id="201"/>
      <w:r>
        <w:t xml:space="preserve"> </w:t>
      </w:r>
    </w:p>
    <w:p>
      <w:pPr>
        <w:pStyle w:val="ySubsection"/>
        <w:spacing w:before="120"/>
      </w:pPr>
      <w:r>
        <w:tab/>
        <w:t>(1)</w:t>
      </w:r>
      <w:r>
        <w:tab/>
        <w:t>The Auditor General may, at any time, be removed or suspended from office by the Governor on addresses from both Houses of Parliament.</w:t>
      </w:r>
    </w:p>
    <w:p>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pPr>
        <w:pStyle w:val="ySubsection"/>
        <w:spacing w:before="120"/>
      </w:pPr>
      <w:r>
        <w:tab/>
        <w:t>(3)</w:t>
      </w:r>
      <w:r>
        <w:tab/>
        <w:t xml:space="preserve">Despite subclause (1), the Governor may suspend the Auditor General from office if the Governor is satisfied that the Auditor General — </w:t>
      </w:r>
    </w:p>
    <w:p>
      <w:pPr>
        <w:pStyle w:val="yIndenta"/>
      </w:pPr>
      <w:r>
        <w:tab/>
        <w:t>(a)</w:t>
      </w:r>
      <w:r>
        <w:tab/>
        <w:t>is incapable of performing the functions of the Auditor General properly; or</w:t>
      </w:r>
    </w:p>
    <w:p>
      <w:pPr>
        <w:pStyle w:val="yIndenta"/>
      </w:pPr>
      <w:r>
        <w:tab/>
        <w:t>(b)</w:t>
      </w:r>
      <w:r>
        <w:tab/>
        <w:t>has performed the functions of the Auditor General incompetently or has neglected to perform those functions; or</w:t>
      </w:r>
    </w:p>
    <w:p>
      <w:pPr>
        <w:pStyle w:val="yIndenta"/>
      </w:pPr>
      <w:r>
        <w:tab/>
        <w:t>(c)</w:t>
      </w:r>
      <w:r>
        <w:tab/>
        <w:t>has been guilty of misconduct; or</w:t>
      </w:r>
    </w:p>
    <w:p>
      <w:pPr>
        <w:pStyle w:val="yIndenta"/>
      </w:pPr>
      <w:r>
        <w:tab/>
        <w:t>(d)</w:t>
      </w:r>
      <w:r>
        <w:tab/>
        <w:t xml:space="preserve">has contravened clause 3; or </w:t>
      </w:r>
    </w:p>
    <w:p>
      <w:pPr>
        <w:pStyle w:val="yIndenta"/>
      </w:pPr>
      <w:r>
        <w:tab/>
        <w:t>(e)</w:t>
      </w:r>
      <w:r>
        <w:tab/>
        <w:t>is an insolvent under administration as defined in the Corporations Act section 9.</w:t>
      </w:r>
    </w:p>
    <w:p>
      <w:pPr>
        <w:pStyle w:val="ySubsection"/>
        <w:spacing w:before="120"/>
      </w:pPr>
      <w:r>
        <w:tab/>
        <w:t>(4)</w:t>
      </w:r>
      <w:r>
        <w:tab/>
        <w:t>Either House of Parliament may order the Joint Standing Committee on Audit to inquire into and report on any motion for suspension or removal of the Auditor General.</w:t>
      </w:r>
    </w:p>
    <w:p>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pPr>
        <w:pStyle w:val="yIndenta"/>
      </w:pPr>
      <w:r>
        <w:tab/>
        <w:t>(a)</w:t>
      </w:r>
      <w:r>
        <w:tab/>
        <w:t>by the end of the seventh sitting day of a House of Parliament following the day of the suspension, a full statement of the grounds of the suspension has not been laid before that House; or</w:t>
      </w:r>
    </w:p>
    <w:p>
      <w:pPr>
        <w:pStyle w:val="yIndenta"/>
      </w:pPr>
      <w:r>
        <w:tab/>
        <w:t>(b)</w:t>
      </w:r>
      <w:r>
        <w:tab/>
        <w:t>by the end of the relevant day for a House of Parliament, that House has not passed an address requesting the removal of the Auditor General from office.</w:t>
      </w:r>
    </w:p>
    <w:p>
      <w:pPr>
        <w:pStyle w:val="ySubsection"/>
      </w:pPr>
      <w:r>
        <w:tab/>
        <w:t>(6)</w:t>
      </w:r>
      <w:r>
        <w:tab/>
        <w:t xml:space="preserve">In subclause (5)(b) — </w:t>
      </w:r>
    </w:p>
    <w:p>
      <w:pPr>
        <w:pStyle w:val="yDefstart"/>
      </w:pPr>
      <w:r>
        <w:rPr>
          <w:b/>
        </w:rPr>
        <w:tab/>
      </w:r>
      <w:r>
        <w:rPr>
          <w:rStyle w:val="CharDefText"/>
        </w:rPr>
        <w:t>relevant day</w:t>
      </w:r>
      <w:r>
        <w:t xml:space="preserve"> for a House of Parliament means — </w:t>
      </w:r>
    </w:p>
    <w:p>
      <w:pPr>
        <w:pStyle w:val="yDefpara"/>
      </w:pPr>
      <w:r>
        <w:tab/>
        <w:t>(a)</w:t>
      </w:r>
      <w:r>
        <w:tab/>
        <w:t>the 30th sitting day of that House following the day on which the statement referred to in subclause (5)(a) is laid before it; or</w:t>
      </w:r>
    </w:p>
    <w:p>
      <w:pPr>
        <w:pStyle w:val="yDefpara"/>
      </w:pPr>
      <w:r>
        <w:tab/>
        <w:t>(b)</w:t>
      </w:r>
      <w:r>
        <w:tab/>
        <w:t>the last day of the session during which the statement referred to in subclause (5)(a) is laid before that House, if that session ends before the sitting day referred to in paragraph (a).</w:t>
      </w:r>
    </w:p>
    <w:p>
      <w:pPr>
        <w:pStyle w:val="ySubsection"/>
      </w:pPr>
      <w:r>
        <w:tab/>
        <w:t>(7)</w:t>
      </w:r>
      <w:r>
        <w:tab/>
        <w:t xml:space="preserve">The </w:t>
      </w:r>
      <w:r>
        <w:rPr>
          <w:i/>
          <w:iCs/>
        </w:rPr>
        <w:t>Interpretation Act 1984</w:t>
      </w:r>
      <w:r>
        <w:t xml:space="preserve"> section 52 does not apply to the office of Auditor General.</w:t>
      </w:r>
    </w:p>
    <w:p>
      <w:pPr>
        <w:pStyle w:val="yHeading5"/>
      </w:pPr>
      <w:bookmarkStart w:id="202" w:name="_Toc473795998"/>
      <w:r>
        <w:rPr>
          <w:rStyle w:val="CharSClsNo"/>
        </w:rPr>
        <w:t>8</w:t>
      </w:r>
      <w:r>
        <w:t>.</w:t>
      </w:r>
      <w:r>
        <w:tab/>
        <w:t>Acting Auditor General</w:t>
      </w:r>
      <w:bookmarkEnd w:id="202"/>
      <w:r>
        <w:t xml:space="preserve"> </w:t>
      </w:r>
    </w:p>
    <w:p>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pPr>
        <w:pStyle w:val="yIndenta"/>
      </w:pPr>
      <w:r>
        <w:tab/>
        <w:t>(a)</w:t>
      </w:r>
      <w:r>
        <w:tab/>
        <w:t>that office is vacant; or</w:t>
      </w:r>
    </w:p>
    <w:p>
      <w:pPr>
        <w:pStyle w:val="yIndenta"/>
      </w:pPr>
      <w:r>
        <w:tab/>
        <w:t>(b)</w:t>
      </w:r>
      <w:r>
        <w:tab/>
        <w:t>the Auditor General is absent from duty, suspended from that office under clause 7 or unable to perform the functions of that office for any other reason.</w:t>
      </w:r>
    </w:p>
    <w:p>
      <w:pPr>
        <w:pStyle w:val="ySubsection"/>
      </w:pPr>
      <w:r>
        <w:tab/>
        <w:t>(2)</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(3)</w:t>
      </w:r>
      <w:r>
        <w:tab/>
        <w:t>Before performing the functions of Auditor General for the first time, an Acting Auditor General must make a declaration in the form in Schedule 2 before the Governor.</w:t>
      </w:r>
    </w:p>
    <w:p>
      <w:pPr>
        <w:pStyle w:val="ySubsection"/>
      </w:pPr>
      <w:r>
        <w:tab/>
        <w:t>(4)</w:t>
      </w:r>
      <w:r>
        <w:tab/>
        <w:t xml:space="preserve">While an Acting Auditor General is acting in the office of Auditor General — </w:t>
      </w:r>
    </w:p>
    <w:p>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pPr>
        <w:pStyle w:val="yIndenta"/>
        <w:spacing w:before="60"/>
      </w:pPr>
      <w:r>
        <w:tab/>
        <w:t>(c)</w:t>
      </w:r>
      <w:r>
        <w:tab/>
        <w:t>the Acting Auditor General has the same immunities and independence as the Auditor General.</w:t>
      </w:r>
    </w:p>
    <w:p>
      <w:pPr>
        <w:pStyle w:val="ySubsection"/>
        <w:spacing w:before="120"/>
      </w:pPr>
      <w:r>
        <w:tab/>
        <w:t>(5)</w:t>
      </w:r>
      <w:r>
        <w:tab/>
        <w:t>Clauses 2 to 7 apply to an Acting Auditor General.</w:t>
      </w:r>
    </w:p>
    <w:p>
      <w:pPr>
        <w:pStyle w:val="yHeading5"/>
      </w:pPr>
      <w:bookmarkStart w:id="203" w:name="_Toc473795999"/>
      <w:r>
        <w:rPr>
          <w:rStyle w:val="CharSClsNo"/>
        </w:rPr>
        <w:t>9</w:t>
      </w:r>
      <w:r>
        <w:t>.</w:t>
      </w:r>
      <w:r>
        <w:tab/>
        <w:t>Deputy Auditor General, or acting Deputy Auditor General, may act as Auditor General</w:t>
      </w:r>
      <w:bookmarkEnd w:id="203"/>
    </w:p>
    <w:p>
      <w:pPr>
        <w:pStyle w:val="ySubsection"/>
        <w:spacing w:before="120"/>
      </w:pPr>
      <w:r>
        <w:tab/>
        <w:t>(1)</w:t>
      </w:r>
      <w:r>
        <w:tab/>
        <w:t xml:space="preserve">In this clause — </w:t>
      </w:r>
    </w:p>
    <w:p>
      <w:pPr>
        <w:pStyle w:val="yDefstart"/>
        <w:spacing w:before="60"/>
      </w:pPr>
      <w:r>
        <w:rPr>
          <w:b/>
        </w:rPr>
        <w:tab/>
      </w:r>
      <w:r>
        <w:rPr>
          <w:rStyle w:val="CharDefText"/>
        </w:rPr>
        <w:t>Deputy Auditor General</w:t>
      </w:r>
      <w:r>
        <w:t xml:space="preserve"> means the person holding the office referred to in section 10(1).</w:t>
      </w:r>
    </w:p>
    <w:p>
      <w:pPr>
        <w:pStyle w:val="ySubsection"/>
      </w:pPr>
      <w:r>
        <w:tab/>
        <w:t>(2)</w:t>
      </w:r>
      <w:r>
        <w:tab/>
        <w:t xml:space="preserve">Subject to subclauses (3) and (4), the Deputy Auditor General is to act in the office of Auditor General during any period when — </w:t>
      </w:r>
    </w:p>
    <w:p>
      <w:pPr>
        <w:pStyle w:val="yIndenta"/>
        <w:spacing w:before="60"/>
      </w:pPr>
      <w:r>
        <w:tab/>
        <w:t>(a)</w:t>
      </w:r>
      <w:r>
        <w:tab/>
        <w:t>that office is vacant; or</w:t>
      </w:r>
    </w:p>
    <w:p>
      <w:pPr>
        <w:pStyle w:val="yIndenta"/>
        <w:spacing w:before="60"/>
      </w:pPr>
      <w:r>
        <w:tab/>
        <w:t>(b)</w:t>
      </w:r>
      <w:r>
        <w:tab/>
        <w:t>the Auditor General is absent from duty, suspended from office under clause 7 or unable to perform the functions of Auditor General for any other reason.</w:t>
      </w:r>
    </w:p>
    <w:p>
      <w:pPr>
        <w:pStyle w:val="ySubsection"/>
        <w:spacing w:before="120"/>
      </w:pPr>
      <w:r>
        <w:tab/>
        <w:t>(3)</w:t>
      </w:r>
      <w:r>
        <w:tab/>
        <w:t>Subject to subclause (4), if during a period mentioned in subclause (2) —</w:t>
      </w:r>
    </w:p>
    <w:p>
      <w:pPr>
        <w:pStyle w:val="yIndenta"/>
        <w:spacing w:before="60"/>
      </w:pPr>
      <w:r>
        <w:tab/>
        <w:t>(a)</w:t>
      </w:r>
      <w:r>
        <w:tab/>
        <w:t xml:space="preserve">the office referred to in section 10(1) is vacant; or </w:t>
      </w:r>
    </w:p>
    <w:p>
      <w:pPr>
        <w:pStyle w:val="yIndenta"/>
        <w:spacing w:before="60"/>
      </w:pPr>
      <w:r>
        <w:tab/>
        <w:t>(b)</w:t>
      </w:r>
      <w:r>
        <w:tab/>
        <w:t xml:space="preserve">the Deputy Auditor General is absent from duty or unable to perform the functions of Auditor General for any other reason, </w:t>
      </w:r>
    </w:p>
    <w:p>
      <w:pPr>
        <w:pStyle w:val="ySubsection"/>
        <w:spacing w:before="120"/>
      </w:pPr>
      <w:r>
        <w:tab/>
      </w:r>
      <w:r>
        <w:tab/>
        <w:t>the person who would otherwise act in the office referred to in section 10(1) is to act in the office of Auditor General.</w:t>
      </w:r>
    </w:p>
    <w:p>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pPr>
        <w:pStyle w:val="ySubsection"/>
      </w:pPr>
      <w:r>
        <w:tab/>
        <w:t>(5)</w:t>
      </w:r>
      <w:r>
        <w:tab/>
        <w:t xml:space="preserve">While a person is acting in the office of Auditor General under subclause (2) or (3) — </w:t>
      </w:r>
    </w:p>
    <w:p>
      <w:pPr>
        <w:pStyle w:val="yIndenta"/>
      </w:pPr>
      <w:r>
        <w:tab/>
        <w:t>(a)</w:t>
      </w:r>
      <w:r>
        <w:tab/>
        <w:t>the person is to perform all the functions of the Auditor General and any act or thing done by the person in that performance has the like effect as if it were done by the Auditor General; and</w:t>
      </w:r>
    </w:p>
    <w:p>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pPr>
        <w:pStyle w:val="yIndenta"/>
      </w:pPr>
      <w:r>
        <w:tab/>
        <w:t>(c)</w:t>
      </w:r>
      <w:r>
        <w:tab/>
        <w:t>the person has the same immunities and independence as the Auditor General.</w:t>
      </w:r>
    </w:p>
    <w:p>
      <w:pPr>
        <w:pStyle w:val="ySubsection"/>
      </w:pPr>
      <w:r>
        <w:tab/>
        <w:t>(6)</w:t>
      </w:r>
      <w:r>
        <w:tab/>
        <w:t>Anything done by or in relation to a person purporting to act in the office of Auditor General under subclause (2) or (3) is not invalid merely because the occasion to act had not arisen or had ceased.</w:t>
      </w:r>
    </w:p>
    <w:p>
      <w:pPr>
        <w:pStyle w:val="ySubsection"/>
      </w:pPr>
      <w:r>
        <w:tab/>
        <w:t>(7)</w:t>
      </w:r>
      <w:r>
        <w:tab/>
        <w:t>Before performing the functions of the Auditor General for the first time under subclause (5)(a), a person must make a declaration in the form in Schedule 2 before the Governor.</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05" w:name="_Toc473795924"/>
      <w:bookmarkStart w:id="206" w:name="_Toc473796000"/>
      <w:r>
        <w:rPr>
          <w:rStyle w:val="CharSchNo"/>
        </w:rPr>
        <w:t>Schedule 2</w:t>
      </w:r>
      <w:r>
        <w:rPr>
          <w:rStyle w:val="CharSDivNo"/>
        </w:rPr>
        <w:t> </w:t>
      </w:r>
      <w:r>
        <w:t>—</w:t>
      </w:r>
      <w:r>
        <w:rPr>
          <w:rStyle w:val="CharSDivText"/>
        </w:rPr>
        <w:t> </w:t>
      </w:r>
      <w:r>
        <w:rPr>
          <w:rStyle w:val="CharSchText"/>
        </w:rPr>
        <w:t>Form of declaration</w:t>
      </w:r>
      <w:bookmarkEnd w:id="205"/>
      <w:bookmarkEnd w:id="206"/>
    </w:p>
    <w:p>
      <w:pPr>
        <w:pStyle w:val="yShoulderClause"/>
      </w:pPr>
      <w:r>
        <w:t>[Sch. 1 cl. 1(6), 8(3) and 9(7)]</w:t>
      </w:r>
    </w:p>
    <w:p>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pPr>
        <w:pStyle w:val="yMiscellaneousBody"/>
        <w:rPr>
          <w:snapToGrid w:val="0"/>
        </w:rPr>
      </w:pPr>
    </w:p>
    <w:p>
      <w:pPr>
        <w:pStyle w:val="yMiscellaneousBody"/>
        <w:tabs>
          <w:tab w:val="left" w:pos="480"/>
          <w:tab w:val="left" w:pos="4920"/>
        </w:tabs>
        <w:rPr>
          <w:snapToGrid w:val="0"/>
        </w:rPr>
      </w:pPr>
      <w:r>
        <w:rPr>
          <w:snapToGrid w:val="0"/>
        </w:rPr>
        <w:tab/>
        <w:t>. . . . . . . . . . . . . . . . . . . . . . . . . . . . . . . . . .</w:t>
      </w:r>
      <w:r>
        <w:rPr>
          <w:snapToGrid w:val="0"/>
        </w:rPr>
        <w:tab/>
        <w:t>. . . . . . . . . . .</w:t>
      </w:r>
    </w:p>
    <w:p>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pPr>
        <w:outlineLvl w:val="0"/>
        <w:sectPr>
          <w:headerReference w:type="default" r:id="rId26"/>
          <w:pgSz w:w="11907" w:h="16840" w:code="9"/>
          <w:pgMar w:top="2381" w:right="2410" w:bottom="3544" w:left="2410" w:header="720" w:footer="3544" w:gutter="0"/>
          <w:cols w:space="720"/>
        </w:sectPr>
      </w:pPr>
    </w:p>
    <w:p>
      <w:pPr>
        <w:pStyle w:val="nHeading2"/>
      </w:pPr>
      <w:bookmarkStart w:id="207" w:name="_Toc473795925"/>
      <w:bookmarkStart w:id="208" w:name="_Toc473796001"/>
      <w:r>
        <w:t>Notes</w:t>
      </w:r>
      <w:bookmarkEnd w:id="190"/>
      <w:bookmarkEnd w:id="191"/>
      <w:bookmarkEnd w:id="192"/>
      <w:bookmarkEnd w:id="193"/>
      <w:bookmarkEnd w:id="194"/>
      <w:bookmarkEnd w:id="207"/>
      <w:bookmarkEnd w:id="208"/>
    </w:p>
    <w:p>
      <w:pPr>
        <w:pStyle w:val="nSubsection"/>
        <w:rPr>
          <w:snapToGrid w:val="0"/>
        </w:rPr>
      </w:pPr>
      <w:r>
        <w:rPr>
          <w:snapToGrid w:val="0"/>
          <w:vertAlign w:val="superscript"/>
        </w:rPr>
        <w:t>1</w:t>
      </w:r>
      <w:r>
        <w:rPr>
          <w:snapToGrid w:val="0"/>
        </w:rPr>
        <w:tab/>
        <w:t xml:space="preserve">This is a compilation of the </w:t>
      </w:r>
      <w:r>
        <w:rPr>
          <w:i/>
          <w:snapToGrid w:val="0"/>
        </w:rPr>
        <w:t>Auditor General Act 2006</w:t>
      </w:r>
      <w:r>
        <w:rPr>
          <w:iCs/>
          <w:snapToGrid w:val="0"/>
        </w:rPr>
        <w:t xml:space="preserve"> </w:t>
      </w:r>
      <w:r>
        <w:rPr>
          <w:snapToGrid w:val="0"/>
        </w:rPr>
        <w:t>and includes the amendments made by the other written laws referred to in the following table.</w:t>
      </w:r>
    </w:p>
    <w:p>
      <w:pPr>
        <w:pStyle w:val="nHeading3"/>
        <w:rPr>
          <w:snapToGrid w:val="0"/>
        </w:rPr>
      </w:pPr>
      <w:bookmarkStart w:id="209" w:name="_Toc375040879"/>
      <w:bookmarkStart w:id="210" w:name="_Toc473796002"/>
      <w:r>
        <w:rPr>
          <w:snapToGrid w:val="0"/>
        </w:rPr>
        <w:t>Compilation table</w:t>
      </w:r>
      <w:bookmarkEnd w:id="209"/>
      <w:bookmarkEnd w:id="2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Auditor General Act 2006</w:t>
            </w:r>
            <w:r>
              <w:rPr>
                <w:iCs/>
                <w:snapToGrid w:val="0"/>
              </w:rPr>
              <w:t xml:space="preserve"> </w:t>
            </w:r>
          </w:p>
        </w:tc>
        <w:tc>
          <w:tcPr>
            <w:tcW w:w="1134" w:type="dxa"/>
            <w:tcBorders>
              <w:bottom w:val="nil"/>
            </w:tcBorders>
          </w:tcPr>
          <w:p>
            <w:pPr>
              <w:pStyle w:val="nTable"/>
              <w:spacing w:after="40"/>
            </w:pPr>
            <w:r>
              <w:t>75 of 2006</w:t>
            </w:r>
          </w:p>
        </w:tc>
        <w:tc>
          <w:tcPr>
            <w:tcW w:w="1134" w:type="dxa"/>
            <w:tcBorders>
              <w:bottom w:val="nil"/>
            </w:tcBorders>
          </w:tcPr>
          <w:p>
            <w:pPr>
              <w:pStyle w:val="nTable"/>
              <w:spacing w:after="40"/>
            </w:pPr>
            <w:r>
              <w:t>21 Dec 2006</w:t>
            </w:r>
          </w:p>
        </w:tc>
        <w:tc>
          <w:tcPr>
            <w:tcW w:w="2552" w:type="dxa"/>
            <w:tcBorders>
              <w:bottom w:val="nil"/>
            </w:tcBorders>
          </w:tcPr>
          <w:p>
            <w:pPr>
              <w:pStyle w:val="nTable"/>
              <w:spacing w:after="40"/>
            </w:pPr>
            <w:r>
              <w:t xml:space="preserve">1 Feb 2007 (see s. 2 and </w:t>
            </w:r>
            <w:r>
              <w:rPr>
                <w:i/>
                <w:iCs/>
              </w:rPr>
              <w:t>Gazette</w:t>
            </w:r>
            <w:r>
              <w:t xml:space="preserve"> 19 Jan 2007 p. 137)</w:t>
            </w:r>
          </w:p>
        </w:tc>
      </w:tr>
      <w:tr>
        <w:tc>
          <w:tcPr>
            <w:tcW w:w="2268" w:type="dxa"/>
            <w:tcBorders>
              <w:top w:val="nil"/>
            </w:tcBorders>
          </w:tcPr>
          <w:p>
            <w:pPr>
              <w:pStyle w:val="nTable"/>
              <w:spacing w:after="40"/>
              <w:rPr>
                <w:i/>
                <w:snapToGrid w:val="0"/>
              </w:rPr>
            </w:pPr>
            <w:r>
              <w:rPr>
                <w:i/>
                <w:snapToGrid w:val="0"/>
              </w:rPr>
              <w:t>Public Sector Reform Act 2010</w:t>
            </w:r>
            <w:r>
              <w:rPr>
                <w:iCs/>
                <w:snapToGrid w:val="0"/>
              </w:rPr>
              <w:t xml:space="preserve"> s. 72</w:t>
            </w:r>
          </w:p>
        </w:tc>
        <w:tc>
          <w:tcPr>
            <w:tcW w:w="1134" w:type="dxa"/>
            <w:tcBorders>
              <w:top w:val="nil"/>
            </w:tcBorders>
          </w:tcPr>
          <w:p>
            <w:pPr>
              <w:pStyle w:val="nTable"/>
              <w:spacing w:after="40"/>
            </w:pPr>
            <w:r>
              <w:rPr>
                <w:snapToGrid w:val="0"/>
              </w:rPr>
              <w:t>39 of 2010</w:t>
            </w:r>
          </w:p>
        </w:tc>
        <w:tc>
          <w:tcPr>
            <w:tcW w:w="1134" w:type="dxa"/>
            <w:tcBorders>
              <w:top w:val="nil"/>
            </w:tcBorders>
          </w:tcPr>
          <w:p>
            <w:pPr>
              <w:pStyle w:val="nTable"/>
              <w:spacing w:after="40"/>
            </w:pPr>
            <w:r>
              <w:t>1 Oct 2010</w:t>
            </w:r>
          </w:p>
        </w:tc>
        <w:tc>
          <w:tcPr>
            <w:tcW w:w="2552" w:type="dxa"/>
            <w:tcBorders>
              <w:top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12" w:name="_Toc412630674"/>
      <w:bookmarkStart w:id="213" w:name="_Toc473723406"/>
      <w:bookmarkStart w:id="214" w:name="_Toc473723482"/>
      <w:bookmarkStart w:id="215" w:name="_Toc473795927"/>
      <w:bookmarkStart w:id="216" w:name="_Toc473796003"/>
      <w:r>
        <w:rPr>
          <w:sz w:val="28"/>
        </w:rPr>
        <w:t>Defined terms</w:t>
      </w:r>
      <w:bookmarkEnd w:id="212"/>
      <w:bookmarkEnd w:id="213"/>
      <w:bookmarkEnd w:id="214"/>
      <w:bookmarkEnd w:id="215"/>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accountable authority</w:t>
      </w:r>
      <w:r>
        <w:tab/>
        <w:t>4(3)</w:t>
      </w:r>
    </w:p>
    <w:p>
      <w:pPr>
        <w:pStyle w:val="DefinedTerms"/>
      </w:pPr>
      <w:r>
        <w:t>accounts</w:t>
      </w:r>
      <w:r>
        <w:tab/>
        <w:t>4(1)</w:t>
      </w:r>
    </w:p>
    <w:p>
      <w:pPr>
        <w:pStyle w:val="DefinedTerms"/>
      </w:pPr>
      <w:r>
        <w:t>agency</w:t>
      </w:r>
      <w:r>
        <w:tab/>
        <w:t>4(3)</w:t>
      </w:r>
    </w:p>
    <w:p>
      <w:pPr>
        <w:pStyle w:val="DefinedTerms"/>
      </w:pPr>
      <w:r>
        <w:t>audit</w:t>
      </w:r>
      <w:r>
        <w:tab/>
        <w:t>4(1)</w:t>
      </w:r>
    </w:p>
    <w:p>
      <w:pPr>
        <w:pStyle w:val="DefinedTerms"/>
      </w:pPr>
      <w:r>
        <w:t>audited local subsidiary</w:t>
      </w:r>
      <w:r>
        <w:tab/>
        <w:t>18(1)</w:t>
      </w:r>
    </w:p>
    <w:p>
      <w:pPr>
        <w:pStyle w:val="DefinedTerms"/>
      </w:pPr>
      <w:r>
        <w:t>Auditing and Assurance Standards</w:t>
      </w:r>
      <w:r>
        <w:tab/>
        <w:t>4(1)</w:t>
      </w:r>
    </w:p>
    <w:p>
      <w:pPr>
        <w:pStyle w:val="DefinedTerms"/>
      </w:pPr>
      <w:r>
        <w:t>Auditor General’s responsibilities</w:t>
      </w:r>
      <w:r>
        <w:tab/>
        <w:t>23(1)</w:t>
      </w:r>
    </w:p>
    <w:p>
      <w:pPr>
        <w:pStyle w:val="DefinedTerms"/>
      </w:pPr>
      <w:r>
        <w:t>authorised person</w:t>
      </w:r>
      <w:r>
        <w:tab/>
        <w:t>4(1), 33</w:t>
      </w:r>
    </w:p>
    <w:p>
      <w:pPr>
        <w:pStyle w:val="DefinedTerms"/>
      </w:pPr>
      <w:r>
        <w:t>controls</w:t>
      </w:r>
      <w:r>
        <w:tab/>
        <w:t>15(4), 40(3)</w:t>
      </w:r>
    </w:p>
    <w:p>
      <w:pPr>
        <w:pStyle w:val="DefinedTerms"/>
      </w:pPr>
      <w:r>
        <w:t>Corporations Act</w:t>
      </w:r>
      <w:r>
        <w:tab/>
        <w:t>4(1)</w:t>
      </w:r>
    </w:p>
    <w:p>
      <w:pPr>
        <w:pStyle w:val="DefinedTerms"/>
      </w:pPr>
      <w:r>
        <w:t>Deputy Auditor General</w:t>
      </w:r>
      <w:r>
        <w:tab/>
        <w:t>Sch. 1 cl. 9(1)</w:t>
      </w:r>
    </w:p>
    <w:p>
      <w:pPr>
        <w:pStyle w:val="DefinedTerms"/>
      </w:pPr>
      <w:r>
        <w:t>Estimates and Financial Operations Committee</w:t>
      </w:r>
      <w:r>
        <w:tab/>
        <w:t>4(1)</w:t>
      </w:r>
    </w:p>
    <w:p>
      <w:pPr>
        <w:pStyle w:val="DefinedTerms"/>
      </w:pPr>
      <w:r>
        <w:t>foreign subsidiary</w:t>
      </w:r>
      <w:r>
        <w:tab/>
        <w:t>16(1)</w:t>
      </w:r>
    </w:p>
    <w:p>
      <w:pPr>
        <w:pStyle w:val="DefinedTerms"/>
      </w:pPr>
      <w:r>
        <w:t>former office</w:t>
      </w:r>
      <w:r>
        <w:tab/>
        <w:t>49(1)</w:t>
      </w:r>
    </w:p>
    <w:p>
      <w:pPr>
        <w:pStyle w:val="DefinedTerms"/>
      </w:pPr>
      <w:r>
        <w:t>independent auditor</w:t>
      </w:r>
      <w:r>
        <w:tab/>
        <w:t>4(1), 38(2)</w:t>
      </w:r>
    </w:p>
    <w:p>
      <w:pPr>
        <w:pStyle w:val="DefinedTerms"/>
      </w:pPr>
      <w:r>
        <w:t>Joint Standing Committee on Audit</w:t>
      </w:r>
      <w:r>
        <w:tab/>
        <w:t>4(1)</w:t>
      </w:r>
    </w:p>
    <w:p>
      <w:pPr>
        <w:pStyle w:val="DefinedTerms"/>
      </w:pPr>
      <w:r>
        <w:t>local subsidiary</w:t>
      </w:r>
      <w:r>
        <w:tab/>
        <w:t>16(1)</w:t>
      </w:r>
    </w:p>
    <w:p>
      <w:pPr>
        <w:pStyle w:val="DefinedTerms"/>
      </w:pPr>
      <w:r>
        <w:t>OAG</w:t>
      </w:r>
      <w:r>
        <w:tab/>
        <w:t>4(1)</w:t>
      </w:r>
    </w:p>
    <w:p>
      <w:pPr>
        <w:pStyle w:val="DefinedTerms"/>
      </w:pPr>
      <w:r>
        <w:t>Parliament</w:t>
      </w:r>
      <w:r>
        <w:tab/>
        <w:t>7(4)</w:t>
      </w:r>
    </w:p>
    <w:p>
      <w:pPr>
        <w:pStyle w:val="DefinedTerms"/>
      </w:pPr>
      <w:r>
        <w:t>performance and legislative review</w:t>
      </w:r>
      <w:r>
        <w:tab/>
        <w:t>48(3)</w:t>
      </w:r>
    </w:p>
    <w:p>
      <w:pPr>
        <w:pStyle w:val="DefinedTerms"/>
      </w:pPr>
      <w:r>
        <w:t>premises</w:t>
      </w:r>
      <w:r>
        <w:tab/>
        <w:t>35(1)</w:t>
      </w:r>
    </w:p>
    <w:p>
      <w:pPr>
        <w:pStyle w:val="DefinedTerms"/>
      </w:pPr>
      <w:r>
        <w:t>Public Accounts Committee</w:t>
      </w:r>
      <w:r>
        <w:tab/>
        <w:t>4(1)</w:t>
      </w:r>
    </w:p>
    <w:p>
      <w:pPr>
        <w:pStyle w:val="DefinedTerms"/>
      </w:pPr>
      <w:r>
        <w:t>public service officer</w:t>
      </w:r>
      <w:r>
        <w:tab/>
        <w:t>4(1)</w:t>
      </w:r>
    </w:p>
    <w:p>
      <w:pPr>
        <w:pStyle w:val="DefinedTerms"/>
      </w:pPr>
      <w:r>
        <w:t>related entity</w:t>
      </w:r>
      <w:r>
        <w:tab/>
        <w:t>4(1), 17(1)</w:t>
      </w:r>
    </w:p>
    <w:p>
      <w:pPr>
        <w:pStyle w:val="DefinedTerms"/>
      </w:pPr>
      <w:r>
        <w:t>relevant day</w:t>
      </w:r>
      <w:r>
        <w:tab/>
        <w:t>Sch. 1 cl. 7(6)</w:t>
      </w:r>
    </w:p>
    <w:p>
      <w:pPr>
        <w:pStyle w:val="DefinedTerms"/>
      </w:pPr>
      <w:r>
        <w:t>remuneration</w:t>
      </w:r>
      <w:r>
        <w:tab/>
        <w:t>Sch. 1 cl. 2(1)</w:t>
      </w:r>
    </w:p>
    <w:p>
      <w:pPr>
        <w:pStyle w:val="DefinedTerms"/>
      </w:pPr>
      <w:r>
        <w:t>reviewer</w:t>
      </w:r>
      <w:r>
        <w:tab/>
        <w:t>48(3)</w:t>
      </w:r>
    </w:p>
    <w:p>
      <w:pPr>
        <w:pStyle w:val="DefinedTerms"/>
      </w:pPr>
      <w:r>
        <w:t>subsidiary body</w:t>
      </w:r>
      <w:r>
        <w:tab/>
        <w:t>4(3)</w:t>
      </w:r>
    </w:p>
    <w:p>
      <w:pPr>
        <w:pStyle w:val="DefinedTerms"/>
      </w:pPr>
      <w:r>
        <w:t>written authority</w:t>
      </w:r>
      <w:r>
        <w:tab/>
        <w:t>35(1)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04" w:name="Schedule"/>
    <w:bookmarkEnd w:id="2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General provisions as to Auditor General</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612"/>
    <w:docVar w:name="WAFER_20131217103925" w:val="RemoveTocBookmarks,RemoveUnusedBookmarks,RemoveLanguageTags,UsedStyles,ResetPageSize,UpdateArrangement"/>
    <w:docVar w:name="WAFER_20131217103925_GUID" w:val="050e9a9b-2e79-4eb7-9a8f-dc037823e708"/>
    <w:docVar w:name="WAFER_20150225115248" w:val="ResetPageSize,UpdateArrangement,UpdateNTable"/>
    <w:docVar w:name="WAFER_20150225115248_GUID" w:val="ccfca077-6e0c-4451-a1be-e25505efff29"/>
    <w:docVar w:name="WAFER_20151102120035" w:val="UpdateStyles,UsedStyles"/>
    <w:docVar w:name="WAFER_20151102120035_GUID" w:val="cfbec126-0fbb-4aaf-8c41-1ffd62b2cc9c"/>
    <w:docVar w:name="WAFER_20151102120051" w:val="UpdateStyles,UsedStyles"/>
    <w:docVar w:name="WAFER_20151102120051_GUID" w:val="9cfe2ec9-c2e1-4f89-a4a3-8eeb5e618e26"/>
    <w:docVar w:name="WAFER_20151130153612" w:val="RemoveTrackChanges"/>
    <w:docVar w:name="WAFER_20151130153612_GUID" w:val="a7ca6098-fc8a-4a84-ad05-aa86c6c6ad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9191</Words>
  <Characters>45040</Characters>
  <Application>Microsoft Office Word</Application>
  <DocSecurity>0</DocSecurity>
  <Lines>1185</Lines>
  <Paragraphs>704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The Auditor General and Deputy Auditor General</vt:lpstr>
      <vt:lpstr>    Part 3 — Auditing and other functions of Auditor General</vt:lpstr>
      <vt:lpstr>        Division 1 — Functions as to the State, agencies, subsidiary bodies and related </vt:lpstr>
      <vt:lpstr>        Division 2 — Other audits, services and functions</vt:lpstr>
      <vt:lpstr>        Division 3 — Reporting to Parliament</vt:lpstr>
      <vt:lpstr>    Part 4 — Powers and duties of Auditor General</vt:lpstr>
      <vt:lpstr>        Division 1 — Powers and duties generally</vt:lpstr>
      <vt:lpstr>        Division 2 — Information gathering powers</vt:lpstr>
      <vt:lpstr>    Part 5 — Independent auditing of the OAG</vt:lpstr>
      <vt:lpstr>    Part 6 — Miscellaneous</vt:lpstr>
      <vt:lpstr>    Part 7 — Transitional and saving</vt:lpstr>
      <vt:lpstr>    Schedule 1 — General provisions as to Auditor General</vt:lpstr>
      <vt:lpstr>    Schedule 2 — Form of declaration</vt:lpstr>
      <vt:lpstr>    Notes</vt:lpstr>
    </vt:vector>
  </TitlesOfParts>
  <Manager/>
  <Company/>
  <LinksUpToDate>false</LinksUpToDate>
  <CharactersWithSpaces>53527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2006 - 00-e0-08</dc:title>
  <dc:subject/>
  <dc:creator/>
  <cp:keywords/>
  <dc:description/>
  <cp:lastModifiedBy>svcMRProcess</cp:lastModifiedBy>
  <cp:revision>4</cp:revision>
  <cp:lastPrinted>2006-12-22T03:13:00Z</cp:lastPrinted>
  <dcterms:created xsi:type="dcterms:W3CDTF">2019-01-23T04:30:00Z</dcterms:created>
  <dcterms:modified xsi:type="dcterms:W3CDTF">2019-01-23T04:30:00Z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CommencementDate">
    <vt:lpwstr>20101201</vt:lpwstr>
  </property>
  <property fmtid="{D5CDD505-2E9C-101B-9397-08002B2CF9AE}" pid="4" name="OwlsUID">
    <vt:i4>146605</vt:i4>
  </property>
  <property fmtid="{D5CDD505-2E9C-101B-9397-08002B2CF9AE}" pid="5" name="DocumentType">
    <vt:lpwstr>Act</vt:lpwstr>
  </property>
  <property fmtid="{D5CDD505-2E9C-101B-9397-08002B2CF9AE}" pid="6" name="AsAtDate">
    <vt:lpwstr>01 Dec 2010</vt:lpwstr>
  </property>
  <property fmtid="{D5CDD505-2E9C-101B-9397-08002B2CF9AE}" pid="7" name="Suffix">
    <vt:lpwstr>00-e0-08</vt:lpwstr>
  </property>
</Properties>
</file>