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The Tribunal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_Toc278968748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_Toc278968749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_Toc278968750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Establishment of Tribunal</w:t>
      </w:r>
      <w:r>
        <w:tab/>
      </w:r>
      <w:r>
        <w:fldChar w:fldCharType="begin"/>
      </w:r>
      <w:r>
        <w:instrText xml:space="preserve"> PAGEREF _Toc278968751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Inquiry into and determination of remuneration of Governor</w:t>
      </w:r>
      <w:r>
        <w:tab/>
      </w:r>
      <w:r>
        <w:fldChar w:fldCharType="begin"/>
      </w:r>
      <w:r>
        <w:instrText xml:space="preserve"> PAGEREF _Toc278968752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Other inquiries into and determinations of remuneration</w:t>
      </w:r>
      <w:r>
        <w:tab/>
      </w:r>
      <w:r>
        <w:fldChar w:fldCharType="begin"/>
      </w:r>
      <w:r>
        <w:instrText xml:space="preserve"> PAGEREF _Toc278968753 \h </w:instrText>
      </w:r>
      <w:r>
        <w:fldChar w:fldCharType="separate"/>
      </w:r>
      <w:r>
        <w:t>6</w:t>
      </w:r>
      <w:r>
        <w:fldChar w:fldCharType="end"/>
      </w:r>
    </w:p>
    <w:p>
      <w:pPr>
        <w:pStyle w:val="TOC8"/>
        <w:rPr>
          <w:sz w:val="24"/>
          <w:szCs w:val="24"/>
        </w:rPr>
      </w:pPr>
      <w:r>
        <w:rPr>
          <w:szCs w:val="24"/>
        </w:rPr>
        <w:t>6A.</w:t>
      </w:r>
      <w:r>
        <w:rPr>
          <w:szCs w:val="24"/>
        </w:rPr>
        <w:tab/>
        <w:t xml:space="preserve">Tribunal’s functions under </w:t>
      </w:r>
      <w:r>
        <w:rPr>
          <w:i/>
          <w:szCs w:val="24"/>
        </w:rPr>
        <w:t>Parliamentary Superannuation Act 1970</w:t>
      </w:r>
      <w:r>
        <w:tab/>
      </w:r>
      <w:r>
        <w:fldChar w:fldCharType="begin"/>
      </w:r>
      <w:r>
        <w:instrText xml:space="preserve"> PAGEREF _Toc278968754 \h </w:instrText>
      </w:r>
      <w:r>
        <w:fldChar w:fldCharType="separate"/>
      </w:r>
      <w:r>
        <w:t>10</w:t>
      </w:r>
      <w:r>
        <w:fldChar w:fldCharType="end"/>
      </w:r>
    </w:p>
    <w:p>
      <w:pPr>
        <w:pStyle w:val="TOC8"/>
        <w:rPr>
          <w:sz w:val="24"/>
          <w:szCs w:val="24"/>
        </w:rPr>
      </w:pPr>
      <w:r>
        <w:rPr>
          <w:szCs w:val="24"/>
        </w:rPr>
        <w:t>6AA.</w:t>
      </w:r>
      <w:r>
        <w:rPr>
          <w:szCs w:val="24"/>
        </w:rPr>
        <w:tab/>
        <w:t>Redundancy benefits for members of Parliament</w:t>
      </w:r>
      <w:r>
        <w:tab/>
      </w:r>
      <w:r>
        <w:fldChar w:fldCharType="begin"/>
      </w:r>
      <w:r>
        <w:instrText xml:space="preserve"> PAGEREF _Toc278968755 \h </w:instrText>
      </w:r>
      <w:r>
        <w:fldChar w:fldCharType="separate"/>
      </w:r>
      <w:r>
        <w:t>10</w:t>
      </w:r>
      <w:r>
        <w:fldChar w:fldCharType="end"/>
      </w:r>
    </w:p>
    <w:p>
      <w:pPr>
        <w:pStyle w:val="TOC8"/>
        <w:rPr>
          <w:sz w:val="24"/>
          <w:szCs w:val="24"/>
        </w:rPr>
      </w:pPr>
      <w:r>
        <w:rPr>
          <w:szCs w:val="24"/>
        </w:rPr>
        <w:t>6B</w:t>
      </w:r>
      <w:r>
        <w:rPr>
          <w:snapToGrid w:val="0"/>
          <w:szCs w:val="24"/>
        </w:rPr>
        <w:t>.</w:t>
      </w:r>
      <w:r>
        <w:rPr>
          <w:snapToGrid w:val="0"/>
          <w:szCs w:val="24"/>
        </w:rPr>
        <w:tab/>
        <w:t>Determinations relating to entitlements of former Premiers, Ministers and members of Parliament</w:t>
      </w:r>
      <w:r>
        <w:tab/>
      </w:r>
      <w:r>
        <w:fldChar w:fldCharType="begin"/>
      </w:r>
      <w:r>
        <w:instrText xml:space="preserve"> PAGEREF _Toc278968756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Forfeiture of former office entitlements</w:t>
      </w:r>
      <w:r>
        <w:tab/>
      </w:r>
      <w:r>
        <w:fldChar w:fldCharType="begin"/>
      </w:r>
      <w:r>
        <w:instrText xml:space="preserve"> PAGEREF _Toc278968757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Inquiry into and report on judicial salaries</w:t>
      </w:r>
      <w:r>
        <w:tab/>
      </w:r>
      <w:r>
        <w:fldChar w:fldCharType="begin"/>
      </w:r>
      <w:r>
        <w:instrText xml:space="preserve"> PAGEREF _Toc278968758 \h </w:instrText>
      </w:r>
      <w:r>
        <w:fldChar w:fldCharType="separate"/>
      </w:r>
      <w:r>
        <w:t>12</w:t>
      </w:r>
      <w:r>
        <w:fldChar w:fldCharType="end"/>
      </w:r>
    </w:p>
    <w:p>
      <w:pPr>
        <w:pStyle w:val="TOC8"/>
        <w:rPr>
          <w:sz w:val="24"/>
          <w:szCs w:val="24"/>
        </w:rPr>
      </w:pPr>
      <w:r>
        <w:rPr>
          <w:szCs w:val="24"/>
        </w:rPr>
        <w:t>7A.</w:t>
      </w:r>
      <w:r>
        <w:rPr>
          <w:szCs w:val="24"/>
        </w:rPr>
        <w:tab/>
        <w:t>Recommendations as to remuneration of local government CEOs</w:t>
      </w:r>
      <w:r>
        <w:tab/>
      </w:r>
      <w:r>
        <w:fldChar w:fldCharType="begin"/>
      </w:r>
      <w:r>
        <w:instrText xml:space="preserve"> PAGEREF _Toc278968759 \h </w:instrText>
      </w:r>
      <w:r>
        <w:fldChar w:fldCharType="separate"/>
      </w:r>
      <w:r>
        <w:t>14</w:t>
      </w:r>
      <w:r>
        <w:fldChar w:fldCharType="end"/>
      </w:r>
    </w:p>
    <w:p>
      <w:pPr>
        <w:pStyle w:val="TOC8"/>
        <w:rPr>
          <w:sz w:val="24"/>
          <w:szCs w:val="24"/>
        </w:rPr>
      </w:pPr>
      <w:r>
        <w:rPr>
          <w:szCs w:val="24"/>
        </w:rPr>
        <w:t>8.</w:t>
      </w:r>
      <w:r>
        <w:rPr>
          <w:szCs w:val="24"/>
        </w:rPr>
        <w:tab/>
        <w:t>Tribunal to report and make a determination annually</w:t>
      </w:r>
      <w:r>
        <w:tab/>
      </w:r>
      <w:r>
        <w:fldChar w:fldCharType="begin"/>
      </w:r>
      <w:r>
        <w:instrText xml:space="preserve"> PAGEREF _Toc278968760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Meetings of Tribunal</w:t>
      </w:r>
      <w:r>
        <w:tab/>
      </w:r>
      <w:r>
        <w:fldChar w:fldCharType="begin"/>
      </w:r>
      <w:r>
        <w:instrText xml:space="preserve"> PAGEREF _Toc278968761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Method of inquiry by Tribunal</w:t>
      </w:r>
      <w:r>
        <w:tab/>
      </w:r>
      <w:r>
        <w:fldChar w:fldCharType="begin"/>
      </w:r>
      <w:r>
        <w:instrText xml:space="preserve"> PAGEREF _Toc278968762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Fees and allowances</w:t>
      </w:r>
      <w:r>
        <w:tab/>
      </w:r>
      <w:r>
        <w:fldChar w:fldCharType="begin"/>
      </w:r>
      <w:r>
        <w:instrText xml:space="preserve"> PAGEREF _Toc278968763 \h </w:instrText>
      </w:r>
      <w:r>
        <w:fldChar w:fldCharType="separate"/>
      </w:r>
      <w:r>
        <w:t>17</w:t>
      </w:r>
      <w:r>
        <w:fldChar w:fldCharType="end"/>
      </w:r>
    </w:p>
    <w:p>
      <w:pPr>
        <w:pStyle w:val="TOC2"/>
        <w:tabs>
          <w:tab w:val="right" w:leader="dot" w:pos="7086"/>
        </w:tabs>
        <w:rPr>
          <w:b w:val="0"/>
          <w:sz w:val="24"/>
          <w:szCs w:val="24"/>
        </w:rPr>
      </w:pPr>
      <w:r>
        <w:rPr>
          <w:szCs w:val="30"/>
        </w:rPr>
        <w:t>Part IA — General</w:t>
      </w:r>
    </w:p>
    <w:p>
      <w:pPr>
        <w:pStyle w:val="TOC8"/>
        <w:rPr>
          <w:sz w:val="24"/>
          <w:szCs w:val="24"/>
        </w:rPr>
      </w:pPr>
      <w:r>
        <w:rPr>
          <w:szCs w:val="24"/>
        </w:rPr>
        <w:t>11A</w:t>
      </w:r>
      <w:r>
        <w:rPr>
          <w:snapToGrid w:val="0"/>
          <w:szCs w:val="24"/>
        </w:rPr>
        <w:t>.</w:t>
      </w:r>
      <w:r>
        <w:rPr>
          <w:snapToGrid w:val="0"/>
          <w:szCs w:val="24"/>
        </w:rPr>
        <w:tab/>
        <w:t>Arrangements for payment of travelling expenses by Treasurer</w:t>
      </w:r>
      <w:r>
        <w:tab/>
      </w:r>
      <w:r>
        <w:fldChar w:fldCharType="begin"/>
      </w:r>
      <w:r>
        <w:instrText xml:space="preserve"> PAGEREF _Toc278968765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_Toc278968766 \h </w:instrText>
      </w:r>
      <w:r>
        <w:fldChar w:fldCharType="separate"/>
      </w:r>
      <w:r>
        <w:t>19</w:t>
      </w:r>
      <w:r>
        <w:fldChar w:fldCharType="end"/>
      </w:r>
    </w:p>
    <w:p>
      <w:pPr>
        <w:pStyle w:val="TOC2"/>
        <w:tabs>
          <w:tab w:val="right" w:leader="dot" w:pos="7086"/>
        </w:tabs>
        <w:rPr>
          <w:b w:val="0"/>
          <w:sz w:val="24"/>
          <w:szCs w:val="24"/>
        </w:rPr>
      </w:pPr>
      <w:r>
        <w:rPr>
          <w:szCs w:val="28"/>
        </w:rPr>
        <w:t>Schedule 1 —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_Toc278968769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bookmarkStart w:id="22" w:name="_Toc278968747"/>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0710338"/>
      <w:bookmarkStart w:id="24" w:name="_Toc531595505"/>
      <w:bookmarkStart w:id="25" w:name="_Toc106074095"/>
      <w:bookmarkStart w:id="26" w:name="_Toc278968748"/>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7" w:name="_Toc410710339"/>
      <w:bookmarkStart w:id="28" w:name="_Toc531595506"/>
      <w:bookmarkStart w:id="29" w:name="_Toc106074096"/>
      <w:bookmarkStart w:id="30" w:name="_Toc278968749"/>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1" w:name="_Toc410710340"/>
      <w:bookmarkStart w:id="32" w:name="_Toc531595507"/>
      <w:bookmarkStart w:id="33" w:name="_Toc106074097"/>
      <w:bookmarkStart w:id="34" w:name="_Toc278968750"/>
      <w:r>
        <w:rPr>
          <w:rStyle w:val="CharSectno"/>
        </w:rPr>
        <w:t>4</w:t>
      </w:r>
      <w:r>
        <w:rPr>
          <w:snapToGrid w:val="0"/>
        </w:rPr>
        <w:t>.</w:t>
      </w:r>
      <w:r>
        <w:rPr>
          <w:snapToGrid w:val="0"/>
        </w:rPr>
        <w:tab/>
      </w:r>
      <w:bookmarkEnd w:id="31"/>
      <w:bookmarkEnd w:id="32"/>
      <w:bookmarkEnd w:id="33"/>
      <w:r>
        <w:rPr>
          <w:snapToGrid w:val="0"/>
        </w:rPr>
        <w:t>Terms used</w:t>
      </w:r>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5" w:name="_Toc410710341"/>
      <w:bookmarkStart w:id="36" w:name="_Toc531595508"/>
      <w:bookmarkStart w:id="37" w:name="_Toc106074098"/>
      <w:bookmarkStart w:id="38" w:name="_Toc278968751"/>
      <w:r>
        <w:rPr>
          <w:rStyle w:val="CharSectno"/>
        </w:rPr>
        <w:t>5</w:t>
      </w:r>
      <w:r>
        <w:rPr>
          <w:snapToGrid w:val="0"/>
        </w:rPr>
        <w:t>.</w:t>
      </w:r>
      <w:r>
        <w:rPr>
          <w:snapToGrid w:val="0"/>
        </w:rPr>
        <w:tab/>
        <w:t>Establishment of Tribunal</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9" w:name="_Toc410710342"/>
      <w:bookmarkStart w:id="40" w:name="_Toc531595509"/>
      <w:bookmarkStart w:id="41" w:name="_Toc106074099"/>
      <w:bookmarkStart w:id="42" w:name="_Toc278968752"/>
      <w:r>
        <w:rPr>
          <w:rStyle w:val="CharSectno"/>
        </w:rPr>
        <w:t>5A</w:t>
      </w:r>
      <w:r>
        <w:rPr>
          <w:snapToGrid w:val="0"/>
        </w:rPr>
        <w:t>.</w:t>
      </w:r>
      <w:r>
        <w:rPr>
          <w:snapToGrid w:val="0"/>
        </w:rPr>
        <w:tab/>
        <w:t>Inquiry into and determination of remuneration of Governor</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3" w:name="_Toc410710343"/>
      <w:bookmarkStart w:id="44" w:name="_Toc531595510"/>
      <w:bookmarkStart w:id="45" w:name="_Toc106074100"/>
      <w:bookmarkStart w:id="46" w:name="_Toc278968753"/>
      <w:r>
        <w:rPr>
          <w:rStyle w:val="CharSectno"/>
        </w:rPr>
        <w:t>6</w:t>
      </w:r>
      <w:r>
        <w:rPr>
          <w:snapToGrid w:val="0"/>
        </w:rPr>
        <w:t>.</w:t>
      </w:r>
      <w:r>
        <w:rPr>
          <w:snapToGrid w:val="0"/>
        </w:rPr>
        <w:tab/>
        <w:t xml:space="preserve">Other inquiries into and determinations </w:t>
      </w:r>
      <w:bookmarkEnd w:id="43"/>
      <w:r>
        <w:rPr>
          <w:snapToGrid w:val="0"/>
        </w:rPr>
        <w:t>of remuneration</w:t>
      </w:r>
      <w:bookmarkEnd w:id="44"/>
      <w:bookmarkEnd w:id="45"/>
      <w:bookmarkEnd w:id="46"/>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7" w:name="_Toc531595511"/>
      <w:bookmarkStart w:id="48" w:name="_Toc106074101"/>
      <w:bookmarkStart w:id="49" w:name="_Toc278968754"/>
      <w:bookmarkStart w:id="50" w:name="_Toc410710345"/>
      <w:r>
        <w:rPr>
          <w:rStyle w:val="CharSectno"/>
        </w:rPr>
        <w:t>6A</w:t>
      </w:r>
      <w:r>
        <w:t>.</w:t>
      </w:r>
      <w:r>
        <w:tab/>
        <w:t xml:space="preserve">Tribunal’s functions under </w:t>
      </w:r>
      <w:r>
        <w:rPr>
          <w:i/>
        </w:rPr>
        <w:t>Parliamentary Superannuation Act 1970</w:t>
      </w:r>
      <w:bookmarkEnd w:id="47"/>
      <w:bookmarkEnd w:id="48"/>
      <w:bookmarkEnd w:id="4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1" w:name="_Toc106074102"/>
      <w:bookmarkStart w:id="52" w:name="_Toc278968755"/>
      <w:r>
        <w:rPr>
          <w:rStyle w:val="CharSectno"/>
        </w:rPr>
        <w:t>6AA</w:t>
      </w:r>
      <w:r>
        <w:t>.</w:t>
      </w:r>
      <w:r>
        <w:tab/>
        <w:t>Redundancy benefits for members of Parliament</w:t>
      </w:r>
      <w:bookmarkEnd w:id="51"/>
      <w:bookmarkEnd w:id="5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3" w:name="_Toc531595513"/>
      <w:bookmarkStart w:id="54" w:name="_Toc106074103"/>
      <w:bookmarkStart w:id="55" w:name="_Toc278968756"/>
      <w:r>
        <w:rPr>
          <w:rStyle w:val="CharSectno"/>
        </w:rPr>
        <w:t>6B</w:t>
      </w:r>
      <w:r>
        <w:rPr>
          <w:snapToGrid w:val="0"/>
        </w:rPr>
        <w:t>.</w:t>
      </w:r>
      <w:r>
        <w:rPr>
          <w:snapToGrid w:val="0"/>
        </w:rPr>
        <w:tab/>
        <w:t>Determinations relating to entitlements of former Premiers, Ministers and members of Parliament</w:t>
      </w:r>
      <w:bookmarkEnd w:id="50"/>
      <w:bookmarkEnd w:id="53"/>
      <w:bookmarkEnd w:id="54"/>
      <w:bookmarkEnd w:id="55"/>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6" w:name="_Toc410710346"/>
      <w:bookmarkStart w:id="57" w:name="_Toc531595514"/>
      <w:bookmarkStart w:id="58" w:name="_Toc106074104"/>
      <w:bookmarkStart w:id="59" w:name="_Toc278968757"/>
      <w:r>
        <w:rPr>
          <w:rStyle w:val="CharSectno"/>
        </w:rPr>
        <w:t>6C</w:t>
      </w:r>
      <w:r>
        <w:rPr>
          <w:snapToGrid w:val="0"/>
        </w:rPr>
        <w:t>.</w:t>
      </w:r>
      <w:r>
        <w:rPr>
          <w:snapToGrid w:val="0"/>
        </w:rPr>
        <w:tab/>
        <w:t>Forfeiture of former office entitlements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60" w:name="_Toc410710347"/>
      <w:bookmarkStart w:id="61" w:name="_Toc531595515"/>
      <w:bookmarkStart w:id="62" w:name="_Toc106074105"/>
      <w:bookmarkStart w:id="63" w:name="_Toc278968758"/>
      <w:r>
        <w:rPr>
          <w:rStyle w:val="CharSectno"/>
        </w:rPr>
        <w:t>7</w:t>
      </w:r>
      <w:r>
        <w:rPr>
          <w:snapToGrid w:val="0"/>
        </w:rPr>
        <w:t>.</w:t>
      </w:r>
      <w:r>
        <w:rPr>
          <w:snapToGrid w:val="0"/>
        </w:rPr>
        <w:tab/>
        <w:t>Inquiry into and report on judicial salaries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64" w:name="_Toc106074106"/>
      <w:bookmarkStart w:id="65" w:name="_Toc278968759"/>
      <w:bookmarkStart w:id="66" w:name="_Toc531595516"/>
      <w:bookmarkStart w:id="67" w:name="_Toc410710349"/>
      <w:r>
        <w:rPr>
          <w:rStyle w:val="CharSectno"/>
        </w:rPr>
        <w:t>7A</w:t>
      </w:r>
      <w:r>
        <w:t>.</w:t>
      </w:r>
      <w:r>
        <w:tab/>
        <w:t>Recommendations as to remuneration of local government CEOs</w:t>
      </w:r>
      <w:bookmarkEnd w:id="64"/>
      <w:bookmarkEnd w:id="65"/>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68" w:name="_Toc106074107"/>
      <w:bookmarkStart w:id="69" w:name="_Toc278968760"/>
      <w:r>
        <w:rPr>
          <w:rStyle w:val="CharSectno"/>
        </w:rPr>
        <w:t>8</w:t>
      </w:r>
      <w:r>
        <w:t>.</w:t>
      </w:r>
      <w:r>
        <w:tab/>
        <w:t>Tribunal to report and make a determination annually</w:t>
      </w:r>
      <w:bookmarkEnd w:id="66"/>
      <w:bookmarkEnd w:id="68"/>
      <w:bookmarkEnd w:id="69"/>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70" w:name="_Toc531595517"/>
      <w:bookmarkStart w:id="71" w:name="_Toc106074108"/>
      <w:bookmarkStart w:id="72" w:name="_Toc278968761"/>
      <w:r>
        <w:rPr>
          <w:rStyle w:val="CharSectno"/>
        </w:rPr>
        <w:t>9</w:t>
      </w:r>
      <w:r>
        <w:rPr>
          <w:snapToGrid w:val="0"/>
        </w:rPr>
        <w:t>.</w:t>
      </w:r>
      <w:r>
        <w:rPr>
          <w:snapToGrid w:val="0"/>
        </w:rPr>
        <w:tab/>
        <w:t>Meetings of Tribunal</w:t>
      </w:r>
      <w:bookmarkEnd w:id="67"/>
      <w:bookmarkEnd w:id="70"/>
      <w:bookmarkEnd w:id="71"/>
      <w:bookmarkEnd w:id="72"/>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3" w:name="_Toc410710350"/>
      <w:bookmarkStart w:id="74" w:name="_Toc531595518"/>
      <w:bookmarkStart w:id="75" w:name="_Toc106074109"/>
      <w:bookmarkStart w:id="76" w:name="_Toc278968762"/>
      <w:r>
        <w:rPr>
          <w:rStyle w:val="CharSectno"/>
        </w:rPr>
        <w:t>10</w:t>
      </w:r>
      <w:r>
        <w:rPr>
          <w:snapToGrid w:val="0"/>
        </w:rPr>
        <w:t>.</w:t>
      </w:r>
      <w:r>
        <w:rPr>
          <w:snapToGrid w:val="0"/>
        </w:rPr>
        <w:tab/>
        <w:t>Method of inquiry by Tribunal</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No. 39 of 2010 s. 83.] </w:t>
      </w:r>
    </w:p>
    <w:p>
      <w:pPr>
        <w:pStyle w:val="Heading5"/>
        <w:rPr>
          <w:snapToGrid w:val="0"/>
        </w:rPr>
      </w:pPr>
      <w:bookmarkStart w:id="77" w:name="_Toc410710351"/>
      <w:bookmarkStart w:id="78" w:name="_Toc531595519"/>
      <w:bookmarkStart w:id="79" w:name="_Toc106074110"/>
      <w:bookmarkStart w:id="80" w:name="_Toc278968763"/>
      <w:r>
        <w:rPr>
          <w:rStyle w:val="CharSectno"/>
        </w:rPr>
        <w:t>11</w:t>
      </w:r>
      <w:r>
        <w:rPr>
          <w:snapToGrid w:val="0"/>
        </w:rPr>
        <w:t>.</w:t>
      </w:r>
      <w:r>
        <w:rPr>
          <w:snapToGrid w:val="0"/>
        </w:rPr>
        <w:tab/>
        <w:t>Fees and allowances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1" w:name="_Toc88554723"/>
      <w:bookmarkStart w:id="82" w:name="_Toc88561501"/>
      <w:bookmarkStart w:id="83" w:name="_Toc95017132"/>
      <w:bookmarkStart w:id="84" w:name="_Toc95107768"/>
      <w:bookmarkStart w:id="85" w:name="_Toc100128220"/>
      <w:bookmarkStart w:id="86" w:name="_Toc102543084"/>
      <w:bookmarkStart w:id="87" w:name="_Toc103675614"/>
      <w:bookmarkStart w:id="88" w:name="_Toc103675858"/>
      <w:bookmarkStart w:id="89" w:name="_Toc106074111"/>
      <w:bookmarkStart w:id="90" w:name="_Toc151522845"/>
      <w:bookmarkStart w:id="91" w:name="_Toc151522868"/>
      <w:bookmarkStart w:id="92" w:name="_Toc151526970"/>
      <w:bookmarkStart w:id="93" w:name="_Toc158004522"/>
      <w:bookmarkStart w:id="94" w:name="_Toc241286387"/>
      <w:bookmarkStart w:id="95" w:name="_Toc241288010"/>
      <w:bookmarkStart w:id="96" w:name="_Toc241288790"/>
      <w:bookmarkStart w:id="97" w:name="_Toc261264149"/>
      <w:bookmarkStart w:id="98" w:name="_Toc261855158"/>
      <w:bookmarkStart w:id="99" w:name="_Toc264289732"/>
      <w:bookmarkStart w:id="100" w:name="_Toc266870642"/>
      <w:bookmarkStart w:id="101" w:name="_Toc274136486"/>
      <w:bookmarkStart w:id="102" w:name="_Toc278968764"/>
      <w:r>
        <w:rPr>
          <w:rStyle w:val="CharPartNo"/>
        </w:rPr>
        <w:t>Part IA</w:t>
      </w:r>
      <w:r>
        <w:rPr>
          <w:rStyle w:val="CharDivNo"/>
        </w:rPr>
        <w:t> </w:t>
      </w:r>
      <w:r>
        <w:t>—</w:t>
      </w:r>
      <w:r>
        <w:rPr>
          <w:rStyle w:val="CharDivText"/>
        </w:rPr>
        <w:t> </w:t>
      </w:r>
      <w:r>
        <w:rPr>
          <w:rStyle w:val="CharPart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3" w:name="_Toc410710352"/>
      <w:bookmarkStart w:id="104" w:name="_Toc531595520"/>
      <w:bookmarkStart w:id="105" w:name="_Toc106074112"/>
      <w:bookmarkStart w:id="106" w:name="_Toc278968765"/>
      <w:r>
        <w:rPr>
          <w:rStyle w:val="CharSectno"/>
        </w:rPr>
        <w:t>11A</w:t>
      </w:r>
      <w:r>
        <w:rPr>
          <w:snapToGrid w:val="0"/>
        </w:rPr>
        <w:t>.</w:t>
      </w:r>
      <w:r>
        <w:rPr>
          <w:snapToGrid w:val="0"/>
        </w:rPr>
        <w:tab/>
        <w:t>Arrangements for payment of travelling expenses by Treasurer</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07" w:name="_Toc410710353"/>
      <w:bookmarkStart w:id="108" w:name="_Toc531595521"/>
      <w:bookmarkStart w:id="109" w:name="_Toc106074113"/>
      <w:bookmarkStart w:id="110" w:name="_Toc278968766"/>
      <w:r>
        <w:rPr>
          <w:rStyle w:val="CharSectno"/>
        </w:rPr>
        <w:t>12</w:t>
      </w:r>
      <w:r>
        <w:rPr>
          <w:snapToGrid w:val="0"/>
        </w:rPr>
        <w:t>.</w:t>
      </w:r>
      <w:r>
        <w:rPr>
          <w:snapToGrid w:val="0"/>
        </w:rPr>
        <w:tab/>
        <w:t>Regulations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06074114"/>
      <w:bookmarkStart w:id="112" w:name="_Toc151522848"/>
      <w:bookmarkStart w:id="113" w:name="_Toc151522871"/>
      <w:bookmarkStart w:id="114" w:name="_Toc151526973"/>
      <w:bookmarkStart w:id="115" w:name="_Toc158004525"/>
      <w:bookmarkStart w:id="116" w:name="_Toc241286390"/>
      <w:bookmarkStart w:id="117" w:name="_Toc241288013"/>
      <w:bookmarkStart w:id="118" w:name="_Toc241288793"/>
      <w:bookmarkStart w:id="119" w:name="_Toc261264152"/>
      <w:bookmarkStart w:id="120" w:name="_Toc261855161"/>
      <w:bookmarkStart w:id="121" w:name="_Toc264289735"/>
      <w:bookmarkStart w:id="122" w:name="_Toc266870645"/>
      <w:bookmarkStart w:id="123" w:name="_Toc274136489"/>
      <w:bookmarkStart w:id="124" w:name="_Toc278968767"/>
      <w:r>
        <w:rPr>
          <w:rStyle w:val="CharSchNo"/>
        </w:rPr>
        <w:t>Schedule 1</w:t>
      </w:r>
      <w:r>
        <w:t> — </w:t>
      </w:r>
      <w:r>
        <w:rPr>
          <w:rStyle w:val="CharSchText"/>
        </w:rPr>
        <w:t>Offences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5" w:name="UpToHere"/>
      <w:bookmarkStart w:id="126" w:name="_Toc88554727"/>
      <w:bookmarkStart w:id="127" w:name="_Toc88561505"/>
      <w:bookmarkStart w:id="128" w:name="_Toc95017136"/>
      <w:bookmarkStart w:id="129" w:name="_Toc95107772"/>
      <w:bookmarkStart w:id="130" w:name="_Toc100128224"/>
      <w:bookmarkStart w:id="131" w:name="_Toc102543088"/>
      <w:bookmarkStart w:id="132" w:name="_Toc103675618"/>
      <w:bookmarkStart w:id="133" w:name="_Toc103675862"/>
      <w:bookmarkStart w:id="134" w:name="_Toc106074115"/>
      <w:bookmarkStart w:id="135" w:name="_Toc151522849"/>
      <w:bookmarkStart w:id="136" w:name="_Toc151522872"/>
      <w:bookmarkStart w:id="137" w:name="_Toc151526974"/>
      <w:bookmarkStart w:id="138" w:name="_Toc158004526"/>
      <w:bookmarkStart w:id="139" w:name="_Toc241286391"/>
      <w:bookmarkStart w:id="140" w:name="_Toc241288014"/>
      <w:bookmarkStart w:id="141" w:name="_Toc241288794"/>
      <w:bookmarkStart w:id="142" w:name="_Toc261264153"/>
      <w:bookmarkStart w:id="143" w:name="_Toc261855162"/>
      <w:bookmarkStart w:id="144" w:name="_Toc264289736"/>
      <w:bookmarkStart w:id="145" w:name="_Toc266870646"/>
      <w:bookmarkStart w:id="146" w:name="_Toc274136490"/>
      <w:bookmarkStart w:id="147" w:name="_Toc278968768"/>
      <w:bookmarkEnd w:id="125"/>
      <w:r>
        <w:t>Notes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278968769"/>
      <w:r>
        <w:t>Compilation table</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2" w:type="dxa"/>
          <w:cantSplit/>
        </w:trPr>
        <w:tc>
          <w:tcPr>
            <w:tcW w:w="2269" w:type="dxa"/>
            <w:gridSpan w:val="2"/>
            <w:tcBorders>
              <w:bottom w:val="single" w:sz="8" w:space="0" w:color="auto"/>
            </w:tcBorders>
          </w:tcPr>
          <w:p>
            <w:pPr>
              <w:pStyle w:val="nTable"/>
              <w:spacing w:after="40"/>
              <w:rPr>
                <w:iCs/>
                <w:snapToGrid w:val="0"/>
                <w:sz w:val="19"/>
              </w:rPr>
            </w:pPr>
            <w:r>
              <w:rPr>
                <w:i/>
                <w:snapToGrid w:val="0"/>
                <w:sz w:val="19"/>
                <w:lang w:val="en-US"/>
              </w:rPr>
              <w:t>Public Sector Reform Act 2010</w:t>
            </w:r>
            <w:r>
              <w:rPr>
                <w:iCs/>
                <w:snapToGrid w:val="0"/>
                <w:sz w:val="19"/>
                <w:lang w:val="en-US"/>
              </w:rPr>
              <w:t xml:space="preserve"> s. 83</w:t>
            </w:r>
          </w:p>
        </w:tc>
        <w:tc>
          <w:tcPr>
            <w:tcW w:w="1134" w:type="dxa"/>
            <w:gridSpan w:val="2"/>
            <w:tcBorders>
              <w:bottom w:val="single" w:sz="8" w:space="0" w:color="auto"/>
            </w:tcBorders>
          </w:tcPr>
          <w:p>
            <w:pPr>
              <w:pStyle w:val="nTable"/>
              <w:spacing w:after="40"/>
              <w:rPr>
                <w:sz w:val="19"/>
              </w:rPr>
            </w:pPr>
            <w:r>
              <w:rPr>
                <w:snapToGrid w:val="0"/>
                <w:sz w:val="19"/>
                <w:lang w:val="en-US"/>
              </w:rPr>
              <w:t>39 of 2010</w:t>
            </w:r>
          </w:p>
        </w:tc>
        <w:tc>
          <w:tcPr>
            <w:tcW w:w="1134" w:type="dxa"/>
            <w:gridSpan w:val="2"/>
            <w:tcBorders>
              <w:bottom w:val="single" w:sz="8" w:space="0" w:color="auto"/>
            </w:tcBorders>
          </w:tcPr>
          <w:p>
            <w:pPr>
              <w:pStyle w:val="nTable"/>
              <w:spacing w:after="40"/>
              <w:rPr>
                <w:sz w:val="19"/>
              </w:rPr>
            </w:pPr>
            <w:r>
              <w:rPr>
                <w:sz w:val="19"/>
              </w:rPr>
              <w:t>1 Oct 2010</w:t>
            </w:r>
          </w:p>
        </w:tc>
        <w:tc>
          <w:tcPr>
            <w:tcW w:w="2552" w:type="dxa"/>
            <w:gridSpan w:val="2"/>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49" w:name="_Toc261855164"/>
      <w:bookmarkStart w:id="150" w:name="_Toc264289738"/>
      <w:bookmarkStart w:id="151" w:name="_Toc266870648"/>
      <w:bookmarkStart w:id="152" w:name="_Toc274136493"/>
      <w:bookmarkStart w:id="153" w:name="_Toc278968770"/>
      <w:r>
        <w:rPr>
          <w:sz w:val="28"/>
        </w:rPr>
        <w:t>Defined Terms</w:t>
      </w:r>
      <w:bookmarkEnd w:id="149"/>
      <w:bookmarkEnd w:id="150"/>
      <w:bookmarkEnd w:id="151"/>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 w:name="DefinedTerms"/>
      <w:bookmarkEnd w:id="154"/>
      <w:r>
        <w:t>Chairman</w:t>
      </w:r>
      <w:r>
        <w:tab/>
        <w:t>4(1)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6673</Words>
  <Characters>30766</Characters>
  <Application>Microsoft Office Word</Application>
  <DocSecurity>0</DocSecurity>
  <Lines>961</Lines>
  <Paragraphs>534</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36905</CharactersWithSpaces>
  <SharedDoc>false</SharedDoc>
  <HLinks>
    <vt:vector size="12" baseType="variant">
      <vt:variant>
        <vt:i4>5439608</vt:i4>
      </vt:variant>
      <vt:variant>
        <vt:i4>31613</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1975 - 05-d0-01</dc:title>
  <dc:subject/>
  <dc:creator/>
  <cp:keywords/>
  <dc:description/>
  <cp:lastModifiedBy>svcMRProcess</cp:lastModifiedBy>
  <cp:revision>4</cp:revision>
  <cp:lastPrinted>2010-06-23T03:13:00Z</cp:lastPrinted>
  <dcterms:created xsi:type="dcterms:W3CDTF">2018-09-07T19:44:00Z</dcterms:created>
  <dcterms:modified xsi:type="dcterms:W3CDTF">2018-09-07T19:44:00Z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725</vt:i4>
  </property>
  <property fmtid="{D5CDD505-2E9C-101B-9397-08002B2CF9AE}" pid="6" name="AsAtDate">
    <vt:lpwstr>01 Dec 2010</vt:lpwstr>
  </property>
  <property fmtid="{D5CDD505-2E9C-101B-9397-08002B2CF9AE}" pid="7" name="Suffix">
    <vt:lpwstr>05-d0-01</vt:lpwstr>
  </property>
  <property fmtid="{D5CDD505-2E9C-101B-9397-08002B2CF9AE}" pid="8" name="ReprintNo">
    <vt:lpwstr>5</vt:lpwstr>
  </property>
</Properties>
</file>