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_Toc389658332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_Toc389658333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_Toc389658334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_Toc389658337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_Toc389658338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_Toc389658340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_Toc389658341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_Toc389658342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_Toc389658344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_Toc389658345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_Toc389658346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_Toc389658347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_Toc389658348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_Toc389658349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_Toc389658350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_Toc389658351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_Toc389658352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_Toc389658353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_Toc389658354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_Toc389658355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_Toc389658356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_Toc389658357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_Toc389658358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_Toc389658359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_Toc389658360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_Toc389658362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_Toc389658363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_Toc389658364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_Toc389658365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_Toc389658366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_Toc389658368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_Toc389658370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_Toc389658371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_Toc389658372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_Toc389658373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_Toc389658374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_Toc389658376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_Toc389658377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_Toc389658378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_Toc389658379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_Toc389658381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_Toc389658382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_Toc389658383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_Toc389658384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_Toc389658385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_Toc389658387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_Toc389658389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_Toc389658392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_Toc389658394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_Toc389658395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_Toc389658396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_Toc389658397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_Toc389658398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_Toc389658399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_Toc389658400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_Toc389658401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_Toc389658402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_Toc389658404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_Toc389658405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_Toc389658407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_Toc389658409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_Toc389658410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_Toc389658411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_Toc389658412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_Toc389658413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_Toc389658414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_Toc389658415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_Toc389658417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_Toc389658418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_Toc389658419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_Toc389658420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_Toc389658421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_Toc389658422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_Toc389658423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_Toc389658424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_Toc389658425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_Toc389658426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_Toc389658427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_Toc389658429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_Toc389658430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_Toc389658431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_Toc389658432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_Toc389658433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_Toc389658434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_Toc389658435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_Toc389658436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_Toc389658437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_Toc389658438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_Toc389658439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_Toc389658440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_Toc389658441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_Toc389658444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_Toc389658445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_Toc389658447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_Toc389658448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_Toc389658449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_Toc389658451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_Toc389658452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_Toc389658453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_Toc389658454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_Toc389658456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_Toc389658457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_Toc389658458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_Toc389658461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_Toc389658462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_Toc389658464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_Toc389658465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_Toc389658466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_Toc389658467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_Toc389658468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_Toc389658469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_Toc389658470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_Toc389658471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_Toc389658472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_Toc389658474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_Toc389658475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_Toc389658476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_Toc389658477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_Toc389658478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_Toc389658480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_Toc389658481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_Toc389658482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_Toc389658483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_Toc389658484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_Toc389658485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_Toc389658486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_Toc389658487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_Toc389658488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_Toc389658490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_Toc389658491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_Toc389658492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_Toc389658493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_Toc389658494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_Toc389658495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_Toc389658496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_Toc389658497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_Toc389658498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_Toc389658499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_Toc389658501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_Toc389658502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_Toc389658503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_Toc389658504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_Toc389658505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8"/>
        <w:rPr>
          <w:rFonts w:asciiTheme="minorHAnsi" w:eastAsiaTheme="minorEastAsia" w:hAnsiTheme="minorHAnsi" w:cstheme="minorBidi"/>
          <w:szCs w:val="22"/>
        </w:rPr>
      </w:pPr>
      <w:r>
        <w:t>1</w:t>
      </w:r>
      <w:r>
        <w:rPr>
          <w:snapToGrid w:val="0"/>
        </w:rPr>
        <w:t>.</w:t>
      </w:r>
      <w:r>
        <w:rPr>
          <w:snapToGrid w:val="0"/>
        </w:rPr>
        <w:tab/>
        <w:t>Licence terms and conditions</w:t>
      </w:r>
      <w:r>
        <w:tab/>
      </w:r>
      <w:r>
        <w:fldChar w:fldCharType="begin"/>
      </w:r>
      <w:r>
        <w:instrText xml:space="preserve"> PAGEREF _Toc389658507 \h </w:instrText>
      </w:r>
      <w:r>
        <w:fldChar w:fldCharType="separate"/>
      </w:r>
      <w:r>
        <w:t>97</w:t>
      </w:r>
      <w:r>
        <w:fldChar w:fldCharType="end"/>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8"/>
        <w:rPr>
          <w:rFonts w:asciiTheme="minorHAnsi" w:eastAsiaTheme="minorEastAsia" w:hAnsiTheme="minorHAnsi" w:cstheme="minorBidi"/>
          <w:szCs w:val="22"/>
        </w:rPr>
      </w:pPr>
      <w:r>
        <w:t>1</w:t>
      </w:r>
      <w:r>
        <w:rPr>
          <w:snapToGrid w:val="0"/>
        </w:rPr>
        <w:t>.</w:t>
      </w:r>
      <w:r>
        <w:rPr>
          <w:snapToGrid w:val="0"/>
        </w:rPr>
        <w:tab/>
        <w:t>Objectives stated</w:t>
      </w:r>
      <w:r>
        <w:tab/>
      </w:r>
      <w:r>
        <w:fldChar w:fldCharType="begin"/>
      </w:r>
      <w:r>
        <w:instrText xml:space="preserve"> PAGEREF _Toc389658509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_Toc389658512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_Toc389658513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_Toc389658514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_Toc389658516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_Toc389658517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_Toc389658519 \h </w:instrText>
      </w:r>
      <w:r>
        <w:fldChar w:fldCharType="separate"/>
      </w:r>
      <w:r>
        <w:t>105</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331"/>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332"/>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333"/>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334"/>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335"/>
      <w:r>
        <w:rPr>
          <w:rStyle w:val="CharPartNo"/>
        </w:rPr>
        <w:t>Part 2</w:t>
      </w:r>
      <w:r>
        <w:t> — </w:t>
      </w:r>
      <w:r>
        <w:rPr>
          <w:rStyle w:val="CharPartText"/>
        </w:rPr>
        <w:t>Licensing of electricity supply</w:t>
      </w:r>
      <w:bookmarkEnd w:id="5"/>
    </w:p>
    <w:p>
      <w:pPr>
        <w:pStyle w:val="Heading3"/>
      </w:pPr>
      <w:bookmarkStart w:id="6" w:name="_Toc389658336"/>
      <w:r>
        <w:rPr>
          <w:rStyle w:val="CharDivNo"/>
        </w:rPr>
        <w:t>Division 1</w:t>
      </w:r>
      <w:r>
        <w:t> — </w:t>
      </w:r>
      <w:r>
        <w:rPr>
          <w:rStyle w:val="CharDivText"/>
        </w:rPr>
        <w:t>Licence classification and area</w:t>
      </w:r>
      <w:bookmarkEnd w:id="6"/>
    </w:p>
    <w:p>
      <w:pPr>
        <w:pStyle w:val="Heading5"/>
      </w:pPr>
      <w:bookmarkStart w:id="7" w:name="_Toc389658337"/>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338"/>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339"/>
      <w:r>
        <w:rPr>
          <w:rStyle w:val="CharDivNo"/>
        </w:rPr>
        <w:t>Division 2</w:t>
      </w:r>
      <w:r>
        <w:t> — </w:t>
      </w:r>
      <w:r>
        <w:rPr>
          <w:rStyle w:val="CharDivText"/>
        </w:rPr>
        <w:t>Licensing requirements</w:t>
      </w:r>
      <w:bookmarkEnd w:id="9"/>
    </w:p>
    <w:p>
      <w:pPr>
        <w:pStyle w:val="Heading5"/>
        <w:spacing w:before="240"/>
      </w:pPr>
      <w:bookmarkStart w:id="10" w:name="_Toc389658340"/>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341"/>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342"/>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343"/>
      <w:r>
        <w:rPr>
          <w:rStyle w:val="CharDivNo"/>
        </w:rPr>
        <w:t>Division 3</w:t>
      </w:r>
      <w:r>
        <w:t> — </w:t>
      </w:r>
      <w:r>
        <w:rPr>
          <w:rStyle w:val="CharDivText"/>
        </w:rPr>
        <w:t>General licensing provisions</w:t>
      </w:r>
      <w:bookmarkEnd w:id="13"/>
    </w:p>
    <w:p>
      <w:pPr>
        <w:pStyle w:val="Heading5"/>
      </w:pPr>
      <w:bookmarkStart w:id="14" w:name="_Toc389658344"/>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345"/>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346"/>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347"/>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348"/>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349"/>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350"/>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351"/>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352"/>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353"/>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354"/>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355"/>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356"/>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357"/>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358"/>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359"/>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360"/>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361"/>
      <w:r>
        <w:rPr>
          <w:rStyle w:val="CharDivNo"/>
        </w:rPr>
        <w:t>Division 4</w:t>
      </w:r>
      <w:r>
        <w:t> — </w:t>
      </w:r>
      <w:r>
        <w:rPr>
          <w:rStyle w:val="CharDivText"/>
        </w:rPr>
        <w:t>Exclusive licences</w:t>
      </w:r>
      <w:bookmarkEnd w:id="31"/>
    </w:p>
    <w:p>
      <w:pPr>
        <w:pStyle w:val="Heading5"/>
      </w:pPr>
      <w:bookmarkStart w:id="32" w:name="_Toc389658362"/>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363"/>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364"/>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365"/>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366"/>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367"/>
      <w:r>
        <w:rPr>
          <w:rStyle w:val="CharDivNo"/>
        </w:rPr>
        <w:t>Division 5</w:t>
      </w:r>
      <w:r>
        <w:t> — </w:t>
      </w:r>
      <w:r>
        <w:rPr>
          <w:rStyle w:val="CharDivText"/>
        </w:rPr>
        <w:t>Interruption of supply</w:t>
      </w:r>
      <w:bookmarkEnd w:id="37"/>
    </w:p>
    <w:p>
      <w:pPr>
        <w:pStyle w:val="Heading5"/>
        <w:spacing w:before="240"/>
      </w:pPr>
      <w:bookmarkStart w:id="38" w:name="_Toc389658368"/>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369"/>
      <w:r>
        <w:rPr>
          <w:rStyle w:val="CharDivNo"/>
        </w:rPr>
        <w:t>Division 6</w:t>
      </w:r>
      <w:r>
        <w:t> — </w:t>
      </w:r>
      <w:r>
        <w:rPr>
          <w:rStyle w:val="CharDivText"/>
        </w:rPr>
        <w:t>Enforcement</w:t>
      </w:r>
      <w:bookmarkEnd w:id="39"/>
    </w:p>
    <w:p>
      <w:pPr>
        <w:pStyle w:val="Heading5"/>
      </w:pPr>
      <w:bookmarkStart w:id="40" w:name="_Toc389658370"/>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371"/>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372"/>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373"/>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374"/>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375"/>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376"/>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377"/>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378"/>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379"/>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380"/>
      <w:r>
        <w:rPr>
          <w:rStyle w:val="CharDivNo"/>
        </w:rPr>
        <w:t>Division 8</w:t>
      </w:r>
      <w:r>
        <w:t> — </w:t>
      </w:r>
      <w:r>
        <w:rPr>
          <w:rStyle w:val="CharDivText"/>
        </w:rPr>
        <w:t>Powers in relation to land</w:t>
      </w:r>
      <w:bookmarkEnd w:id="50"/>
    </w:p>
    <w:p>
      <w:pPr>
        <w:pStyle w:val="Heading5"/>
      </w:pPr>
      <w:bookmarkStart w:id="51" w:name="_Toc389658381"/>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382"/>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383"/>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384"/>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385"/>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386"/>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387"/>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388"/>
      <w:r>
        <w:rPr>
          <w:rStyle w:val="CharDivNo"/>
        </w:rPr>
        <w:t>Division 10</w:t>
      </w:r>
      <w:r>
        <w:t> — </w:t>
      </w:r>
      <w:r>
        <w:rPr>
          <w:rStyle w:val="CharDivText"/>
        </w:rPr>
        <w:t>Transitional provision</w:t>
      </w:r>
      <w:bookmarkEnd w:id="58"/>
    </w:p>
    <w:p>
      <w:pPr>
        <w:pStyle w:val="Heading5"/>
      </w:pPr>
      <w:bookmarkStart w:id="59" w:name="_Toc389658389"/>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390"/>
      <w:r>
        <w:rPr>
          <w:rStyle w:val="CharPartNo"/>
        </w:rPr>
        <w:t>Part 3</w:t>
      </w:r>
      <w:r>
        <w:t> — </w:t>
      </w:r>
      <w:r>
        <w:rPr>
          <w:rStyle w:val="CharPartText"/>
        </w:rPr>
        <w:t>Supply of electricity to certain customers</w:t>
      </w:r>
      <w:bookmarkEnd w:id="60"/>
    </w:p>
    <w:p>
      <w:pPr>
        <w:pStyle w:val="Heading3"/>
      </w:pPr>
      <w:bookmarkStart w:id="61" w:name="_Toc389658391"/>
      <w:r>
        <w:rPr>
          <w:rStyle w:val="CharDivNo"/>
        </w:rPr>
        <w:t>Division 1</w:t>
      </w:r>
      <w:r>
        <w:t> — </w:t>
      </w:r>
      <w:r>
        <w:rPr>
          <w:rStyle w:val="CharDivText"/>
        </w:rPr>
        <w:t>Preliminary</w:t>
      </w:r>
      <w:bookmarkEnd w:id="61"/>
    </w:p>
    <w:p>
      <w:pPr>
        <w:pStyle w:val="Heading5"/>
      </w:pPr>
      <w:bookmarkStart w:id="62" w:name="_Toc389658392"/>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393"/>
      <w:r>
        <w:rPr>
          <w:rStyle w:val="CharDivNo"/>
        </w:rPr>
        <w:t>Division 2</w:t>
      </w:r>
      <w:r>
        <w:t> — </w:t>
      </w:r>
      <w:r>
        <w:rPr>
          <w:rStyle w:val="CharDivText"/>
        </w:rPr>
        <w:t>Supply contracts</w:t>
      </w:r>
      <w:bookmarkEnd w:id="63"/>
    </w:p>
    <w:p>
      <w:pPr>
        <w:pStyle w:val="Heading5"/>
      </w:pPr>
      <w:bookmarkStart w:id="64" w:name="_Toc389658394"/>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395"/>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396"/>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397"/>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398"/>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399"/>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400"/>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401"/>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402"/>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403"/>
      <w:r>
        <w:rPr>
          <w:rStyle w:val="CharDivNo"/>
        </w:rPr>
        <w:t>Division 3</w:t>
      </w:r>
      <w:r>
        <w:t> — </w:t>
      </w:r>
      <w:r>
        <w:rPr>
          <w:rStyle w:val="CharDivText"/>
        </w:rPr>
        <w:t>Connection to distribution system</w:t>
      </w:r>
      <w:bookmarkEnd w:id="73"/>
    </w:p>
    <w:p>
      <w:pPr>
        <w:pStyle w:val="Heading5"/>
      </w:pPr>
      <w:bookmarkStart w:id="74" w:name="_Toc389658404"/>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405"/>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406"/>
      <w:r>
        <w:rPr>
          <w:rStyle w:val="CharDivNo"/>
        </w:rPr>
        <w:t>Division 4</w:t>
      </w:r>
      <w:r>
        <w:t> — </w:t>
      </w:r>
      <w:r>
        <w:rPr>
          <w:rStyle w:val="CharDivText"/>
        </w:rPr>
        <w:t>Default supplier</w:t>
      </w:r>
      <w:bookmarkEnd w:id="76"/>
    </w:p>
    <w:p>
      <w:pPr>
        <w:pStyle w:val="Heading5"/>
      </w:pPr>
      <w:bookmarkStart w:id="77" w:name="_Toc389658407"/>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408"/>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409"/>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410"/>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411"/>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412"/>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413"/>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414"/>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415"/>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416"/>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417"/>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418"/>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419"/>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420"/>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421"/>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422"/>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423"/>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424"/>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425"/>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426"/>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427"/>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428"/>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429"/>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430"/>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431"/>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432"/>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The Authority may determine that a member of the committee is to receive remuneration or an allowance, and if the Authority so determines it is to fix the remuneration or allowance on the recommendation of the</w:t>
      </w:r>
      <w:r>
        <w:t xml:space="preserve"> Public Sector Commissioner</w:t>
      </w:r>
      <w:r>
        <w:rPr>
          <w:snapToGrid w:val="0"/>
        </w:rPr>
        <w:t xml:space="preserve">.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Footnotesection"/>
      </w:pPr>
      <w:r>
        <w:tab/>
        <w:t>[Section 81 amended by No. 39 of 2010 s. 89.]</w:t>
      </w:r>
    </w:p>
    <w:p>
      <w:pPr>
        <w:pStyle w:val="Heading5"/>
      </w:pPr>
      <w:bookmarkStart w:id="103" w:name="_Toc389658433"/>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434"/>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435"/>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436"/>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437"/>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438"/>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439"/>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440"/>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441"/>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442"/>
      <w:r>
        <w:rPr>
          <w:rStyle w:val="CharPartNo"/>
        </w:rPr>
        <w:t>Part 7</w:t>
      </w:r>
      <w:r>
        <w:t> — </w:t>
      </w:r>
      <w:r>
        <w:rPr>
          <w:rStyle w:val="CharPartText"/>
        </w:rPr>
        <w:t>Electricity ombudsman scheme</w:t>
      </w:r>
      <w:bookmarkEnd w:id="112"/>
    </w:p>
    <w:p>
      <w:pPr>
        <w:pStyle w:val="Heading3"/>
      </w:pPr>
      <w:bookmarkStart w:id="113" w:name="_Toc389658443"/>
      <w:r>
        <w:rPr>
          <w:rStyle w:val="CharDivNo"/>
        </w:rPr>
        <w:t>Division 1</w:t>
      </w:r>
      <w:r>
        <w:t> — </w:t>
      </w:r>
      <w:r>
        <w:rPr>
          <w:rStyle w:val="CharDivText"/>
        </w:rPr>
        <w:t>Preliminary</w:t>
      </w:r>
      <w:bookmarkEnd w:id="113"/>
    </w:p>
    <w:p>
      <w:pPr>
        <w:pStyle w:val="Heading5"/>
      </w:pPr>
      <w:bookmarkStart w:id="114" w:name="_Toc389658444"/>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445"/>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446"/>
      <w:r>
        <w:rPr>
          <w:rStyle w:val="CharDivNo"/>
        </w:rPr>
        <w:t>Division 2</w:t>
      </w:r>
      <w:r>
        <w:t> — </w:t>
      </w:r>
      <w:r>
        <w:rPr>
          <w:rStyle w:val="CharDivText"/>
        </w:rPr>
        <w:t>Approval of electricity ombudsman scheme</w:t>
      </w:r>
      <w:bookmarkEnd w:id="116"/>
    </w:p>
    <w:p>
      <w:pPr>
        <w:pStyle w:val="Heading5"/>
      </w:pPr>
      <w:bookmarkStart w:id="117" w:name="_Toc389658447"/>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448"/>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449"/>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450"/>
      <w:r>
        <w:rPr>
          <w:rStyle w:val="CharDivNo"/>
        </w:rPr>
        <w:t>Division 3</w:t>
      </w:r>
      <w:r>
        <w:t> — </w:t>
      </w:r>
      <w:r>
        <w:rPr>
          <w:rStyle w:val="CharDivText"/>
        </w:rPr>
        <w:t>Scheme operation</w:t>
      </w:r>
      <w:bookmarkEnd w:id="120"/>
    </w:p>
    <w:p>
      <w:pPr>
        <w:pStyle w:val="Heading5"/>
      </w:pPr>
      <w:bookmarkStart w:id="121" w:name="_Toc389658451"/>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452"/>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453"/>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454"/>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455"/>
      <w:r>
        <w:rPr>
          <w:rStyle w:val="CharDivNo"/>
        </w:rPr>
        <w:t>Division 4</w:t>
      </w:r>
      <w:r>
        <w:t> — </w:t>
      </w:r>
      <w:r>
        <w:rPr>
          <w:rStyle w:val="CharDivText"/>
        </w:rPr>
        <w:t>Membership of approved scheme by licensee</w:t>
      </w:r>
      <w:bookmarkEnd w:id="125"/>
    </w:p>
    <w:p>
      <w:pPr>
        <w:pStyle w:val="Heading5"/>
        <w:spacing w:before="180"/>
      </w:pPr>
      <w:bookmarkStart w:id="126" w:name="_Toc389658456"/>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457"/>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458"/>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459"/>
      <w:r>
        <w:rPr>
          <w:rStyle w:val="CharPartNo"/>
        </w:rPr>
        <w:t>Part 8</w:t>
      </w:r>
      <w:r>
        <w:t> — </w:t>
      </w:r>
      <w:r>
        <w:rPr>
          <w:rStyle w:val="CharPartText"/>
        </w:rPr>
        <w:t>Access to services of network infrastructure facilities</w:t>
      </w:r>
      <w:bookmarkEnd w:id="129"/>
    </w:p>
    <w:p>
      <w:pPr>
        <w:pStyle w:val="Heading3"/>
      </w:pPr>
      <w:bookmarkStart w:id="130" w:name="_Toc389658460"/>
      <w:r>
        <w:rPr>
          <w:rStyle w:val="CharDivNo"/>
        </w:rPr>
        <w:t>Division 1</w:t>
      </w:r>
      <w:r>
        <w:t> — </w:t>
      </w:r>
      <w:r>
        <w:rPr>
          <w:rStyle w:val="CharDivText"/>
        </w:rPr>
        <w:t>Preliminary</w:t>
      </w:r>
      <w:bookmarkEnd w:id="130"/>
    </w:p>
    <w:p>
      <w:pPr>
        <w:pStyle w:val="Heading5"/>
      </w:pPr>
      <w:bookmarkStart w:id="131" w:name="_Toc389658461"/>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462"/>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463"/>
      <w:r>
        <w:rPr>
          <w:rStyle w:val="CharDivNo"/>
        </w:rPr>
        <w:t>Division 2</w:t>
      </w:r>
      <w:r>
        <w:t> — </w:t>
      </w:r>
      <w:r>
        <w:rPr>
          <w:rStyle w:val="CharDivText"/>
        </w:rPr>
        <w:t>Establishment of Code</w:t>
      </w:r>
      <w:bookmarkEnd w:id="133"/>
    </w:p>
    <w:p>
      <w:pPr>
        <w:pStyle w:val="Heading5"/>
      </w:pPr>
      <w:bookmarkStart w:id="134" w:name="_Toc389658464"/>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465"/>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466"/>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467"/>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468"/>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469"/>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470"/>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471"/>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472"/>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473"/>
      <w:r>
        <w:rPr>
          <w:rStyle w:val="CharDivNo"/>
        </w:rPr>
        <w:t>Division 3</w:t>
      </w:r>
      <w:r>
        <w:t> — </w:t>
      </w:r>
      <w:r>
        <w:rPr>
          <w:rStyle w:val="CharDivText"/>
        </w:rPr>
        <w:t>Enforcement</w:t>
      </w:r>
      <w:bookmarkEnd w:id="143"/>
    </w:p>
    <w:p>
      <w:pPr>
        <w:pStyle w:val="Heading5"/>
      </w:pPr>
      <w:bookmarkStart w:id="144" w:name="_Toc389658474"/>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475"/>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476"/>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477"/>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478"/>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479"/>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480"/>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481"/>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482"/>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483"/>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484"/>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485"/>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486"/>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487"/>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488"/>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489"/>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490"/>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491"/>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492"/>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493"/>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494"/>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495"/>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496"/>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497"/>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498"/>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499"/>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500"/>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501"/>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502"/>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503"/>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504"/>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505"/>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506"/>
      <w:r>
        <w:rPr>
          <w:rStyle w:val="CharSchNo"/>
        </w:rPr>
        <w:t>Schedule 1</w:t>
      </w:r>
      <w:r>
        <w:rPr>
          <w:rStyle w:val="CharSDivNo"/>
        </w:rPr>
        <w:t> </w:t>
      </w:r>
      <w:r>
        <w:t>—</w:t>
      </w:r>
      <w:r>
        <w:rPr>
          <w:rStyle w:val="CharSDivText"/>
        </w:rPr>
        <w:t> </w:t>
      </w:r>
      <w:r>
        <w:rPr>
          <w:rStyle w:val="CharSchText"/>
        </w:rPr>
        <w:t>Licence terms and conditions</w:t>
      </w:r>
      <w:bookmarkEnd w:id="176"/>
    </w:p>
    <w:p>
      <w:pPr>
        <w:pStyle w:val="yShoulderClause"/>
      </w:pPr>
      <w:r>
        <w:t>[s. 11]</w:t>
      </w:r>
    </w:p>
    <w:p>
      <w:pPr>
        <w:pStyle w:val="yHeading5"/>
        <w:rPr>
          <w:snapToGrid w:val="0"/>
        </w:rPr>
      </w:pPr>
      <w:bookmarkStart w:id="177" w:name="_Toc389658507"/>
      <w:r>
        <w:rPr>
          <w:rStyle w:val="CharSClsNo"/>
        </w:rPr>
        <w:t>1</w:t>
      </w:r>
      <w:r>
        <w:rPr>
          <w:snapToGrid w:val="0"/>
        </w:rPr>
        <w:t>.</w:t>
      </w:r>
      <w:r>
        <w:rPr>
          <w:snapToGrid w:val="0"/>
        </w:rPr>
        <w:tab/>
        <w:t>Licence terms and conditions</w:t>
      </w:r>
      <w:bookmarkEnd w:id="177"/>
    </w:p>
    <w:p>
      <w:pPr>
        <w:pStyle w:val="ySubsection"/>
      </w:pPr>
      <w:r>
        <w:tab/>
      </w:r>
      <w:r>
        <w:tab/>
        <w:t xml:space="preserve">A licence may include provisions — </w:t>
      </w:r>
    </w:p>
    <w:p>
      <w:pPr>
        <w:pStyle w:val="yIndenta"/>
      </w:pPr>
      <w:r>
        <w:tab/>
        <w:t>(a)</w:t>
      </w:r>
      <w:r>
        <w:tab/>
        <w:t>if the licence is a generation licence or integrated regional licence, requiring the licensee to prepare and implement strategies for the management of greenhouse gas emissions;</w:t>
      </w:r>
    </w:p>
    <w:p>
      <w:pPr>
        <w:pStyle w:val="yIndenta"/>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Indenta"/>
      </w:pPr>
      <w:r>
        <w:tab/>
        <w:t>(c)</w:t>
      </w:r>
      <w:r>
        <w:tab/>
        <w:t>if the licence is a retail licence or an integrated regional licence, requiring the licensee to prepare and implement strategies to encourage the use of renewable energy;</w:t>
      </w:r>
    </w:p>
    <w:p>
      <w:pPr>
        <w:pStyle w:val="yIndenta"/>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Indenta"/>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Indenta"/>
      </w:pPr>
      <w:r>
        <w:tab/>
        <w:t>(f)</w:t>
      </w:r>
      <w:r>
        <w:tab/>
        <w:t xml:space="preserve">if the licence is a retail licence or an integrated regional licence, requiring the licensee, when seeking payment by tariff customers of a fee or charge, to specify — </w:t>
      </w:r>
    </w:p>
    <w:p>
      <w:pPr>
        <w:pStyle w:val="yIndenti0"/>
      </w:pPr>
      <w:r>
        <w:tab/>
        <w:t>(i)</w:t>
      </w:r>
      <w:r>
        <w:tab/>
        <w:t>the portion of the fee or charge that is attributable to the cost of generating the electricity supplied;</w:t>
      </w:r>
    </w:p>
    <w:p>
      <w:pPr>
        <w:pStyle w:val="yIndenti0"/>
      </w:pPr>
      <w:r>
        <w:tab/>
        <w:t>(ii)</w:t>
      </w:r>
      <w:r>
        <w:tab/>
        <w:t>the portion of the fee or charge that is attributable to the cost of transporting that electricity through a transmission system; and</w:t>
      </w:r>
    </w:p>
    <w:p>
      <w:pPr>
        <w:pStyle w:val="yIndenti0"/>
      </w:pPr>
      <w:r>
        <w:tab/>
        <w:t>(iii)</w:t>
      </w:r>
      <w:r>
        <w:tab/>
        <w:t>the portion of the fee or charge that is attributable to the cost of transporting that electricity through a distribution system;</w:t>
      </w:r>
    </w:p>
    <w:p>
      <w:pPr>
        <w:pStyle w:val="yIndenta"/>
      </w:pPr>
      <w:r>
        <w:tab/>
        <w:t>(g)</w:t>
      </w:r>
      <w:r>
        <w:tab/>
        <w:t>if the licence is a retail licence or an integrated regional licence, regulating the extent to which the licensee’s customers may be of a particular class;</w:t>
      </w:r>
    </w:p>
    <w:p>
      <w:pPr>
        <w:pStyle w:val="yIndenta"/>
      </w:pPr>
      <w:r>
        <w:tab/>
        <w:t>(h)</w:t>
      </w:r>
      <w:r>
        <w:tab/>
        <w:t>requiring the licensee to maintain specified accounting records;</w:t>
      </w:r>
    </w:p>
    <w:p>
      <w:pPr>
        <w:pStyle w:val="yIndenta"/>
      </w:pPr>
      <w:r>
        <w:tab/>
        <w:t>(i)</w:t>
      </w:r>
      <w:r>
        <w:tab/>
        <w:t>preventing the licensee from engaging in or undertaking specified business activities or any other business in the electricity industry in the State;</w:t>
      </w:r>
    </w:p>
    <w:p>
      <w:pPr>
        <w:pStyle w:val="yIndenta"/>
      </w:pPr>
      <w:r>
        <w:tab/>
        <w:t>(j)</w:t>
      </w:r>
      <w:r>
        <w:tab/>
        <w:t>specifying methods or standards to be applied in supplying electricity under the authority of the licence;</w:t>
      </w:r>
    </w:p>
    <w:p>
      <w:pPr>
        <w:pStyle w:val="yIndenta"/>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Indenta"/>
      </w:pPr>
      <w:r>
        <w:tab/>
        <w:t>(l)</w:t>
      </w:r>
      <w:r>
        <w:tab/>
        <w:t>specifying procedures for surrender of the licence;</w:t>
      </w:r>
    </w:p>
    <w:p>
      <w:pPr>
        <w:pStyle w:val="yIndenta"/>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Indenta"/>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Indenta"/>
      </w:pPr>
      <w:r>
        <w:tab/>
        <w:t>(o)</w:t>
      </w:r>
      <w:r>
        <w:tab/>
        <w:t xml:space="preserve">relating to the performance of functions by the licensee including — </w:t>
      </w:r>
    </w:p>
    <w:p>
      <w:pPr>
        <w:pStyle w:val="yIndenti0"/>
      </w:pPr>
      <w:r>
        <w:tab/>
        <w:t>(i)</w:t>
      </w:r>
      <w:r>
        <w:tab/>
        <w:t>the range of functions that may be performed by the licensee;</w:t>
      </w:r>
    </w:p>
    <w:p>
      <w:pPr>
        <w:pStyle w:val="yIndenti0"/>
      </w:pPr>
      <w:r>
        <w:tab/>
        <w:t>(ii)</w:t>
      </w:r>
      <w:r>
        <w:tab/>
        <w:t>performance criteria to be met by the licensee; and</w:t>
      </w:r>
    </w:p>
    <w:p>
      <w:pPr>
        <w:pStyle w:val="yIndenti0"/>
      </w:pPr>
      <w:r>
        <w:tab/>
        <w:t>(iii)</w:t>
      </w:r>
      <w:r>
        <w:tab/>
        <w:t>community service obligations, that is obligations that are not commercially justified, to be discharged by the licensee;</w:t>
      </w:r>
    </w:p>
    <w:p>
      <w:pPr>
        <w:pStyle w:val="yIndenta"/>
      </w:pPr>
      <w:r>
        <w:tab/>
        <w:t>(p)</w:t>
      </w:r>
      <w:r>
        <w:tab/>
        <w:t>requiring the licensee to publish specified information in relation to its performance under the licence;</w:t>
      </w:r>
    </w:p>
    <w:p>
      <w:pPr>
        <w:pStyle w:val="yIndenta"/>
      </w:pPr>
      <w:r>
        <w:tab/>
        <w:t>(q)</w:t>
      </w:r>
      <w:r>
        <w:tab/>
        <w:t>relating to obligations of the licensee with respect to public authorities and other licensees;</w:t>
      </w:r>
    </w:p>
    <w:p>
      <w:pPr>
        <w:pStyle w:val="yIndenta"/>
      </w:pPr>
      <w:r>
        <w:tab/>
        <w:t>(r)</w:t>
      </w:r>
      <w:r>
        <w:tab/>
        <w:t>regulating the construction or operation, or both, of any generating works, transmission system or distribution system to which the licence applies;</w:t>
      </w:r>
    </w:p>
    <w:p>
      <w:pPr>
        <w:pStyle w:val="yIndenta"/>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Indenti0"/>
      </w:pPr>
      <w:r>
        <w:tab/>
        <w:t>(i)</w:t>
      </w:r>
      <w:r>
        <w:tab/>
        <w:t>prohibiting any disposal or transfer of property except with the approval of a specified person;</w:t>
      </w:r>
    </w:p>
    <w:p>
      <w:pPr>
        <w:pStyle w:val="yIndenti0"/>
      </w:pPr>
      <w:r>
        <w:tab/>
        <w:t>(ii)</w:t>
      </w:r>
      <w:r>
        <w:tab/>
        <w:t>prohibiting the giving of any encumbrance over specified property except with the approval of the Authority;</w:t>
      </w:r>
    </w:p>
    <w:p>
      <w:pPr>
        <w:pStyle w:val="yIndenti0"/>
      </w:pPr>
      <w:r>
        <w:tab/>
        <w:t>(iii)</w:t>
      </w:r>
      <w:r>
        <w:tab/>
        <w:t>requiring the transfer of property, rights or liabilities of a specified kind to a specified person on or within a specified time after the expiration of the licence;</w:t>
      </w:r>
    </w:p>
    <w:p>
      <w:pPr>
        <w:pStyle w:val="yIndenti0"/>
      </w:pPr>
      <w:r>
        <w:tab/>
        <w:t>(iv)</w:t>
      </w:r>
      <w:r>
        <w:tab/>
        <w:t>with respect to the consideration to be provided in respect of any disposal or transfer;</w:t>
      </w:r>
    </w:p>
    <w:p>
      <w:pPr>
        <w:pStyle w:val="yIndenti0"/>
      </w:pPr>
      <w:r>
        <w:tab/>
        <w:t>(v)</w:t>
      </w:r>
      <w:r>
        <w:tab/>
        <w:t>with respect to the arbitration of disputes that arise in connection with any disposal or transfer; and</w:t>
      </w:r>
    </w:p>
    <w:p>
      <w:pPr>
        <w:pStyle w:val="yIndenti0"/>
      </w:pPr>
      <w:r>
        <w:tab/>
        <w:t>(vi)</w:t>
      </w:r>
      <w:r>
        <w:tab/>
        <w:t>of a supplementary, consequential or transitional nature in relation to any disposal or transfer.</w:t>
      </w:r>
    </w:p>
    <w:p>
      <w:pPr>
        <w:pStyle w:val="yFootnotesection"/>
      </w:pPr>
      <w:r>
        <w:tab/>
        <w:t>[Clause 1 amended by No. 19 of 2010 s. 51.]</w:t>
      </w:r>
    </w:p>
    <w:p>
      <w:pPr>
        <w:pStyle w:val="yFootnotesection"/>
      </w:pPr>
      <w:r>
        <w:tab/>
        <w:t>[Schedule 1 amended by No. 33 of 2004 s. 36; No. 19 of 2010 s. 51.]</w:t>
      </w:r>
    </w:p>
    <w:p>
      <w:pPr>
        <w:pStyle w:val="yScheduleHeading"/>
      </w:pPr>
      <w:bookmarkStart w:id="178" w:name="_Toc389658508"/>
      <w:r>
        <w:rPr>
          <w:rStyle w:val="CharSchNo"/>
        </w:rPr>
        <w:t>Schedule 2</w:t>
      </w:r>
      <w:r>
        <w:t xml:space="preserve"> — </w:t>
      </w:r>
      <w:r>
        <w:rPr>
          <w:rStyle w:val="CharSchText"/>
        </w:rPr>
        <w:t>Objectives to be met by the electricity ombudsman scheme</w:t>
      </w:r>
      <w:bookmarkEnd w:id="178"/>
    </w:p>
    <w:p>
      <w:pPr>
        <w:pStyle w:val="yShoulderClause"/>
      </w:pPr>
      <w:r>
        <w:t>[s. 93]</w:t>
      </w:r>
    </w:p>
    <w:p>
      <w:pPr>
        <w:pStyle w:val="yHeading5"/>
        <w:rPr>
          <w:snapToGrid w:val="0"/>
        </w:rPr>
      </w:pPr>
      <w:bookmarkStart w:id="179" w:name="_Toc389658509"/>
      <w:r>
        <w:rPr>
          <w:rStyle w:val="CharSClsNo"/>
        </w:rPr>
        <w:t>1</w:t>
      </w:r>
      <w:r>
        <w:rPr>
          <w:snapToGrid w:val="0"/>
        </w:rPr>
        <w:t>.</w:t>
      </w:r>
      <w:r>
        <w:rPr>
          <w:snapToGrid w:val="0"/>
        </w:rPr>
        <w:tab/>
        <w:t>Objectives stated</w:t>
      </w:r>
      <w:bookmarkEnd w:id="179"/>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Footnotesection"/>
      </w:pPr>
      <w:r>
        <w:tab/>
        <w:t>[Clause 1 amended by No. 19 of 2010 s. 51.]</w:t>
      </w:r>
    </w:p>
    <w:p>
      <w:pPr>
        <w:pStyle w:val="yFootnotesection"/>
      </w:pPr>
      <w:r>
        <w:tab/>
        <w:t>[Schedule 2 amended by No. 19 of 2010 s. 51.]</w:t>
      </w:r>
    </w:p>
    <w:p>
      <w:pPr>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80" w:name="_Toc389658510"/>
      <w:r>
        <w:rPr>
          <w:rStyle w:val="CharSchNo"/>
        </w:rPr>
        <w:t>Schedule 3</w:t>
      </w:r>
      <w:r>
        <w:t> — </w:t>
      </w:r>
      <w:r>
        <w:rPr>
          <w:rStyle w:val="CharSchText"/>
        </w:rPr>
        <w:t>Transitional provisions</w:t>
      </w:r>
      <w:bookmarkEnd w:id="180"/>
    </w:p>
    <w:p>
      <w:pPr>
        <w:pStyle w:val="yShoulderClause"/>
      </w:pPr>
      <w:r>
        <w:t>[s. 79, 81]</w:t>
      </w:r>
    </w:p>
    <w:p>
      <w:pPr>
        <w:pStyle w:val="yHeading3"/>
        <w:outlineLvl w:val="0"/>
      </w:pPr>
      <w:bookmarkStart w:id="181" w:name="_Toc389658511"/>
      <w:r>
        <w:rPr>
          <w:rStyle w:val="CharSDivNo"/>
        </w:rPr>
        <w:t>Division 1</w:t>
      </w:r>
      <w:r>
        <w:rPr>
          <w:b w:val="0"/>
        </w:rPr>
        <w:t> — </w:t>
      </w:r>
      <w:r>
        <w:rPr>
          <w:rStyle w:val="CharSDivText"/>
        </w:rPr>
        <w:t>Initial customer service code of conduct</w:t>
      </w:r>
      <w:bookmarkEnd w:id="181"/>
    </w:p>
    <w:p>
      <w:pPr>
        <w:pStyle w:val="yHeading5"/>
        <w:outlineLvl w:val="0"/>
      </w:pPr>
      <w:bookmarkStart w:id="182" w:name="_Toc389658512"/>
      <w:r>
        <w:rPr>
          <w:rStyle w:val="CharSClsNo"/>
        </w:rPr>
        <w:t>1</w:t>
      </w:r>
      <w:r>
        <w:t>.</w:t>
      </w:r>
      <w:r>
        <w:tab/>
        <w:t>Approval of initial customer service code of conduct</w:t>
      </w:r>
      <w:bookmarkEnd w:id="182"/>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3" w:name="_Toc389658513"/>
      <w:r>
        <w:rPr>
          <w:rStyle w:val="CharSClsNo"/>
        </w:rPr>
        <w:t>2</w:t>
      </w:r>
      <w:r>
        <w:t>.</w:t>
      </w:r>
      <w:r>
        <w:tab/>
        <w:t>Appointment of initial committee</w:t>
      </w:r>
      <w:bookmarkEnd w:id="183"/>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4" w:name="_Toc389658514"/>
      <w:r>
        <w:rPr>
          <w:rStyle w:val="CharSClsNo"/>
        </w:rPr>
        <w:t>3</w:t>
      </w:r>
      <w:r>
        <w:t>.</w:t>
      </w:r>
      <w:r>
        <w:tab/>
        <w:t>Regulations for transitional matters</w:t>
      </w:r>
      <w:bookmarkEnd w:id="18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5" w:name="_Toc389658515"/>
      <w:r>
        <w:rPr>
          <w:rStyle w:val="CharSDivNo"/>
        </w:rPr>
        <w:t>Division 2</w:t>
      </w:r>
      <w:r>
        <w:rPr>
          <w:b w:val="0"/>
        </w:rPr>
        <w:t> — </w:t>
      </w:r>
      <w:r>
        <w:rPr>
          <w:rStyle w:val="CharSDivText"/>
        </w:rPr>
        <w:t>Initial electricity ombudsman scheme</w:t>
      </w:r>
      <w:bookmarkEnd w:id="185"/>
    </w:p>
    <w:p>
      <w:pPr>
        <w:pStyle w:val="yHeading5"/>
        <w:outlineLvl w:val="0"/>
      </w:pPr>
      <w:bookmarkStart w:id="186" w:name="_Toc389658516"/>
      <w:r>
        <w:rPr>
          <w:rStyle w:val="CharSClsNo"/>
        </w:rPr>
        <w:t>4</w:t>
      </w:r>
      <w:r>
        <w:t>.</w:t>
      </w:r>
      <w:r>
        <w:tab/>
        <w:t>Approval of initial electricity ombudsman scheme</w:t>
      </w:r>
      <w:bookmarkEnd w:id="18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7" w:name="_Toc389658517"/>
      <w:r>
        <w:rPr>
          <w:rStyle w:val="CharSClsNo"/>
        </w:rPr>
        <w:t>5</w:t>
      </w:r>
      <w:r>
        <w:t>.</w:t>
      </w:r>
      <w:r>
        <w:tab/>
        <w:t>Regulations for transitional matters</w:t>
      </w:r>
      <w:bookmarkEnd w:id="18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sectPr>
          <w:headerReference w:type="even" r:id="rId28"/>
          <w:headerReference w:type="default" r:id="rId29"/>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8" w:name="_Toc389658518"/>
      <w:r>
        <w:t>Notes</w:t>
      </w:r>
      <w:bookmarkEnd w:id="188"/>
    </w:p>
    <w:p>
      <w:pPr>
        <w:pStyle w:val="nSubsection"/>
        <w:rPr>
          <w:snapToGrid w:val="0"/>
        </w:rPr>
      </w:pPr>
      <w:r>
        <w:rPr>
          <w:snapToGrid w:val="0"/>
          <w:vertAlign w:val="superscript"/>
        </w:rPr>
        <w:t>1</w:t>
      </w:r>
      <w:r>
        <w:rPr>
          <w:snapToGrid w:val="0"/>
        </w:rPr>
        <w:tab/>
        <w:t xml:space="preserve">This is a compilation of the </w:t>
      </w:r>
      <w:r>
        <w:rPr>
          <w:i/>
          <w:sz w:val="19"/>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9" w:name="_Toc389658519"/>
      <w:r>
        <w:rPr>
          <w:snapToGrid w:val="0"/>
        </w:rP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gridCol w:w="17"/>
      </w:tblGrid>
      <w:tr>
        <w:trPr>
          <w:tblHeader/>
        </w:trPr>
        <w:tc>
          <w:tcPr>
            <w:tcW w:w="2273" w:type="dxa"/>
            <w:tcBorders>
              <w:top w:val="single" w:sz="8" w:space="0" w:color="auto"/>
              <w:bottom w:val="single" w:sz="8" w:space="0" w:color="auto"/>
            </w:tcBorders>
          </w:tcPr>
          <w:p>
            <w:pPr>
              <w:pStyle w:val="nTable"/>
              <w:spacing w:after="40"/>
              <w:rPr>
                <w:b/>
                <w:sz w:val="19"/>
              </w:rPr>
            </w:pPr>
            <w:r>
              <w:rPr>
                <w:b/>
                <w:sz w:val="19"/>
              </w:rPr>
              <w:t>Short title</w:t>
            </w:r>
          </w:p>
        </w:tc>
        <w:tc>
          <w:tcPr>
            <w:tcW w:w="1138" w:type="dxa"/>
            <w:tcBorders>
              <w:top w:val="single" w:sz="8" w:space="0" w:color="auto"/>
              <w:bottom w:val="single" w:sz="8" w:space="0" w:color="auto"/>
            </w:tcBorders>
          </w:tcPr>
          <w:p>
            <w:pPr>
              <w:pStyle w:val="nTable"/>
              <w:spacing w:after="40"/>
              <w:rPr>
                <w:b/>
                <w:sz w:val="19"/>
              </w:rPr>
            </w:pPr>
            <w:r>
              <w:rPr>
                <w:b/>
                <w:sz w:val="19"/>
              </w:rPr>
              <w:t>Number and year</w:t>
            </w:r>
          </w:p>
        </w:tc>
        <w:tc>
          <w:tcPr>
            <w:tcW w:w="1135" w:type="dxa"/>
            <w:tcBorders>
              <w:top w:val="single" w:sz="8" w:space="0" w:color="auto"/>
              <w:bottom w:val="single" w:sz="8" w:space="0" w:color="auto"/>
            </w:tcBorders>
          </w:tcPr>
          <w:p>
            <w:pPr>
              <w:pStyle w:val="nTable"/>
              <w:spacing w:after="40"/>
              <w:rPr>
                <w:b/>
                <w:sz w:val="19"/>
              </w:rPr>
            </w:pPr>
            <w:r>
              <w:rPr>
                <w:b/>
                <w:sz w:val="19"/>
              </w:rPr>
              <w:t>Assent</w:t>
            </w:r>
          </w:p>
        </w:tc>
        <w:tc>
          <w:tcPr>
            <w:tcW w:w="2570" w:type="dxa"/>
            <w:gridSpan w:val="2"/>
            <w:tcBorders>
              <w:top w:val="single" w:sz="8" w:space="0" w:color="auto"/>
              <w:bottom w:val="single" w:sz="8" w:space="0" w:color="auto"/>
            </w:tcBorders>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z w:val="19"/>
              </w:rPr>
              <w:t>Electricity Industry Act 2004</w:t>
            </w:r>
          </w:p>
        </w:tc>
        <w:tc>
          <w:tcPr>
            <w:tcW w:w="1138" w:type="dxa"/>
            <w:tcBorders>
              <w:top w:val="single" w:sz="8" w:space="0" w:color="auto"/>
            </w:tcBorders>
          </w:tcPr>
          <w:p>
            <w:pPr>
              <w:pStyle w:val="nTable"/>
              <w:spacing w:after="40"/>
              <w:rPr>
                <w:sz w:val="19"/>
              </w:rPr>
            </w:pPr>
            <w:r>
              <w:rPr>
                <w:sz w:val="19"/>
              </w:rPr>
              <w:t>5 of 2004</w:t>
            </w:r>
          </w:p>
        </w:tc>
        <w:tc>
          <w:tcPr>
            <w:tcW w:w="1135" w:type="dxa"/>
            <w:tcBorders>
              <w:top w:val="single" w:sz="8" w:space="0" w:color="auto"/>
            </w:tcBorders>
          </w:tcPr>
          <w:p>
            <w:pPr>
              <w:pStyle w:val="nTable"/>
              <w:spacing w:after="40"/>
              <w:rPr>
                <w:sz w:val="19"/>
              </w:rPr>
            </w:pPr>
            <w:r>
              <w:rPr>
                <w:sz w:val="19"/>
              </w:rPr>
              <w:t>23 Apr 2004</w:t>
            </w:r>
          </w:p>
        </w:tc>
        <w:tc>
          <w:tcPr>
            <w:tcW w:w="2570" w:type="dxa"/>
            <w:gridSpan w:val="2"/>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73" w:type="dxa"/>
          </w:tcPr>
          <w:p>
            <w:pPr>
              <w:pStyle w:val="nTable"/>
              <w:spacing w:after="40"/>
              <w:rPr>
                <w:sz w:val="19"/>
              </w:rPr>
            </w:pPr>
            <w:r>
              <w:rPr>
                <w:i/>
                <w:sz w:val="19"/>
              </w:rPr>
              <w:t>Electricity Legislation Amendment Act 2004</w:t>
            </w:r>
            <w:r>
              <w:rPr>
                <w:sz w:val="19"/>
              </w:rPr>
              <w:t xml:space="preserve"> Pt. 2 Div. 3</w:t>
            </w:r>
          </w:p>
        </w:tc>
        <w:tc>
          <w:tcPr>
            <w:tcW w:w="1138" w:type="dxa"/>
          </w:tcPr>
          <w:p>
            <w:pPr>
              <w:pStyle w:val="nTable"/>
              <w:spacing w:after="40"/>
              <w:rPr>
                <w:sz w:val="19"/>
              </w:rPr>
            </w:pPr>
            <w:r>
              <w:rPr>
                <w:sz w:val="19"/>
              </w:rPr>
              <w:t>33 of 2004</w:t>
            </w:r>
          </w:p>
        </w:tc>
        <w:tc>
          <w:tcPr>
            <w:tcW w:w="1135" w:type="dxa"/>
          </w:tcPr>
          <w:p>
            <w:pPr>
              <w:pStyle w:val="nTable"/>
              <w:spacing w:after="40"/>
              <w:rPr>
                <w:sz w:val="19"/>
              </w:rPr>
            </w:pPr>
            <w:r>
              <w:rPr>
                <w:sz w:val="19"/>
              </w:rPr>
              <w:t>20 Oct 2004</w:t>
            </w:r>
          </w:p>
        </w:tc>
        <w:tc>
          <w:tcPr>
            <w:tcW w:w="2570" w:type="dxa"/>
            <w:gridSpan w:val="2"/>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73" w:type="dxa"/>
          </w:tcPr>
          <w:p>
            <w:pPr>
              <w:pStyle w:val="nTable"/>
              <w:spacing w:after="40"/>
              <w:rPr>
                <w:sz w:val="19"/>
              </w:rPr>
            </w:pPr>
            <w:r>
              <w:rPr>
                <w:i/>
                <w:sz w:val="19"/>
              </w:rPr>
              <w:t>Electricity Corporations Act 2005</w:t>
            </w:r>
            <w:r>
              <w:rPr>
                <w:sz w:val="19"/>
              </w:rPr>
              <w:t xml:space="preserve"> s. 139</w:t>
            </w:r>
          </w:p>
        </w:tc>
        <w:tc>
          <w:tcPr>
            <w:tcW w:w="1138" w:type="dxa"/>
          </w:tcPr>
          <w:p>
            <w:pPr>
              <w:pStyle w:val="nTable"/>
              <w:spacing w:after="40"/>
              <w:rPr>
                <w:sz w:val="19"/>
              </w:rPr>
            </w:pPr>
            <w:r>
              <w:rPr>
                <w:sz w:val="19"/>
              </w:rPr>
              <w:t>18 of 2005</w:t>
            </w:r>
          </w:p>
        </w:tc>
        <w:tc>
          <w:tcPr>
            <w:tcW w:w="1135" w:type="dxa"/>
          </w:tcPr>
          <w:p>
            <w:pPr>
              <w:pStyle w:val="nTable"/>
              <w:spacing w:after="40"/>
              <w:rPr>
                <w:sz w:val="19"/>
              </w:rPr>
            </w:pPr>
            <w:r>
              <w:rPr>
                <w:sz w:val="19"/>
              </w:rPr>
              <w:t>13 Oct 2005</w:t>
            </w:r>
          </w:p>
        </w:tc>
        <w:tc>
          <w:tcPr>
            <w:tcW w:w="2570" w:type="dxa"/>
            <w:gridSpan w:val="2"/>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116" w:type="dxa"/>
            <w:gridSpan w:val="5"/>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73"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8" w:type="dxa"/>
          </w:tcPr>
          <w:p>
            <w:pPr>
              <w:pStyle w:val="nTable"/>
              <w:spacing w:after="40"/>
              <w:rPr>
                <w:sz w:val="19"/>
              </w:rPr>
            </w:pPr>
            <w:r>
              <w:rPr>
                <w:snapToGrid w:val="0"/>
                <w:sz w:val="19"/>
              </w:rPr>
              <w:t xml:space="preserve">77 of 2006 </w:t>
            </w:r>
          </w:p>
        </w:tc>
        <w:tc>
          <w:tcPr>
            <w:tcW w:w="1135" w:type="dxa"/>
          </w:tcPr>
          <w:p>
            <w:pPr>
              <w:pStyle w:val="nTable"/>
              <w:spacing w:after="40"/>
              <w:rPr>
                <w:sz w:val="19"/>
              </w:rPr>
            </w:pPr>
            <w:r>
              <w:rPr>
                <w:snapToGrid w:val="0"/>
                <w:sz w:val="19"/>
              </w:rPr>
              <w:t>21 Dec 2006</w:t>
            </w:r>
          </w:p>
        </w:tc>
        <w:tc>
          <w:tcPr>
            <w:tcW w:w="2570" w:type="dxa"/>
            <w:gridSpan w:val="2"/>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73" w:type="dxa"/>
          </w:tcPr>
          <w:p>
            <w:pPr>
              <w:pStyle w:val="nTable"/>
              <w:spacing w:after="40"/>
              <w:rPr>
                <w:i/>
                <w:snapToGrid w:val="0"/>
                <w:sz w:val="19"/>
              </w:rPr>
            </w:pPr>
            <w:r>
              <w:rPr>
                <w:i/>
                <w:sz w:val="19"/>
              </w:rPr>
              <w:t>Electricity Industry Amendment Act 2007</w:t>
            </w:r>
          </w:p>
        </w:tc>
        <w:tc>
          <w:tcPr>
            <w:tcW w:w="1138" w:type="dxa"/>
          </w:tcPr>
          <w:p>
            <w:pPr>
              <w:pStyle w:val="nTable"/>
              <w:spacing w:after="40"/>
              <w:rPr>
                <w:snapToGrid w:val="0"/>
                <w:sz w:val="19"/>
              </w:rPr>
            </w:pPr>
            <w:r>
              <w:rPr>
                <w:snapToGrid w:val="0"/>
                <w:sz w:val="19"/>
              </w:rPr>
              <w:t>32 of 2007</w:t>
            </w:r>
          </w:p>
        </w:tc>
        <w:tc>
          <w:tcPr>
            <w:tcW w:w="1135" w:type="dxa"/>
          </w:tcPr>
          <w:p>
            <w:pPr>
              <w:pStyle w:val="nTable"/>
              <w:spacing w:after="40"/>
              <w:rPr>
                <w:snapToGrid w:val="0"/>
                <w:sz w:val="19"/>
              </w:rPr>
            </w:pPr>
            <w:r>
              <w:rPr>
                <w:snapToGrid w:val="0"/>
                <w:sz w:val="19"/>
              </w:rPr>
              <w:t>21 Dec 2007</w:t>
            </w:r>
          </w:p>
        </w:tc>
        <w:tc>
          <w:tcPr>
            <w:tcW w:w="2570" w:type="dxa"/>
            <w:gridSpan w:val="2"/>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73" w:type="dxa"/>
          </w:tcPr>
          <w:p>
            <w:pPr>
              <w:pStyle w:val="nTable"/>
              <w:spacing w:after="40"/>
              <w:rPr>
                <w:i/>
                <w:sz w:val="19"/>
              </w:rPr>
            </w:pPr>
            <w:r>
              <w:rPr>
                <w:i/>
                <w:sz w:val="19"/>
              </w:rPr>
              <w:t>National Gas Access (WA) Act 2009</w:t>
            </w:r>
            <w:r>
              <w:rPr>
                <w:iCs/>
                <w:sz w:val="19"/>
              </w:rPr>
              <w:t xml:space="preserve"> Pt. 7 Div. 3</w:t>
            </w:r>
          </w:p>
        </w:tc>
        <w:tc>
          <w:tcPr>
            <w:tcW w:w="1138" w:type="dxa"/>
          </w:tcPr>
          <w:p>
            <w:pPr>
              <w:pStyle w:val="nTable"/>
              <w:spacing w:after="40"/>
              <w:rPr>
                <w:snapToGrid w:val="0"/>
                <w:sz w:val="19"/>
              </w:rPr>
            </w:pPr>
            <w:r>
              <w:rPr>
                <w:sz w:val="19"/>
              </w:rPr>
              <w:t>16 of 2009</w:t>
            </w:r>
          </w:p>
        </w:tc>
        <w:tc>
          <w:tcPr>
            <w:tcW w:w="1135" w:type="dxa"/>
          </w:tcPr>
          <w:p>
            <w:pPr>
              <w:pStyle w:val="nTable"/>
              <w:spacing w:after="40"/>
              <w:rPr>
                <w:snapToGrid w:val="0"/>
                <w:sz w:val="19"/>
              </w:rPr>
            </w:pPr>
            <w:r>
              <w:rPr>
                <w:sz w:val="19"/>
              </w:rPr>
              <w:t>1 Sep 2009</w:t>
            </w:r>
          </w:p>
        </w:tc>
        <w:tc>
          <w:tcPr>
            <w:tcW w:w="2570" w:type="dxa"/>
            <w:gridSpan w:val="2"/>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73" w:type="dxa"/>
          </w:tcPr>
          <w:p>
            <w:pPr>
              <w:pStyle w:val="nTable"/>
              <w:spacing w:after="40"/>
              <w:ind w:right="113"/>
              <w:rPr>
                <w:i/>
                <w:sz w:val="19"/>
              </w:rPr>
            </w:pPr>
            <w:r>
              <w:rPr>
                <w:i/>
                <w:sz w:val="19"/>
              </w:rPr>
              <w:t>Statutes (Repeals and Minor Amendments) Act 2009</w:t>
            </w:r>
            <w:r>
              <w:rPr>
                <w:iCs/>
                <w:sz w:val="19"/>
              </w:rPr>
              <w:t xml:space="preserve"> s. 17</w:t>
            </w:r>
          </w:p>
        </w:tc>
        <w:tc>
          <w:tcPr>
            <w:tcW w:w="1138" w:type="dxa"/>
          </w:tcPr>
          <w:p>
            <w:pPr>
              <w:pStyle w:val="nTable"/>
              <w:spacing w:after="40"/>
              <w:rPr>
                <w:sz w:val="19"/>
              </w:rPr>
            </w:pPr>
            <w:r>
              <w:rPr>
                <w:sz w:val="19"/>
              </w:rPr>
              <w:t>46 of 2009</w:t>
            </w:r>
          </w:p>
        </w:tc>
        <w:tc>
          <w:tcPr>
            <w:tcW w:w="1135" w:type="dxa"/>
          </w:tcPr>
          <w:p>
            <w:pPr>
              <w:pStyle w:val="nTable"/>
              <w:spacing w:after="40"/>
              <w:rPr>
                <w:sz w:val="19"/>
              </w:rPr>
            </w:pPr>
            <w:r>
              <w:rPr>
                <w:sz w:val="19"/>
              </w:rPr>
              <w:t>3 Dec 2009</w:t>
            </w:r>
          </w:p>
        </w:tc>
        <w:tc>
          <w:tcPr>
            <w:tcW w:w="2570" w:type="dxa"/>
            <w:gridSpan w:val="2"/>
          </w:tcPr>
          <w:p>
            <w:pPr>
              <w:pStyle w:val="nTable"/>
              <w:spacing w:after="40"/>
              <w:rPr>
                <w:sz w:val="19"/>
              </w:rPr>
            </w:pPr>
            <w:r>
              <w:rPr>
                <w:sz w:val="19"/>
              </w:rPr>
              <w:t>4 Dec 2009 (see s. 2(b))</w:t>
            </w:r>
          </w:p>
        </w:tc>
      </w:tr>
      <w:tr>
        <w:trPr>
          <w:cantSplit/>
        </w:trPr>
        <w:tc>
          <w:tcPr>
            <w:tcW w:w="7116" w:type="dxa"/>
            <w:gridSpan w:val="5"/>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r>
        <w:trPr>
          <w:gridAfter w:val="1"/>
          <w:wAfter w:w="17" w:type="dxa"/>
          <w:cantSplit/>
        </w:trPr>
        <w:tc>
          <w:tcPr>
            <w:tcW w:w="2273"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p>
        </w:tc>
        <w:tc>
          <w:tcPr>
            <w:tcW w:w="1138"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5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gridAfter w:val="1"/>
          <w:wAfter w:w="17" w:type="dxa"/>
          <w:cantSplit/>
        </w:trPr>
        <w:tc>
          <w:tcPr>
            <w:tcW w:w="2273" w:type="dxa"/>
            <w:tcBorders>
              <w:bottom w:val="single" w:sz="4" w:space="0" w:color="auto"/>
            </w:tcBorders>
          </w:tcPr>
          <w:p>
            <w:pPr>
              <w:pStyle w:val="nTable"/>
              <w:spacing w:after="40"/>
              <w:ind w:right="113"/>
              <w:rPr>
                <w:iCs/>
                <w:snapToGrid w:val="0"/>
                <w:sz w:val="19"/>
              </w:rPr>
            </w:pPr>
            <w:r>
              <w:rPr>
                <w:i/>
                <w:iCs/>
                <w:snapToGrid w:val="0"/>
                <w:sz w:val="19"/>
              </w:rPr>
              <w:t>Public Sector Reform Act 2010</w:t>
            </w:r>
            <w:r>
              <w:rPr>
                <w:iCs/>
                <w:snapToGrid w:val="0"/>
                <w:sz w:val="19"/>
              </w:rPr>
              <w:t xml:space="preserve"> s. 89</w:t>
            </w:r>
          </w:p>
        </w:tc>
        <w:tc>
          <w:tcPr>
            <w:tcW w:w="1138" w:type="dxa"/>
            <w:tcBorders>
              <w:bottom w:val="single" w:sz="4" w:space="0" w:color="auto"/>
            </w:tcBorders>
          </w:tcPr>
          <w:p>
            <w:pPr>
              <w:pStyle w:val="nTable"/>
              <w:spacing w:after="40"/>
              <w:rPr>
                <w:snapToGrid w:val="0"/>
                <w:sz w:val="19"/>
              </w:rPr>
            </w:pPr>
            <w:r>
              <w:rPr>
                <w:snapToGrid w:val="0"/>
                <w:sz w:val="19"/>
              </w:rPr>
              <w:t>39 of 2010</w:t>
            </w:r>
          </w:p>
        </w:tc>
        <w:tc>
          <w:tcPr>
            <w:tcW w:w="1135" w:type="dxa"/>
            <w:tcBorders>
              <w:bottom w:val="single" w:sz="4" w:space="0" w:color="auto"/>
            </w:tcBorders>
          </w:tcPr>
          <w:p>
            <w:pPr>
              <w:pStyle w:val="nTable"/>
              <w:spacing w:after="40"/>
              <w:rPr>
                <w:snapToGrid w:val="0"/>
                <w:sz w:val="19"/>
              </w:rPr>
            </w:pPr>
            <w:r>
              <w:rPr>
                <w:snapToGrid w:val="0"/>
                <w:sz w:val="19"/>
              </w:rPr>
              <w:t>1 Oct 2010</w:t>
            </w:r>
          </w:p>
        </w:tc>
        <w:tc>
          <w:tcPr>
            <w:tcW w:w="2553" w:type="dxa"/>
            <w:tcBorders>
              <w:bottom w:val="single" w:sz="4" w:space="0" w:color="auto"/>
            </w:tcBorders>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pPr>
    </w:p>
    <w:p>
      <w:pPr>
        <w:pStyle w:val="nSubsection"/>
        <w:spacing w:before="120"/>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90" w:name="_Toc389658520"/>
      <w:r>
        <w:rPr>
          <w:sz w:val="28"/>
        </w:rPr>
        <w:t>Defined Terms</w:t>
      </w:r>
      <w:bookmarkEnd w:id="1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1" w:name="DefinedTerms"/>
      <w:bookmarkEnd w:id="191"/>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3"/>
          <w:headerReference w:type="default" r:id="rId34"/>
          <w:headerReference w:type="first" r:id="rId35"/>
          <w:endnotePr>
            <w:numFmt w:val="decimal"/>
          </w:endnotePr>
          <w:pgSz w:w="11906" w:h="16838" w:code="9"/>
          <w:pgMar w:top="2376" w:right="2404" w:bottom="3544" w:left="2404" w:header="709" w:footer="3380" w:gutter="0"/>
          <w:cols w:space="720"/>
          <w:noEndnote/>
          <w:docGrid w:linePitch="326"/>
        </w:sectPr>
      </w:pPr>
    </w:p>
    <w:p/>
    <w:sectPr>
      <w:headerReference w:type="even" r:id="rId36"/>
      <w:headerReference w:type="default" r:id="rId37"/>
      <w:headerReference w:type="first" r:id="rId38"/>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Dec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229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84B54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1DE65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86C59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7C64D8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472E2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F5EC8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30644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2A457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41C16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80A835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D0A28C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51"/>
    <w:docVar w:name="WAFER_20140604150246" w:val="RemoveTocBookmarks,RemoveUnusedBookmarks,RemoveLanguageTags,UsedStyles,ResetPageSize"/>
    <w:docVar w:name="WAFER_20140604150246_GUID" w:val="9449b906-433c-4623-a431-529ca365122b"/>
    <w:docVar w:name="WAFER_20151207121951" w:val="RemoveTrackChanges"/>
    <w:docVar w:name="WAFER_20151207121951_GUID" w:val="bcb9b42e-3817-4619-b040-db66c9ce36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26214</Words>
  <Characters>130551</Characters>
  <Application>Microsoft Office Word</Application>
  <DocSecurity>0</DocSecurity>
  <Lines>3528</Lines>
  <Paragraphs>2207</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154558</CharactersWithSpaces>
  <SharedDoc>false</SharedDoc>
  <HyperlinkBase/>
  <HLinks>
    <vt:vector size="6" baseType="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2004 - 02-f0-03</dc:title>
  <dc:subject/>
  <dc:creator/>
  <cp:keywords/>
  <dc:description/>
  <cp:lastModifiedBy>svcMRProcess</cp:lastModifiedBy>
  <cp:revision>4</cp:revision>
  <cp:lastPrinted>2010-04-13T02:19:00Z</cp:lastPrinted>
  <dcterms:created xsi:type="dcterms:W3CDTF">2018-08-28T09:46:00Z</dcterms:created>
  <dcterms:modified xsi:type="dcterms:W3CDTF">2018-08-28T09:46:00Z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Dec 2010</vt:lpwstr>
  </property>
  <property fmtid="{D5CDD505-2E9C-101B-9397-08002B2CF9AE}" pid="7" name="Suffix">
    <vt:lpwstr>02-f0-03</vt:lpwstr>
  </property>
  <property fmtid="{D5CDD505-2E9C-101B-9397-08002B2CF9AE}" pid="8" name="ReprintNo">
    <vt:lpwstr>2</vt:lpwstr>
  </property>
</Properties>
</file>