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Royalties for Regions Act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Royalties for Regions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_Toc435030240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_Toc435030241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_Toc435030242 \h </w:instrText>
      </w:r>
      <w:r>
        <w:fldChar w:fldCharType="separate"/>
      </w:r>
      <w:r>
        <w:t>2</w:t>
      </w:r>
      <w:r>
        <w:fldChar w:fldCharType="end"/>
      </w:r>
    </w:p>
    <w:p>
      <w:pPr>
        <w:pStyle w:val="TOC8"/>
        <w:rPr>
          <w:rFonts w:asciiTheme="minorHAnsi" w:eastAsiaTheme="minorEastAsia" w:hAnsiTheme="minorHAnsi" w:cstheme="minorBidi"/>
          <w:szCs w:val="22"/>
        </w:rPr>
      </w:pPr>
      <w:r>
        <w:t>4.</w:t>
      </w:r>
      <w:r>
        <w:tab/>
        <w:t>Object</w:t>
      </w:r>
      <w:r>
        <w:tab/>
      </w:r>
      <w:r>
        <w:fldChar w:fldCharType="begin"/>
      </w:r>
      <w:r>
        <w:instrText xml:space="preserve"> PAGEREF _Toc435030243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Royalties for Regions Fund</w:t>
      </w:r>
    </w:p>
    <w:p>
      <w:pPr>
        <w:pStyle w:val="TOC8"/>
        <w:rPr>
          <w:rFonts w:asciiTheme="minorHAnsi" w:eastAsiaTheme="minorEastAsia" w:hAnsiTheme="minorHAnsi" w:cstheme="minorBidi"/>
          <w:szCs w:val="22"/>
        </w:rPr>
      </w:pPr>
      <w:r>
        <w:t>5.</w:t>
      </w:r>
      <w:r>
        <w:tab/>
        <w:t>Subsidiary accounts of Fund</w:t>
      </w:r>
      <w:r>
        <w:tab/>
      </w:r>
      <w:r>
        <w:fldChar w:fldCharType="begin"/>
      </w:r>
      <w:r>
        <w:instrText xml:space="preserve"> PAGEREF _Toc435030245 \h </w:instrText>
      </w:r>
      <w:r>
        <w:fldChar w:fldCharType="separate"/>
      </w:r>
      <w:r>
        <w:t>4</w:t>
      </w:r>
      <w:r>
        <w:fldChar w:fldCharType="end"/>
      </w:r>
    </w:p>
    <w:p>
      <w:pPr>
        <w:pStyle w:val="TOC8"/>
        <w:rPr>
          <w:rFonts w:asciiTheme="minorHAnsi" w:eastAsiaTheme="minorEastAsia" w:hAnsiTheme="minorHAnsi" w:cstheme="minorBidi"/>
          <w:szCs w:val="22"/>
        </w:rPr>
      </w:pPr>
      <w:r>
        <w:t>6.</w:t>
      </w:r>
      <w:r>
        <w:tab/>
        <w:t>Treasurer to make payments into Fund</w:t>
      </w:r>
      <w:r>
        <w:tab/>
      </w:r>
      <w:r>
        <w:fldChar w:fldCharType="begin"/>
      </w:r>
      <w:r>
        <w:instrText xml:space="preserve"> PAGEREF _Toc435030246 \h </w:instrText>
      </w:r>
      <w:r>
        <w:fldChar w:fldCharType="separate"/>
      </w:r>
      <w:r>
        <w:t>4</w:t>
      </w:r>
      <w:r>
        <w:fldChar w:fldCharType="end"/>
      </w:r>
    </w:p>
    <w:p>
      <w:pPr>
        <w:pStyle w:val="TOC8"/>
        <w:rPr>
          <w:rFonts w:asciiTheme="minorHAnsi" w:eastAsiaTheme="minorEastAsia" w:hAnsiTheme="minorHAnsi" w:cstheme="minorBidi"/>
          <w:szCs w:val="22"/>
        </w:rPr>
      </w:pPr>
      <w:r>
        <w:t>7.</w:t>
      </w:r>
      <w:r>
        <w:tab/>
        <w:t>Money credited to Fund</w:t>
      </w:r>
      <w:r>
        <w:tab/>
      </w:r>
      <w:r>
        <w:fldChar w:fldCharType="begin"/>
      </w:r>
      <w:r>
        <w:instrText xml:space="preserve"> PAGEREF _Toc435030247 \h </w:instrText>
      </w:r>
      <w:r>
        <w:fldChar w:fldCharType="separate"/>
      </w:r>
      <w:r>
        <w:t>5</w:t>
      </w:r>
      <w:r>
        <w:fldChar w:fldCharType="end"/>
      </w:r>
    </w:p>
    <w:p>
      <w:pPr>
        <w:pStyle w:val="TOC8"/>
        <w:rPr>
          <w:rFonts w:asciiTheme="minorHAnsi" w:eastAsiaTheme="minorEastAsia" w:hAnsiTheme="minorHAnsi" w:cstheme="minorBidi"/>
          <w:szCs w:val="22"/>
        </w:rPr>
      </w:pPr>
      <w:r>
        <w:t>8.</w:t>
      </w:r>
      <w:r>
        <w:tab/>
        <w:t>Limit on amount in Fund</w:t>
      </w:r>
      <w:r>
        <w:tab/>
      </w:r>
      <w:r>
        <w:fldChar w:fldCharType="begin"/>
      </w:r>
      <w:r>
        <w:instrText xml:space="preserve"> PAGEREF _Toc435030248 \h </w:instrText>
      </w:r>
      <w:r>
        <w:fldChar w:fldCharType="separate"/>
      </w:r>
      <w:r>
        <w:t>5</w:t>
      </w:r>
      <w:r>
        <w:fldChar w:fldCharType="end"/>
      </w:r>
    </w:p>
    <w:p>
      <w:pPr>
        <w:pStyle w:val="TOC8"/>
        <w:rPr>
          <w:rFonts w:asciiTheme="minorHAnsi" w:eastAsiaTheme="minorEastAsia" w:hAnsiTheme="minorHAnsi" w:cstheme="minorBidi"/>
          <w:szCs w:val="22"/>
        </w:rPr>
      </w:pPr>
      <w:r>
        <w:t>9.</w:t>
      </w:r>
      <w:r>
        <w:tab/>
        <w:t>Application of Fund</w:t>
      </w:r>
      <w:r>
        <w:tab/>
      </w:r>
      <w:r>
        <w:fldChar w:fldCharType="begin"/>
      </w:r>
      <w:r>
        <w:instrText xml:space="preserve"> PAGEREF _Toc435030249 \h </w:instrText>
      </w:r>
      <w:r>
        <w:fldChar w:fldCharType="separate"/>
      </w:r>
      <w:r>
        <w:t>5</w:t>
      </w:r>
      <w:r>
        <w:fldChar w:fldCharType="end"/>
      </w:r>
    </w:p>
    <w:p>
      <w:pPr>
        <w:pStyle w:val="TOC8"/>
        <w:rPr>
          <w:rFonts w:asciiTheme="minorHAnsi" w:eastAsiaTheme="minorEastAsia" w:hAnsiTheme="minorHAnsi" w:cstheme="minorBidi"/>
          <w:szCs w:val="22"/>
        </w:rPr>
      </w:pPr>
      <w:r>
        <w:t>10.</w:t>
      </w:r>
      <w:r>
        <w:tab/>
        <w:t>Annual report of Department to include information about Fund</w:t>
      </w:r>
      <w:r>
        <w:tab/>
      </w:r>
      <w:r>
        <w:fldChar w:fldCharType="begin"/>
      </w:r>
      <w:r>
        <w:instrText xml:space="preserve"> PAGEREF _Toc435030250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Western Australian Regional Development Trust</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11.</w:t>
      </w:r>
      <w:r>
        <w:tab/>
        <w:t>Trust established</w:t>
      </w:r>
      <w:r>
        <w:tab/>
      </w:r>
      <w:r>
        <w:fldChar w:fldCharType="begin"/>
      </w:r>
      <w:r>
        <w:instrText xml:space="preserve"> PAGEREF _Toc435030253 \h </w:instrText>
      </w:r>
      <w:r>
        <w:fldChar w:fldCharType="separate"/>
      </w:r>
      <w:r>
        <w:t>7</w:t>
      </w:r>
      <w:r>
        <w:fldChar w:fldCharType="end"/>
      </w:r>
    </w:p>
    <w:p>
      <w:pPr>
        <w:pStyle w:val="TOC8"/>
        <w:rPr>
          <w:rFonts w:asciiTheme="minorHAnsi" w:eastAsiaTheme="minorEastAsia" w:hAnsiTheme="minorHAnsi" w:cstheme="minorBidi"/>
          <w:szCs w:val="22"/>
        </w:rPr>
      </w:pPr>
      <w:r>
        <w:t>12.</w:t>
      </w:r>
      <w:r>
        <w:tab/>
        <w:t>Functions</w:t>
      </w:r>
      <w:r>
        <w:tab/>
      </w:r>
      <w:r>
        <w:fldChar w:fldCharType="begin"/>
      </w:r>
      <w:r>
        <w:instrText xml:space="preserve"> PAGEREF _Toc435030254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Constitution and related matters</w:t>
      </w:r>
    </w:p>
    <w:p>
      <w:pPr>
        <w:pStyle w:val="TOC8"/>
        <w:rPr>
          <w:rFonts w:asciiTheme="minorHAnsi" w:eastAsiaTheme="minorEastAsia" w:hAnsiTheme="minorHAnsi" w:cstheme="minorBidi"/>
          <w:szCs w:val="22"/>
        </w:rPr>
      </w:pPr>
      <w:r>
        <w:t>13.</w:t>
      </w:r>
      <w:r>
        <w:tab/>
        <w:t>Membership</w:t>
      </w:r>
      <w:r>
        <w:tab/>
      </w:r>
      <w:r>
        <w:fldChar w:fldCharType="begin"/>
      </w:r>
      <w:r>
        <w:instrText xml:space="preserve"> PAGEREF _Toc435030256 \h </w:instrText>
      </w:r>
      <w:r>
        <w:fldChar w:fldCharType="separate"/>
      </w:r>
      <w:r>
        <w:t>7</w:t>
      </w:r>
      <w:r>
        <w:fldChar w:fldCharType="end"/>
      </w:r>
    </w:p>
    <w:p>
      <w:pPr>
        <w:pStyle w:val="TOC8"/>
        <w:rPr>
          <w:rFonts w:asciiTheme="minorHAnsi" w:eastAsiaTheme="minorEastAsia" w:hAnsiTheme="minorHAnsi" w:cstheme="minorBidi"/>
          <w:szCs w:val="22"/>
        </w:rPr>
      </w:pPr>
      <w:r>
        <w:t>14.</w:t>
      </w:r>
      <w:r>
        <w:tab/>
        <w:t>Chairperson and deputy chairperson</w:t>
      </w:r>
      <w:r>
        <w:tab/>
      </w:r>
      <w:r>
        <w:fldChar w:fldCharType="begin"/>
      </w:r>
      <w:r>
        <w:instrText xml:space="preserve"> PAGEREF _Toc435030257 \h </w:instrText>
      </w:r>
      <w:r>
        <w:fldChar w:fldCharType="separate"/>
      </w:r>
      <w:r>
        <w:t>8</w:t>
      </w:r>
      <w:r>
        <w:fldChar w:fldCharType="end"/>
      </w:r>
    </w:p>
    <w:p>
      <w:pPr>
        <w:pStyle w:val="TOC8"/>
        <w:rPr>
          <w:rFonts w:asciiTheme="minorHAnsi" w:eastAsiaTheme="minorEastAsia" w:hAnsiTheme="minorHAnsi" w:cstheme="minorBidi"/>
          <w:szCs w:val="22"/>
        </w:rPr>
      </w:pPr>
      <w:r>
        <w:t>15.</w:t>
      </w:r>
      <w:r>
        <w:tab/>
        <w:t>Term of office</w:t>
      </w:r>
      <w:r>
        <w:tab/>
      </w:r>
      <w:r>
        <w:fldChar w:fldCharType="begin"/>
      </w:r>
      <w:r>
        <w:instrText xml:space="preserve"> PAGEREF _Toc435030258 \h </w:instrText>
      </w:r>
      <w:r>
        <w:fldChar w:fldCharType="separate"/>
      </w:r>
      <w:r>
        <w:t>8</w:t>
      </w:r>
      <w:r>
        <w:fldChar w:fldCharType="end"/>
      </w:r>
    </w:p>
    <w:p>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_Toc435030259 \h </w:instrText>
      </w:r>
      <w:r>
        <w:fldChar w:fldCharType="separate"/>
      </w:r>
      <w:r>
        <w:t>8</w:t>
      </w:r>
      <w:r>
        <w:fldChar w:fldCharType="end"/>
      </w:r>
    </w:p>
    <w:p>
      <w:pPr>
        <w:pStyle w:val="TOC8"/>
        <w:rPr>
          <w:rFonts w:asciiTheme="minorHAnsi" w:eastAsiaTheme="minorEastAsia" w:hAnsiTheme="minorHAnsi" w:cstheme="minorBidi"/>
          <w:szCs w:val="22"/>
        </w:rPr>
      </w:pPr>
      <w:r>
        <w:t>17.</w:t>
      </w:r>
      <w:r>
        <w:tab/>
        <w:t>Deputy chairperson acting as chairperson</w:t>
      </w:r>
      <w:r>
        <w:tab/>
      </w:r>
      <w:r>
        <w:fldChar w:fldCharType="begin"/>
      </w:r>
      <w:r>
        <w:instrText xml:space="preserve"> PAGEREF _Toc435030260 \h </w:instrText>
      </w:r>
      <w:r>
        <w:fldChar w:fldCharType="separate"/>
      </w:r>
      <w:r>
        <w:t>9</w:t>
      </w:r>
      <w:r>
        <w:fldChar w:fldCharType="end"/>
      </w:r>
    </w:p>
    <w:p>
      <w:pPr>
        <w:pStyle w:val="TOC8"/>
        <w:rPr>
          <w:rFonts w:asciiTheme="minorHAnsi" w:eastAsiaTheme="minorEastAsia" w:hAnsiTheme="minorHAnsi" w:cstheme="minorBidi"/>
          <w:szCs w:val="22"/>
        </w:rPr>
      </w:pPr>
      <w:r>
        <w:t>18.</w:t>
      </w:r>
      <w:r>
        <w:tab/>
        <w:t>Alternate members</w:t>
      </w:r>
      <w:r>
        <w:tab/>
      </w:r>
      <w:r>
        <w:fldChar w:fldCharType="begin"/>
      </w:r>
      <w:r>
        <w:instrText xml:space="preserve"> PAGEREF _Toc435030261 \h </w:instrText>
      </w:r>
      <w:r>
        <w:fldChar w:fldCharType="separate"/>
      </w:r>
      <w:r>
        <w:t>9</w:t>
      </w:r>
      <w:r>
        <w:fldChar w:fldCharType="end"/>
      </w:r>
    </w:p>
    <w:p>
      <w:pPr>
        <w:pStyle w:val="TOC8"/>
        <w:rPr>
          <w:rFonts w:asciiTheme="minorHAnsi" w:eastAsiaTheme="minorEastAsia" w:hAnsiTheme="minorHAnsi" w:cstheme="minorBidi"/>
          <w:szCs w:val="22"/>
        </w:rPr>
      </w:pPr>
      <w:r>
        <w:t>19.</w:t>
      </w:r>
      <w:r>
        <w:tab/>
        <w:t>Leave of absence</w:t>
      </w:r>
      <w:r>
        <w:tab/>
      </w:r>
      <w:r>
        <w:fldChar w:fldCharType="begin"/>
      </w:r>
      <w:r>
        <w:instrText xml:space="preserve"> PAGEREF _Toc435030262 \h </w:instrText>
      </w:r>
      <w:r>
        <w:fldChar w:fldCharType="separate"/>
      </w:r>
      <w:r>
        <w:t>10</w:t>
      </w:r>
      <w:r>
        <w:fldChar w:fldCharType="end"/>
      </w:r>
    </w:p>
    <w:p>
      <w:pPr>
        <w:pStyle w:val="TOC8"/>
        <w:rPr>
          <w:rFonts w:asciiTheme="minorHAnsi" w:eastAsiaTheme="minorEastAsia" w:hAnsiTheme="minorHAnsi" w:cstheme="minorBidi"/>
          <w:szCs w:val="22"/>
        </w:rPr>
      </w:pPr>
      <w:r>
        <w:t>20.</w:t>
      </w:r>
      <w:r>
        <w:tab/>
        <w:t>Remuneration and allowances</w:t>
      </w:r>
      <w:r>
        <w:tab/>
      </w:r>
      <w:r>
        <w:fldChar w:fldCharType="begin"/>
      </w:r>
      <w:r>
        <w:instrText xml:space="preserve"> PAGEREF _Toc435030263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21.</w:t>
      </w:r>
      <w:r>
        <w:tab/>
        <w:t>Holding meetings</w:t>
      </w:r>
      <w:r>
        <w:tab/>
      </w:r>
      <w:r>
        <w:fldChar w:fldCharType="begin"/>
      </w:r>
      <w:r>
        <w:instrText xml:space="preserve"> PAGEREF _Toc435030265 \h </w:instrText>
      </w:r>
      <w:r>
        <w:fldChar w:fldCharType="separate"/>
      </w:r>
      <w:r>
        <w:t>10</w:t>
      </w:r>
      <w:r>
        <w:fldChar w:fldCharType="end"/>
      </w:r>
    </w:p>
    <w:p>
      <w:pPr>
        <w:pStyle w:val="TOC8"/>
        <w:rPr>
          <w:rFonts w:asciiTheme="minorHAnsi" w:eastAsiaTheme="minorEastAsia" w:hAnsiTheme="minorHAnsi" w:cstheme="minorBidi"/>
          <w:szCs w:val="22"/>
        </w:rPr>
      </w:pPr>
      <w:r>
        <w:t>22.</w:t>
      </w:r>
      <w:r>
        <w:tab/>
        <w:t>Presiding at meetings</w:t>
      </w:r>
      <w:r>
        <w:tab/>
      </w:r>
      <w:r>
        <w:fldChar w:fldCharType="begin"/>
      </w:r>
      <w:r>
        <w:instrText xml:space="preserve"> PAGEREF _Toc435030266 \h </w:instrText>
      </w:r>
      <w:r>
        <w:fldChar w:fldCharType="separate"/>
      </w:r>
      <w:r>
        <w:t>10</w:t>
      </w:r>
      <w:r>
        <w:fldChar w:fldCharType="end"/>
      </w:r>
    </w:p>
    <w:p>
      <w:pPr>
        <w:pStyle w:val="TOC8"/>
        <w:rPr>
          <w:rFonts w:asciiTheme="minorHAnsi" w:eastAsiaTheme="minorEastAsia" w:hAnsiTheme="minorHAnsi" w:cstheme="minorBidi"/>
          <w:szCs w:val="22"/>
        </w:rPr>
      </w:pPr>
      <w:r>
        <w:t>23.</w:t>
      </w:r>
      <w:r>
        <w:tab/>
        <w:t>Holding meetings remotely</w:t>
      </w:r>
      <w:r>
        <w:tab/>
      </w:r>
      <w:r>
        <w:fldChar w:fldCharType="begin"/>
      </w:r>
      <w:r>
        <w:instrText xml:space="preserve"> PAGEREF _Toc435030267 \h </w:instrText>
      </w:r>
      <w:r>
        <w:fldChar w:fldCharType="separate"/>
      </w:r>
      <w:r>
        <w:t>10</w:t>
      </w:r>
      <w:r>
        <w:fldChar w:fldCharType="end"/>
      </w:r>
    </w:p>
    <w:p>
      <w:pPr>
        <w:pStyle w:val="TOC8"/>
        <w:rPr>
          <w:rFonts w:asciiTheme="minorHAnsi" w:eastAsiaTheme="minorEastAsia" w:hAnsiTheme="minorHAnsi" w:cstheme="minorBidi"/>
          <w:szCs w:val="22"/>
        </w:rPr>
      </w:pPr>
      <w:r>
        <w:t>24.</w:t>
      </w:r>
      <w:r>
        <w:tab/>
        <w:t>Disclosure of interests</w:t>
      </w:r>
      <w:r>
        <w:tab/>
      </w:r>
      <w:r>
        <w:fldChar w:fldCharType="begin"/>
      </w:r>
      <w:r>
        <w:instrText xml:space="preserve"> PAGEREF _Toc435030268 \h </w:instrText>
      </w:r>
      <w:r>
        <w:fldChar w:fldCharType="separate"/>
      </w:r>
      <w:r>
        <w:t>11</w:t>
      </w:r>
      <w:r>
        <w:fldChar w:fldCharType="end"/>
      </w:r>
    </w:p>
    <w:p>
      <w:pPr>
        <w:pStyle w:val="TOC8"/>
        <w:rPr>
          <w:rFonts w:asciiTheme="minorHAnsi" w:eastAsiaTheme="minorEastAsia" w:hAnsiTheme="minorHAnsi" w:cstheme="minorBidi"/>
          <w:szCs w:val="22"/>
        </w:rPr>
      </w:pPr>
      <w:r>
        <w:t>25.</w:t>
      </w:r>
      <w:r>
        <w:tab/>
        <w:t>Minutes</w:t>
      </w:r>
      <w:r>
        <w:tab/>
      </w:r>
      <w:r>
        <w:fldChar w:fldCharType="begin"/>
      </w:r>
      <w:r>
        <w:instrText xml:space="preserve"> PAGEREF _Toc435030269 \h </w:instrText>
      </w:r>
      <w:r>
        <w:fldChar w:fldCharType="separate"/>
      </w:r>
      <w:r>
        <w:t>11</w:t>
      </w:r>
      <w:r>
        <w:fldChar w:fldCharType="end"/>
      </w:r>
    </w:p>
    <w:p>
      <w:pPr>
        <w:pStyle w:val="TOC8"/>
        <w:rPr>
          <w:rFonts w:asciiTheme="minorHAnsi" w:eastAsiaTheme="minorEastAsia" w:hAnsiTheme="minorHAnsi" w:cstheme="minorBidi"/>
          <w:szCs w:val="22"/>
        </w:rPr>
      </w:pPr>
      <w:r>
        <w:t>26.</w:t>
      </w:r>
      <w:r>
        <w:tab/>
        <w:t>Procedure at meetings</w:t>
      </w:r>
      <w:r>
        <w:tab/>
      </w:r>
      <w:r>
        <w:fldChar w:fldCharType="begin"/>
      </w:r>
      <w:r>
        <w:instrText xml:space="preserve"> PAGEREF _Toc435030270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27.</w:t>
      </w:r>
      <w:r>
        <w:tab/>
        <w:t>Provision of services and facilities to Trust</w:t>
      </w:r>
      <w:r>
        <w:tab/>
      </w:r>
      <w:r>
        <w:fldChar w:fldCharType="begin"/>
      </w:r>
      <w:r>
        <w:instrText xml:space="preserve"> PAGEREF _Toc435030272 \h </w:instrText>
      </w:r>
      <w:r>
        <w:fldChar w:fldCharType="separate"/>
      </w:r>
      <w:r>
        <w:t>12</w:t>
      </w:r>
      <w:r>
        <w:fldChar w:fldCharType="end"/>
      </w:r>
    </w:p>
    <w:p>
      <w:pPr>
        <w:pStyle w:val="TOC8"/>
        <w:rPr>
          <w:rFonts w:asciiTheme="minorHAnsi" w:eastAsiaTheme="minorEastAsia" w:hAnsiTheme="minorHAnsi" w:cstheme="minorBidi"/>
          <w:szCs w:val="22"/>
        </w:rPr>
      </w:pPr>
      <w:r>
        <w:t>28.</w:t>
      </w:r>
      <w:r>
        <w:tab/>
        <w:t>Annual report of Trust</w:t>
      </w:r>
      <w:r>
        <w:tab/>
      </w:r>
      <w:r>
        <w:fldChar w:fldCharType="begin"/>
      </w:r>
      <w:r>
        <w:instrText xml:space="preserve"> PAGEREF _Toc435030273 \h </w:instrText>
      </w:r>
      <w:r>
        <w:fldChar w:fldCharType="separate"/>
      </w:r>
      <w:r>
        <w:t>12</w:t>
      </w:r>
      <w:r>
        <w:fldChar w:fldCharType="end"/>
      </w:r>
    </w:p>
    <w:p>
      <w:pPr>
        <w:pStyle w:val="TOC8"/>
        <w:rPr>
          <w:rFonts w:asciiTheme="minorHAnsi" w:eastAsiaTheme="minorEastAsia" w:hAnsiTheme="minorHAnsi" w:cstheme="minorBidi"/>
          <w:szCs w:val="22"/>
        </w:rPr>
      </w:pPr>
      <w:r>
        <w:t>29.</w:t>
      </w:r>
      <w:r>
        <w:tab/>
        <w:t>Protection from liability for wrongdoing</w:t>
      </w:r>
      <w:r>
        <w:tab/>
      </w:r>
      <w:r>
        <w:fldChar w:fldCharType="begin"/>
      </w:r>
      <w:r>
        <w:instrText xml:space="preserve"> PAGEREF _Toc435030274 \h </w:instrText>
      </w:r>
      <w:r>
        <w:fldChar w:fldCharType="separate"/>
      </w:r>
      <w:r>
        <w:t>13</w:t>
      </w:r>
      <w:r>
        <w:fldChar w:fldCharType="end"/>
      </w:r>
    </w:p>
    <w:p>
      <w:pPr>
        <w:pStyle w:val="TOC8"/>
        <w:rPr>
          <w:rFonts w:asciiTheme="minorHAnsi" w:eastAsiaTheme="minorEastAsia" w:hAnsiTheme="minorHAnsi" w:cstheme="minorBidi"/>
          <w:szCs w:val="22"/>
        </w:rPr>
      </w:pPr>
      <w:r>
        <w:t>30.</w:t>
      </w:r>
      <w:r>
        <w:tab/>
        <w:t>Confidentiality</w:t>
      </w:r>
      <w:r>
        <w:tab/>
      </w:r>
      <w:r>
        <w:fldChar w:fldCharType="begin"/>
      </w:r>
      <w:r>
        <w:instrText xml:space="preserve"> PAGEREF _Toc435030275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_Toc435030277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w:t>
      </w:r>
    </w:p>
    <w:p>
      <w:pPr>
        <w:pStyle w:val="TOC8"/>
        <w:rPr>
          <w:rFonts w:asciiTheme="minorHAnsi" w:eastAsiaTheme="minorEastAsia" w:hAnsiTheme="minorHAnsi" w:cstheme="minorBidi"/>
          <w:szCs w:val="22"/>
        </w:rPr>
      </w:pPr>
      <w:r>
        <w:t>32.</w:t>
      </w:r>
      <w:r>
        <w:tab/>
      </w:r>
      <w:r>
        <w:rPr>
          <w:i/>
        </w:rPr>
        <w:t xml:space="preserve">Constitution Acts Amendment Act 1899 </w:t>
      </w:r>
      <w:r>
        <w:rPr>
          <w:iCs/>
        </w:rPr>
        <w:t>amended</w:t>
      </w:r>
      <w:r>
        <w:tab/>
      </w:r>
      <w:r>
        <w:fldChar w:fldCharType="begin"/>
      </w:r>
      <w:r>
        <w:instrText xml:space="preserve"> PAGEREF _Toc435030279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_Toc435030281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Royalties for Regions Act 2009</w:t>
      </w:r>
    </w:p>
    <w:p>
      <w:pPr>
        <w:pStyle w:val="LongTitle"/>
        <w:suppressLineNumbers/>
        <w:rPr>
          <w:snapToGrid w:val="0"/>
        </w:rPr>
      </w:pPr>
      <w:bookmarkStart w:id="3" w:name="BillCited"/>
      <w:bookmarkEnd w:id="3"/>
      <w:r>
        <w:rPr>
          <w:snapToGrid w:val="0"/>
        </w:rPr>
        <w:t xml:space="preserve">An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377565077"/>
      <w:bookmarkStart w:id="5" w:name="_Toc424303980"/>
      <w:bookmarkStart w:id="6" w:name="_Toc435030239"/>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77565078"/>
      <w:bookmarkStart w:id="8" w:name="_Toc435030240"/>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9" w:name="_Toc377565079"/>
      <w:bookmarkStart w:id="10" w:name="_Toc435030241"/>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377565080"/>
      <w:bookmarkStart w:id="12" w:name="_Toc435030242"/>
      <w:r>
        <w:rPr>
          <w:rStyle w:val="CharSectno"/>
        </w:rPr>
        <w:t>3</w:t>
      </w:r>
      <w:r>
        <w:t>.</w:t>
      </w:r>
      <w:r>
        <w:tab/>
        <w:t>Terms used</w:t>
      </w:r>
      <w:bookmarkEnd w:id="11"/>
      <w:bookmarkEnd w:id="12"/>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13" w:name="_Toc377565081"/>
      <w:bookmarkStart w:id="14" w:name="_Toc435030243"/>
      <w:r>
        <w:rPr>
          <w:rStyle w:val="CharSectno"/>
        </w:rPr>
        <w:t>4</w:t>
      </w:r>
      <w:r>
        <w:t>.</w:t>
      </w:r>
      <w:r>
        <w:tab/>
        <w:t>Object</w:t>
      </w:r>
      <w:bookmarkEnd w:id="13"/>
      <w:bookmarkEnd w:id="14"/>
    </w:p>
    <w:p>
      <w:pPr>
        <w:pStyle w:val="Subsection"/>
      </w:pPr>
      <w:r>
        <w:tab/>
      </w:r>
      <w:r>
        <w:tab/>
        <w:t>The object of this Act is to promote and facilitate economic, business and social development in regional Western Australia through the operation of the Fund.</w:t>
      </w:r>
    </w:p>
    <w:p>
      <w:pPr>
        <w:pStyle w:val="Heading2"/>
      </w:pPr>
      <w:bookmarkStart w:id="15" w:name="_Toc377565082"/>
      <w:bookmarkStart w:id="16" w:name="_Toc424303985"/>
      <w:bookmarkStart w:id="17" w:name="_Toc435030244"/>
      <w:r>
        <w:rPr>
          <w:rStyle w:val="CharPartNo"/>
        </w:rPr>
        <w:t>Part 2</w:t>
      </w:r>
      <w:r>
        <w:rPr>
          <w:rStyle w:val="CharDivNo"/>
        </w:rPr>
        <w:t> </w:t>
      </w:r>
      <w:r>
        <w:t>—</w:t>
      </w:r>
      <w:r>
        <w:rPr>
          <w:rStyle w:val="CharDivText"/>
        </w:rPr>
        <w:t> </w:t>
      </w:r>
      <w:r>
        <w:rPr>
          <w:rStyle w:val="CharPartText"/>
        </w:rPr>
        <w:t>Royalties for Regions Fund</w:t>
      </w:r>
      <w:bookmarkEnd w:id="15"/>
      <w:bookmarkEnd w:id="16"/>
      <w:bookmarkEnd w:id="17"/>
    </w:p>
    <w:p>
      <w:pPr>
        <w:pStyle w:val="Heading5"/>
      </w:pPr>
      <w:bookmarkStart w:id="18" w:name="_Toc377565083"/>
      <w:bookmarkStart w:id="19" w:name="_Toc435030245"/>
      <w:r>
        <w:rPr>
          <w:rStyle w:val="CharSectno"/>
        </w:rPr>
        <w:t>5</w:t>
      </w:r>
      <w:r>
        <w:t>.</w:t>
      </w:r>
      <w:r>
        <w:tab/>
        <w:t>Subsidiary accounts of Fund</w:t>
      </w:r>
      <w:bookmarkEnd w:id="18"/>
      <w:bookmarkEnd w:id="19"/>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20" w:name="_Toc377565084"/>
      <w:bookmarkStart w:id="21" w:name="_Toc435030246"/>
      <w:r>
        <w:rPr>
          <w:rStyle w:val="CharSectno"/>
        </w:rPr>
        <w:t>6</w:t>
      </w:r>
      <w:r>
        <w:t>.</w:t>
      </w:r>
      <w:r>
        <w:tab/>
        <w:t>Treasurer to make payments into Fund</w:t>
      </w:r>
      <w:bookmarkEnd w:id="20"/>
      <w:bookmarkEnd w:id="21"/>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22" w:name="_Toc377565085"/>
      <w:bookmarkStart w:id="23" w:name="_Toc435030247"/>
      <w:r>
        <w:rPr>
          <w:rStyle w:val="CharSectno"/>
        </w:rPr>
        <w:t>7</w:t>
      </w:r>
      <w:r>
        <w:t>.</w:t>
      </w:r>
      <w:r>
        <w:tab/>
        <w:t>Money credited to Fund</w:t>
      </w:r>
      <w:bookmarkEnd w:id="22"/>
      <w:bookmarkEnd w:id="23"/>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24" w:name="_Toc377565086"/>
      <w:bookmarkStart w:id="25" w:name="_Toc435030248"/>
      <w:r>
        <w:rPr>
          <w:rStyle w:val="CharSectno"/>
        </w:rPr>
        <w:t>8</w:t>
      </w:r>
      <w:r>
        <w:t>.</w:t>
      </w:r>
      <w:r>
        <w:tab/>
        <w:t>Limit on amount in Fund</w:t>
      </w:r>
      <w:bookmarkEnd w:id="24"/>
      <w:bookmarkEnd w:id="25"/>
    </w:p>
    <w:p>
      <w:pPr>
        <w:pStyle w:val="Subsection"/>
      </w:pPr>
      <w:r>
        <w:tab/>
      </w:r>
      <w:r>
        <w:tab/>
        <w:t>The Treasurer is to ensure that the amount of money standing to the credit of the Fund at any time does not exceed $1 billion.</w:t>
      </w:r>
    </w:p>
    <w:p>
      <w:pPr>
        <w:pStyle w:val="Heading5"/>
      </w:pPr>
      <w:bookmarkStart w:id="26" w:name="_Toc377565087"/>
      <w:bookmarkStart w:id="27" w:name="_Toc435030249"/>
      <w:r>
        <w:rPr>
          <w:rStyle w:val="CharSectno"/>
        </w:rPr>
        <w:t>9</w:t>
      </w:r>
      <w:r>
        <w:t>.</w:t>
      </w:r>
      <w:r>
        <w:tab/>
        <w:t>Application of Fund</w:t>
      </w:r>
      <w:bookmarkEnd w:id="26"/>
      <w:bookmarkEnd w:id="27"/>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28" w:name="_Toc377565088"/>
      <w:bookmarkStart w:id="29" w:name="_Toc435030250"/>
      <w:r>
        <w:rPr>
          <w:rStyle w:val="CharSectno"/>
        </w:rPr>
        <w:t>10</w:t>
      </w:r>
      <w:r>
        <w:t>.</w:t>
      </w:r>
      <w:r>
        <w:tab/>
        <w:t>Annual report of Department to include information about Fund</w:t>
      </w:r>
      <w:bookmarkEnd w:id="28"/>
      <w:bookmarkEnd w:id="29"/>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Heading2"/>
      </w:pPr>
      <w:bookmarkStart w:id="30" w:name="_Toc377565089"/>
      <w:bookmarkStart w:id="31" w:name="_Toc424303992"/>
      <w:bookmarkStart w:id="32" w:name="_Toc435030251"/>
      <w:r>
        <w:rPr>
          <w:rStyle w:val="CharPartNo"/>
        </w:rPr>
        <w:t>Part 3</w:t>
      </w:r>
      <w:r>
        <w:t> — </w:t>
      </w:r>
      <w:r>
        <w:rPr>
          <w:rStyle w:val="CharPartText"/>
        </w:rPr>
        <w:t>Western Australian Regional Development Trust</w:t>
      </w:r>
      <w:bookmarkEnd w:id="30"/>
      <w:bookmarkEnd w:id="31"/>
      <w:bookmarkEnd w:id="32"/>
    </w:p>
    <w:p>
      <w:pPr>
        <w:pStyle w:val="Heading3"/>
      </w:pPr>
      <w:bookmarkStart w:id="33" w:name="_Toc377565090"/>
      <w:bookmarkStart w:id="34" w:name="_Toc424303993"/>
      <w:bookmarkStart w:id="35" w:name="_Toc435030252"/>
      <w:r>
        <w:rPr>
          <w:rStyle w:val="CharDivNo"/>
        </w:rPr>
        <w:t>Division 1</w:t>
      </w:r>
      <w:r>
        <w:t> — </w:t>
      </w:r>
      <w:r>
        <w:rPr>
          <w:rStyle w:val="CharDivText"/>
        </w:rPr>
        <w:t>Establishment and functions</w:t>
      </w:r>
      <w:bookmarkEnd w:id="33"/>
      <w:bookmarkEnd w:id="34"/>
      <w:bookmarkEnd w:id="35"/>
    </w:p>
    <w:p>
      <w:pPr>
        <w:pStyle w:val="Heading5"/>
      </w:pPr>
      <w:bookmarkStart w:id="36" w:name="_Toc377565091"/>
      <w:bookmarkStart w:id="37" w:name="_Toc435030253"/>
      <w:r>
        <w:rPr>
          <w:rStyle w:val="CharSectno"/>
        </w:rPr>
        <w:t>11</w:t>
      </w:r>
      <w:r>
        <w:t>.</w:t>
      </w:r>
      <w:r>
        <w:tab/>
        <w:t>Trust established</w:t>
      </w:r>
      <w:bookmarkEnd w:id="36"/>
      <w:bookmarkEnd w:id="37"/>
    </w:p>
    <w:p>
      <w:pPr>
        <w:pStyle w:val="Subsection"/>
      </w:pPr>
      <w:r>
        <w:tab/>
      </w:r>
      <w:r>
        <w:tab/>
        <w:t>A body called the Western Australian Regional Development Trust is established.</w:t>
      </w:r>
    </w:p>
    <w:p>
      <w:pPr>
        <w:pStyle w:val="Heading5"/>
      </w:pPr>
      <w:bookmarkStart w:id="38" w:name="_Toc377565092"/>
      <w:bookmarkStart w:id="39" w:name="_Toc435030254"/>
      <w:r>
        <w:rPr>
          <w:rStyle w:val="CharSectno"/>
        </w:rPr>
        <w:t>12</w:t>
      </w:r>
      <w:r>
        <w:t>.</w:t>
      </w:r>
      <w:r>
        <w:tab/>
        <w:t>Functions</w:t>
      </w:r>
      <w:bookmarkEnd w:id="38"/>
      <w:bookmarkEnd w:id="39"/>
    </w:p>
    <w:p>
      <w:pPr>
        <w:pStyle w:val="Subsection"/>
      </w:pPr>
      <w:r>
        <w:tab/>
      </w:r>
      <w:r>
        <w:tab/>
        <w:t xml:space="preserve">The functions of the Trust are — </w:t>
      </w:r>
    </w:p>
    <w:p>
      <w:pPr>
        <w:pStyle w:val="Indenta"/>
      </w:pPr>
      <w:r>
        <w:tab/>
        <w:t>(a)</w:t>
      </w:r>
      <w:r>
        <w:tab/>
        <w:t>to provide advice and make recommendations to the Minister for the purposes of sections 5(2) and 9(1); and</w:t>
      </w:r>
    </w:p>
    <w:p>
      <w:pPr>
        <w:pStyle w:val="Indenta"/>
      </w:pPr>
      <w:r>
        <w:tab/>
        <w:t>(b)</w:t>
      </w:r>
      <w:r>
        <w:tab/>
        <w:t>to provide advice and make recommendations to the Minister on any other matter relating to the operation of the Fund that is referred to it by the Minister.</w:t>
      </w:r>
    </w:p>
    <w:p>
      <w:pPr>
        <w:pStyle w:val="Heading3"/>
      </w:pPr>
      <w:bookmarkStart w:id="40" w:name="_Toc377565093"/>
      <w:bookmarkStart w:id="41" w:name="_Toc424303996"/>
      <w:bookmarkStart w:id="42" w:name="_Toc435030255"/>
      <w:r>
        <w:rPr>
          <w:rStyle w:val="CharDivNo"/>
        </w:rPr>
        <w:t>Division 2</w:t>
      </w:r>
      <w:r>
        <w:t> — </w:t>
      </w:r>
      <w:r>
        <w:rPr>
          <w:rStyle w:val="CharDivText"/>
        </w:rPr>
        <w:t>Constitution and related matters</w:t>
      </w:r>
      <w:bookmarkEnd w:id="40"/>
      <w:bookmarkEnd w:id="41"/>
      <w:bookmarkEnd w:id="42"/>
    </w:p>
    <w:p>
      <w:pPr>
        <w:pStyle w:val="Heading5"/>
      </w:pPr>
      <w:bookmarkStart w:id="43" w:name="_Toc377565094"/>
      <w:bookmarkStart w:id="44" w:name="_Toc435030256"/>
      <w:r>
        <w:rPr>
          <w:rStyle w:val="CharSectno"/>
        </w:rPr>
        <w:t>13</w:t>
      </w:r>
      <w:r>
        <w:t>.</w:t>
      </w:r>
      <w:r>
        <w:tab/>
        <w:t>Membership</w:t>
      </w:r>
      <w:bookmarkEnd w:id="43"/>
      <w:bookmarkEnd w:id="44"/>
    </w:p>
    <w:p>
      <w:pPr>
        <w:pStyle w:val="Subsection"/>
      </w:pPr>
      <w:r>
        <w:tab/>
        <w:t>(1)</w:t>
      </w:r>
      <w:r>
        <w:tab/>
        <w:t xml:space="preserve">The Trust is to consist of — </w:t>
      </w:r>
    </w:p>
    <w:p>
      <w:pPr>
        <w:pStyle w:val="Indenta"/>
      </w:pPr>
      <w:r>
        <w:tab/>
        <w:t>(a)</w:t>
      </w:r>
      <w:r>
        <w:tab/>
        <w:t>the chairperson of a regional development commission; and</w:t>
      </w:r>
    </w:p>
    <w:p>
      <w:pPr>
        <w:pStyle w:val="Indenta"/>
      </w:pPr>
      <w:r>
        <w:tab/>
        <w:t>(b)</w:t>
      </w:r>
      <w:r>
        <w:tab/>
        <w:t>at least 3 but not more than 5 other people,</w:t>
      </w:r>
    </w:p>
    <w:p>
      <w:pPr>
        <w:pStyle w:val="Subsection"/>
      </w:pPr>
      <w:r>
        <w:tab/>
      </w:r>
      <w:r>
        <w:tab/>
        <w:t>appointed by the Minister.</w:t>
      </w:r>
    </w:p>
    <w:p>
      <w:pPr>
        <w:pStyle w:val="Subsection"/>
      </w:pPr>
      <w:r>
        <w:tab/>
        <w:t>(2)</w:t>
      </w:r>
      <w:r>
        <w:tab/>
        <w:t>In addition to the member appointed under subsection (1)(a) the Minister may appoint one other chairperson of a regional development commission as a member under subsection (1)(b).</w:t>
      </w:r>
    </w:p>
    <w:p>
      <w:pPr>
        <w:pStyle w:val="Subsection"/>
      </w:pPr>
      <w:r>
        <w:tab/>
        <w:t>(3)</w:t>
      </w:r>
      <w:r>
        <w:tab/>
        <w:t>The Minister may appoint the CEO as a member under subsection (1)(b).</w:t>
      </w:r>
    </w:p>
    <w:p>
      <w:pPr>
        <w:pStyle w:val="Subsection"/>
      </w:pPr>
      <w:r>
        <w:tab/>
        <w:t>(4)</w:t>
      </w:r>
      <w:r>
        <w:tab/>
        <w:t>The Minister is to ensure that the members of the Trust have, between them, the knowledge and experience needed to enable the Trust’s functions under this Act to be effectively performed.</w:t>
      </w:r>
    </w:p>
    <w:p>
      <w:pPr>
        <w:pStyle w:val="Heading5"/>
      </w:pPr>
      <w:bookmarkStart w:id="45" w:name="_Toc377565095"/>
      <w:bookmarkStart w:id="46" w:name="_Toc435030257"/>
      <w:r>
        <w:rPr>
          <w:rStyle w:val="CharSectno"/>
        </w:rPr>
        <w:t>14</w:t>
      </w:r>
      <w:r>
        <w:t>.</w:t>
      </w:r>
      <w:r>
        <w:tab/>
        <w:t>Chairperson and deputy chairperson</w:t>
      </w:r>
      <w:bookmarkEnd w:id="45"/>
      <w:bookmarkEnd w:id="46"/>
    </w:p>
    <w:p>
      <w:pPr>
        <w:pStyle w:val="Subsection"/>
      </w:pPr>
      <w:r>
        <w:tab/>
      </w:r>
      <w:r>
        <w:tab/>
        <w:t>The Minister is to designate one of the members to be the chairperson and another to be the deputy chairperson of the Trust.</w:t>
      </w:r>
    </w:p>
    <w:p>
      <w:pPr>
        <w:pStyle w:val="Heading5"/>
      </w:pPr>
      <w:bookmarkStart w:id="47" w:name="_Toc377565096"/>
      <w:bookmarkStart w:id="48" w:name="_Toc435030258"/>
      <w:r>
        <w:rPr>
          <w:rStyle w:val="CharSectno"/>
        </w:rPr>
        <w:t>15</w:t>
      </w:r>
      <w:r>
        <w:t>.</w:t>
      </w:r>
      <w:r>
        <w:tab/>
        <w:t>Term of office</w:t>
      </w:r>
      <w:bookmarkEnd w:id="47"/>
      <w:bookmarkEnd w:id="48"/>
    </w:p>
    <w:p>
      <w:pPr>
        <w:pStyle w:val="Subsection"/>
      </w:pPr>
      <w:r>
        <w:tab/>
        <w:t>(1)</w:t>
      </w:r>
      <w:r>
        <w:tab/>
        <w:t>The term for which a person is appointed as a member is to be fixed in the instrument of appointment and, subject to subsection (2), is to be not longer than 3 years.</w:t>
      </w:r>
    </w:p>
    <w:p>
      <w:pPr>
        <w:pStyle w:val="Subsection"/>
      </w:pPr>
      <w:r>
        <w:tab/>
        <w:t>(2)</w:t>
      </w:r>
      <w:r>
        <w:tab/>
        <w:t>The term for which a chairperson of a regional development commission is appointed as a member is to be 12 months.</w:t>
      </w:r>
    </w:p>
    <w:p>
      <w:pPr>
        <w:pStyle w:val="Subsection"/>
      </w:pPr>
      <w:r>
        <w:tab/>
        <w:t>(3)</w:t>
      </w:r>
      <w:r>
        <w:tab/>
        <w:t>A person’s eligibility for reappointment or the term for which a person may be reappointed is not affected by an earlier appointment.</w:t>
      </w:r>
    </w:p>
    <w:p>
      <w:pPr>
        <w:pStyle w:val="Subsection"/>
      </w:pPr>
      <w:r>
        <w:tab/>
        <w:t>(4)</w:t>
      </w:r>
      <w:r>
        <w:tab/>
        <w:t>A person whose term of office expires continues in office until another appointment to the office comes into effect unless, under section 16, the person resigns or is removed from office.</w:t>
      </w:r>
    </w:p>
    <w:p>
      <w:pPr>
        <w:pStyle w:val="Heading5"/>
      </w:pPr>
      <w:bookmarkStart w:id="49" w:name="_Toc377565097"/>
      <w:bookmarkStart w:id="50" w:name="_Toc435030259"/>
      <w:r>
        <w:rPr>
          <w:rStyle w:val="CharSectno"/>
        </w:rPr>
        <w:t>16</w:t>
      </w:r>
      <w:r>
        <w:t>.</w:t>
      </w:r>
      <w:r>
        <w:tab/>
        <w:t>Casual vacancies</w:t>
      </w:r>
      <w:bookmarkEnd w:id="49"/>
      <w:bookmarkEnd w:id="50"/>
    </w:p>
    <w:p>
      <w:pPr>
        <w:pStyle w:val="Subsection"/>
      </w:pPr>
      <w:r>
        <w:tab/>
        <w:t>(1)</w:t>
      </w:r>
      <w:r>
        <w:tab/>
        <w:t>A member may at any time resign from office by notice in writing delivered to the Minister.</w:t>
      </w:r>
    </w:p>
    <w:p>
      <w:pPr>
        <w:pStyle w:val="Subsection"/>
      </w:pPr>
      <w:r>
        <w:tab/>
        <w:t>(2)</w:t>
      </w:r>
      <w:r>
        <w:tab/>
        <w:t xml:space="preserve">The Minister may remove a person who is a member from office on the grounds of —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w:t>
      </w:r>
      <w:r>
        <w:rPr>
          <w:i/>
          <w:iCs/>
        </w:rPr>
        <w:t>Corporations Act 2001</w:t>
      </w:r>
      <w:r>
        <w:t xml:space="preserve"> (Commonwealth); or</w:t>
      </w:r>
    </w:p>
    <w:p>
      <w:pPr>
        <w:pStyle w:val="Indenta"/>
      </w:pPr>
      <w:r>
        <w:tab/>
        <w:t>(c)</w:t>
      </w:r>
      <w:r>
        <w:tab/>
        <w:t>absence, without leave, from 3 consecutive meetings of the Trust of which the person has had notice; or</w:t>
      </w:r>
    </w:p>
    <w:p>
      <w:pPr>
        <w:pStyle w:val="Indenta"/>
      </w:pPr>
      <w:r>
        <w:tab/>
        <w:t>(d)</w:t>
      </w:r>
      <w:r>
        <w:tab/>
        <w:t>neglect of duty; or</w:t>
      </w:r>
    </w:p>
    <w:p>
      <w:pPr>
        <w:pStyle w:val="Indenta"/>
      </w:pPr>
      <w:r>
        <w:tab/>
        <w:t>(e)</w:t>
      </w:r>
      <w:r>
        <w:tab/>
        <w:t>misconduct.</w:t>
      </w:r>
    </w:p>
    <w:p>
      <w:pPr>
        <w:pStyle w:val="Subsection"/>
      </w:pPr>
      <w:r>
        <w:tab/>
        <w:t>(3)</w:t>
      </w:r>
      <w:r>
        <w:tab/>
        <w:t>The office of a member becomes vacant if, before the term for which the person holding the office was appointed expires, the person dies, resigns or is removed from office.</w:t>
      </w:r>
    </w:p>
    <w:p>
      <w:pPr>
        <w:pStyle w:val="Heading5"/>
      </w:pPr>
      <w:bookmarkStart w:id="51" w:name="_Toc377565098"/>
      <w:bookmarkStart w:id="52" w:name="_Toc435030260"/>
      <w:r>
        <w:rPr>
          <w:rStyle w:val="CharSectno"/>
        </w:rPr>
        <w:t>17</w:t>
      </w:r>
      <w:r>
        <w:t>.</w:t>
      </w:r>
      <w:r>
        <w:tab/>
        <w:t>Deputy chairperson acting as chairperson</w:t>
      </w:r>
      <w:bookmarkEnd w:id="51"/>
      <w:bookmarkEnd w:id="52"/>
    </w:p>
    <w:p>
      <w:pPr>
        <w:pStyle w:val="Subsection"/>
      </w:pPr>
      <w:r>
        <w:tab/>
        <w:t>(1)</w:t>
      </w:r>
      <w:r>
        <w:tab/>
        <w:t>If the chairperson is unable to act because of sickness, absence or other cause, or if there is no chairperson, the deputy chairperson is to act in the chairperson’s place.</w:t>
      </w:r>
    </w:p>
    <w:p>
      <w:pPr>
        <w:pStyle w:val="Subsection"/>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53" w:name="_Toc377565099"/>
      <w:bookmarkStart w:id="54" w:name="_Toc435030261"/>
      <w:r>
        <w:rPr>
          <w:rStyle w:val="CharSectno"/>
        </w:rPr>
        <w:t>18</w:t>
      </w:r>
      <w:r>
        <w:t>.</w:t>
      </w:r>
      <w:r>
        <w:tab/>
        <w:t>Alternate members</w:t>
      </w:r>
      <w:bookmarkEnd w:id="53"/>
      <w:bookmarkEnd w:id="54"/>
    </w:p>
    <w:p>
      <w:pPr>
        <w:pStyle w:val="Subsection"/>
      </w:pPr>
      <w:r>
        <w:tab/>
        <w:t>(1)</w:t>
      </w:r>
      <w:r>
        <w:tab/>
        <w:t>If a member, other than the chairperson, is unable to act because of sickness,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as an alternate member to act temporarily as the deputy chairperson.</w:t>
      </w:r>
    </w:p>
    <w:p>
      <w:pPr>
        <w:pStyle w:val="Subsection"/>
      </w:pPr>
      <w:r>
        <w:tab/>
        <w:t>(3)</w:t>
      </w:r>
      <w:r>
        <w:tab/>
        <w:t>While acting in accordance with his or her appointment an alternate member is to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55" w:name="_Toc377565100"/>
      <w:bookmarkStart w:id="56" w:name="_Toc435030262"/>
      <w:r>
        <w:rPr>
          <w:rStyle w:val="CharSectno"/>
        </w:rPr>
        <w:t>19</w:t>
      </w:r>
      <w:r>
        <w:t>.</w:t>
      </w:r>
      <w:r>
        <w:tab/>
        <w:t>Leave of absence</w:t>
      </w:r>
      <w:bookmarkEnd w:id="55"/>
      <w:bookmarkEnd w:id="56"/>
    </w:p>
    <w:p>
      <w:pPr>
        <w:pStyle w:val="Subsection"/>
      </w:pPr>
      <w:r>
        <w:tab/>
        <w:t>(1)</w:t>
      </w:r>
      <w:r>
        <w:tab/>
        <w:t>The Minister may grant leave of absence to the chairperson on the terms and conditions the Minister thinks fit.</w:t>
      </w:r>
    </w:p>
    <w:p>
      <w:pPr>
        <w:pStyle w:val="Subsection"/>
      </w:pPr>
      <w:r>
        <w:tab/>
        <w:t>(2)</w:t>
      </w:r>
      <w:r>
        <w:tab/>
        <w:t>The chairperson may grant leave of absence to another member on the terms and conditions the chairperson thinks fit.</w:t>
      </w:r>
    </w:p>
    <w:p>
      <w:pPr>
        <w:pStyle w:val="Heading5"/>
      </w:pPr>
      <w:bookmarkStart w:id="57" w:name="_Toc377565101"/>
      <w:bookmarkStart w:id="58" w:name="_Toc435030263"/>
      <w:r>
        <w:rPr>
          <w:rStyle w:val="CharSectno"/>
        </w:rPr>
        <w:t>20</w:t>
      </w:r>
      <w:r>
        <w:t>.</w:t>
      </w:r>
      <w:r>
        <w:tab/>
        <w:t>Remuneration and allowances</w:t>
      </w:r>
      <w:bookmarkEnd w:id="57"/>
      <w:bookmarkEnd w:id="58"/>
    </w:p>
    <w:p>
      <w:pPr>
        <w:pStyle w:val="Subsection"/>
      </w:pPr>
      <w:r>
        <w:tab/>
      </w:r>
      <w:r>
        <w:tab/>
        <w:t>Members are entitled to any remuneration and allowances that the Minister may from time to time determine on the recommendation of the Public Sector Commissioner.</w:t>
      </w:r>
    </w:p>
    <w:p>
      <w:pPr>
        <w:pStyle w:val="Footnotesection"/>
      </w:pPr>
      <w:r>
        <w:tab/>
        <w:t>[Section 20 amended: No. 39 of 2010 s. 89.]</w:t>
      </w:r>
    </w:p>
    <w:p>
      <w:pPr>
        <w:pStyle w:val="Heading3"/>
      </w:pPr>
      <w:bookmarkStart w:id="59" w:name="_Toc377565102"/>
      <w:bookmarkStart w:id="60" w:name="_Toc424304005"/>
      <w:bookmarkStart w:id="61" w:name="_Toc435030264"/>
      <w:r>
        <w:rPr>
          <w:rStyle w:val="CharDivNo"/>
        </w:rPr>
        <w:t>Division 3</w:t>
      </w:r>
      <w:r>
        <w:t> — </w:t>
      </w:r>
      <w:r>
        <w:rPr>
          <w:rStyle w:val="CharDivText"/>
        </w:rPr>
        <w:t>Meetings</w:t>
      </w:r>
      <w:bookmarkEnd w:id="59"/>
      <w:bookmarkEnd w:id="60"/>
      <w:bookmarkEnd w:id="61"/>
    </w:p>
    <w:p>
      <w:pPr>
        <w:pStyle w:val="Heading5"/>
      </w:pPr>
      <w:bookmarkStart w:id="62" w:name="_Toc377565103"/>
      <w:bookmarkStart w:id="63" w:name="_Toc435030265"/>
      <w:r>
        <w:rPr>
          <w:rStyle w:val="CharSectno"/>
        </w:rPr>
        <w:t>21</w:t>
      </w:r>
      <w:r>
        <w:t>.</w:t>
      </w:r>
      <w:r>
        <w:tab/>
        <w:t>Holding meetings</w:t>
      </w:r>
      <w:bookmarkEnd w:id="62"/>
      <w:bookmarkEnd w:id="63"/>
    </w:p>
    <w:p>
      <w:pPr>
        <w:pStyle w:val="Subsection"/>
      </w:pPr>
      <w:r>
        <w:tab/>
        <w:t>(1)</w:t>
      </w:r>
      <w:r>
        <w:tab/>
        <w:t>The first meeting of the Trust is to be convened by the chairperson.</w:t>
      </w:r>
    </w:p>
    <w:p>
      <w:pPr>
        <w:pStyle w:val="Subsection"/>
      </w:pPr>
      <w:r>
        <w:tab/>
        <w:t>(2)</w:t>
      </w:r>
      <w:r>
        <w:tab/>
        <w:t>Subsequent meetings are to be held at times and places determined by the Trust.</w:t>
      </w:r>
    </w:p>
    <w:p>
      <w:pPr>
        <w:pStyle w:val="Heading5"/>
      </w:pPr>
      <w:bookmarkStart w:id="64" w:name="_Toc377565104"/>
      <w:bookmarkStart w:id="65" w:name="_Toc435030266"/>
      <w:r>
        <w:rPr>
          <w:rStyle w:val="CharSectno"/>
        </w:rPr>
        <w:t>22</w:t>
      </w:r>
      <w:r>
        <w:t>.</w:t>
      </w:r>
      <w:r>
        <w:tab/>
        <w:t>Presiding at meetings</w:t>
      </w:r>
      <w:bookmarkEnd w:id="64"/>
      <w:bookmarkEnd w:id="65"/>
    </w:p>
    <w:p>
      <w:pPr>
        <w:pStyle w:val="Subsection"/>
      </w:pPr>
      <w:r>
        <w:tab/>
        <w:t>(1)</w:t>
      </w:r>
      <w:r>
        <w:tab/>
        <w:t>The chairperson, if present, is to preside at a meeting of the Trust.</w:t>
      </w:r>
    </w:p>
    <w:p>
      <w:pPr>
        <w:pStyle w:val="Subsection"/>
      </w:pPr>
      <w:r>
        <w:tab/>
        <w:t>(2)</w:t>
      </w:r>
      <w:r>
        <w:tab/>
        <w:t>If neither the chairperson nor the deputy chairperson acting in the chairperson’s place is presiding under subsection (1), the members present at the meeting are to appoint one of their number to preside.</w:t>
      </w:r>
    </w:p>
    <w:p>
      <w:pPr>
        <w:pStyle w:val="Heading5"/>
      </w:pPr>
      <w:bookmarkStart w:id="66" w:name="_Toc377565105"/>
      <w:bookmarkStart w:id="67" w:name="_Toc435030267"/>
      <w:r>
        <w:rPr>
          <w:rStyle w:val="CharSectno"/>
        </w:rPr>
        <w:t>23</w:t>
      </w:r>
      <w:r>
        <w:t>.</w:t>
      </w:r>
      <w:r>
        <w:tab/>
        <w:t>Holding meetings remotely</w:t>
      </w:r>
      <w:bookmarkEnd w:id="66"/>
      <w:bookmarkEnd w:id="67"/>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Heading5"/>
      </w:pPr>
      <w:bookmarkStart w:id="68" w:name="_Toc377565106"/>
      <w:bookmarkStart w:id="69" w:name="_Toc435030268"/>
      <w:r>
        <w:rPr>
          <w:rStyle w:val="CharSectno"/>
        </w:rPr>
        <w:t>24</w:t>
      </w:r>
      <w:r>
        <w:t>.</w:t>
      </w:r>
      <w:r>
        <w:tab/>
        <w:t>Disclosure of interests</w:t>
      </w:r>
      <w:bookmarkEnd w:id="68"/>
      <w:bookmarkEnd w:id="69"/>
    </w:p>
    <w:p>
      <w:pPr>
        <w:pStyle w:val="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Penstart"/>
      </w:pPr>
      <w:r>
        <w:tab/>
        <w:t>Penalty: a fine of $12 000.</w:t>
      </w:r>
    </w:p>
    <w:p>
      <w:pPr>
        <w:pStyle w:val="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Subsection"/>
      </w:pPr>
      <w:r>
        <w:tab/>
        <w:t>(3)</w:t>
      </w:r>
      <w:r>
        <w:tab/>
        <w:t>A disclosure by a member of an interest in a matter or a determination that a member is interested in a matter must be recorded in the minutes of the meeting concerned.</w:t>
      </w:r>
    </w:p>
    <w:p>
      <w:pPr>
        <w:pStyle w:val="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Subsection"/>
      </w:pPr>
      <w:r>
        <w:tab/>
        <w:t>(5)</w:t>
      </w:r>
      <w:r>
        <w:tab/>
        <w:t>An interest need not be disclosed under this section if it is an interest common to a significant number of persons in the State.</w:t>
      </w:r>
    </w:p>
    <w:p>
      <w:pPr>
        <w:pStyle w:val="Heading5"/>
      </w:pPr>
      <w:bookmarkStart w:id="70" w:name="_Toc377565107"/>
      <w:bookmarkStart w:id="71" w:name="_Toc435030269"/>
      <w:r>
        <w:rPr>
          <w:rStyle w:val="CharSectno"/>
        </w:rPr>
        <w:t>25</w:t>
      </w:r>
      <w:r>
        <w:t>.</w:t>
      </w:r>
      <w:r>
        <w:tab/>
        <w:t>Minutes</w:t>
      </w:r>
      <w:bookmarkEnd w:id="70"/>
      <w:bookmarkEnd w:id="71"/>
    </w:p>
    <w:p>
      <w:pPr>
        <w:pStyle w:val="Subsection"/>
      </w:pPr>
      <w:r>
        <w:tab/>
      </w:r>
      <w:r>
        <w:tab/>
        <w:t>The Trust is to cause accurate minutes to be kept of the proceedings at its meetings.</w:t>
      </w:r>
    </w:p>
    <w:p>
      <w:pPr>
        <w:pStyle w:val="Heading5"/>
      </w:pPr>
      <w:bookmarkStart w:id="72" w:name="_Toc377565108"/>
      <w:bookmarkStart w:id="73" w:name="_Toc435030270"/>
      <w:r>
        <w:rPr>
          <w:rStyle w:val="CharSectno"/>
        </w:rPr>
        <w:t>26</w:t>
      </w:r>
      <w:r>
        <w:t>.</w:t>
      </w:r>
      <w:r>
        <w:tab/>
        <w:t>Procedure at meetings</w:t>
      </w:r>
      <w:bookmarkEnd w:id="72"/>
      <w:bookmarkEnd w:id="73"/>
    </w:p>
    <w:p>
      <w:pPr>
        <w:pStyle w:val="Subsection"/>
      </w:pPr>
      <w:r>
        <w:tab/>
      </w:r>
      <w:r>
        <w:tab/>
        <w:t>Except as otherwise stated in this Division, the Trust is to determine its own meeting procedures.</w:t>
      </w:r>
    </w:p>
    <w:p>
      <w:pPr>
        <w:pStyle w:val="Heading3"/>
      </w:pPr>
      <w:bookmarkStart w:id="74" w:name="_Toc377565109"/>
      <w:bookmarkStart w:id="75" w:name="_Toc424304012"/>
      <w:bookmarkStart w:id="76" w:name="_Toc435030271"/>
      <w:r>
        <w:rPr>
          <w:rStyle w:val="CharDivNo"/>
        </w:rPr>
        <w:t>Division 4</w:t>
      </w:r>
      <w:r>
        <w:t> — </w:t>
      </w:r>
      <w:r>
        <w:rPr>
          <w:rStyle w:val="CharDivText"/>
        </w:rPr>
        <w:t>Other matters</w:t>
      </w:r>
      <w:bookmarkEnd w:id="74"/>
      <w:bookmarkEnd w:id="75"/>
      <w:bookmarkEnd w:id="76"/>
    </w:p>
    <w:p>
      <w:pPr>
        <w:pStyle w:val="Heading5"/>
      </w:pPr>
      <w:bookmarkStart w:id="77" w:name="_Toc377565110"/>
      <w:bookmarkStart w:id="78" w:name="_Toc435030272"/>
      <w:r>
        <w:rPr>
          <w:rStyle w:val="CharSectno"/>
        </w:rPr>
        <w:t>27</w:t>
      </w:r>
      <w:r>
        <w:t>.</w:t>
      </w:r>
      <w:r>
        <w:tab/>
        <w:t>Provision of services and facilities to Trust</w:t>
      </w:r>
      <w:bookmarkEnd w:id="77"/>
      <w:bookmarkEnd w:id="78"/>
    </w:p>
    <w:p>
      <w:pPr>
        <w:pStyle w:val="Subsection"/>
      </w:pPr>
      <w:r>
        <w:tab/>
        <w:t>(1)</w:t>
      </w:r>
      <w:r>
        <w:tab/>
        <w:t>The CEO is to ensure that the Trust is provided with such services and facilities as are reasonably necessary to enable it to perform its functions.</w:t>
      </w:r>
    </w:p>
    <w:p>
      <w:pPr>
        <w:pStyle w:val="Subsection"/>
      </w:pPr>
      <w:r>
        <w:tab/>
        <w:t>(2)</w:t>
      </w:r>
      <w:r>
        <w:tab/>
        <w:t xml:space="preserve">Without limiting subsection (1), the CEO may, by arrangement with the Trust, and on such terms as are agreed with the Trust, allow the Trust to — </w:t>
      </w:r>
    </w:p>
    <w:p>
      <w:pPr>
        <w:pStyle w:val="Indenta"/>
      </w:pPr>
      <w:r>
        <w:tab/>
        <w:t>(a)</w:t>
      </w:r>
      <w:r>
        <w:tab/>
        <w:t>make use, either full</w:t>
      </w:r>
      <w:r>
        <w:noBreakHyphen/>
        <w:t>time or part</w:t>
      </w:r>
      <w:r>
        <w:noBreakHyphen/>
        <w:t>time, of the services of any officer or employee of the Department; and</w:t>
      </w:r>
    </w:p>
    <w:p>
      <w:pPr>
        <w:pStyle w:val="Indenta"/>
      </w:pPr>
      <w:r>
        <w:tab/>
        <w:t>(b)</w:t>
      </w:r>
      <w:r>
        <w:tab/>
        <w:t>make use of any facilities of the Department.</w:t>
      </w:r>
    </w:p>
    <w:p>
      <w:pPr>
        <w:pStyle w:val="Heading5"/>
      </w:pPr>
      <w:bookmarkStart w:id="79" w:name="_Toc377565111"/>
      <w:bookmarkStart w:id="80" w:name="_Toc435030273"/>
      <w:r>
        <w:rPr>
          <w:rStyle w:val="CharSectno"/>
        </w:rPr>
        <w:t>28</w:t>
      </w:r>
      <w:r>
        <w:t>.</w:t>
      </w:r>
      <w:r>
        <w:tab/>
        <w:t>Annual report of Trust</w:t>
      </w:r>
      <w:bookmarkEnd w:id="79"/>
      <w:bookmarkEnd w:id="80"/>
    </w:p>
    <w:p>
      <w:pPr>
        <w:pStyle w:val="Subsection"/>
      </w:pPr>
      <w:r>
        <w:tab/>
        <w:t>(1)</w:t>
      </w:r>
      <w:r>
        <w:tab/>
        <w:t xml:space="preserve">After the end of each financial year the Trust is to prepare and submit to the Minister a report that contains — </w:t>
      </w:r>
    </w:p>
    <w:p>
      <w:pPr>
        <w:pStyle w:val="Indenta"/>
      </w:pPr>
      <w:r>
        <w:tab/>
        <w:t>(a)</w:t>
      </w:r>
      <w:r>
        <w:tab/>
        <w:t>information about the activities of the Trust during the financial year; and</w:t>
      </w:r>
    </w:p>
    <w:p>
      <w:pPr>
        <w:pStyle w:val="Indenta"/>
      </w:pPr>
      <w:r>
        <w:tab/>
        <w:t>(b)</w:t>
      </w:r>
      <w:r>
        <w:tab/>
        <w:t>any other information required by the Minister.</w:t>
      </w:r>
    </w:p>
    <w:p>
      <w:pPr>
        <w:pStyle w:val="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Subsection"/>
      </w:pPr>
      <w:r>
        <w:tab/>
        <w:t>(3)</w:t>
      </w:r>
      <w:r>
        <w:tab/>
        <w:t xml:space="preserve">If — </w:t>
      </w:r>
    </w:p>
    <w:p>
      <w:pPr>
        <w:pStyle w:val="Indenta"/>
      </w:pPr>
      <w:r>
        <w:tab/>
        <w:t>(a)</w:t>
      </w:r>
      <w:r>
        <w:tab/>
        <w:t>at the time a report is submitted to the Minister a House of Parliament is not sitting; and</w:t>
      </w:r>
    </w:p>
    <w:p>
      <w:pPr>
        <w:pStyle w:val="Indenta"/>
      </w:pPr>
      <w:r>
        <w:tab/>
        <w:t>(b)</w:t>
      </w:r>
      <w:r>
        <w:tab/>
        <w:t>the Minister is of the opinion that that House will not sit before the end of the period referred to in subsection (2),</w:t>
      </w:r>
    </w:p>
    <w:p>
      <w:pPr>
        <w:pStyle w:val="Subsection"/>
      </w:pPr>
      <w:r>
        <w:tab/>
      </w:r>
      <w:r>
        <w:tab/>
        <w:t>the Minister is to transmit a copy of the report to the Clerk of that House and make the report available to the public.</w:t>
      </w:r>
    </w:p>
    <w:p>
      <w:pPr>
        <w:pStyle w:val="Subsection"/>
      </w:pPr>
      <w:r>
        <w:tab/>
        <w:t>(4)</w:t>
      </w:r>
      <w:r>
        <w:tab/>
        <w:t>A copy of a report transmitted to the Clerk of a House is to be regarded as having been laid before that House.</w:t>
      </w:r>
    </w:p>
    <w:p>
      <w:pPr>
        <w:pStyle w:val="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Heading5"/>
      </w:pPr>
      <w:bookmarkStart w:id="81" w:name="_Toc377565112"/>
      <w:bookmarkStart w:id="82" w:name="_Toc435030274"/>
      <w:r>
        <w:rPr>
          <w:rStyle w:val="CharSectno"/>
        </w:rPr>
        <w:t>29</w:t>
      </w:r>
      <w:r>
        <w:t>.</w:t>
      </w:r>
      <w:r>
        <w:tab/>
        <w:t>Protection from liability for wrongdoing</w:t>
      </w:r>
      <w:bookmarkEnd w:id="81"/>
      <w:bookmarkEnd w:id="8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3" w:name="_Toc377565113"/>
      <w:bookmarkStart w:id="84" w:name="_Toc435030275"/>
      <w:r>
        <w:rPr>
          <w:rStyle w:val="CharSectno"/>
        </w:rPr>
        <w:t>30</w:t>
      </w:r>
      <w:r>
        <w:t>.</w:t>
      </w:r>
      <w:r>
        <w:tab/>
        <w:t>Confidentiality</w:t>
      </w:r>
      <w:bookmarkEnd w:id="83"/>
      <w:bookmarkEnd w:id="84"/>
    </w:p>
    <w:p>
      <w:pPr>
        <w:pStyle w:val="Subsection"/>
      </w:pPr>
      <w:r>
        <w:tab/>
      </w:r>
      <w:r>
        <w:tab/>
        <w:t xml:space="preserve">A person who is or has been a member must not, directly or indirectly, record, disclose or make use of any information obtained in the course of duty except — </w:t>
      </w:r>
    </w:p>
    <w:p>
      <w:pPr>
        <w:pStyle w:val="Indenta"/>
      </w:pPr>
      <w:r>
        <w:tab/>
        <w:t>(a)</w:t>
      </w:r>
      <w:r>
        <w:tab/>
        <w:t>for the purpose of performing a function under this Act; or</w:t>
      </w:r>
    </w:p>
    <w:p>
      <w:pPr>
        <w:pStyle w:val="Indenta"/>
      </w:pPr>
      <w:r>
        <w:tab/>
        <w:t>(b)</w:t>
      </w:r>
      <w:r>
        <w:tab/>
        <w:t>as required or allowed by this Act or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a fine of $12 000.</w:t>
      </w:r>
    </w:p>
    <w:p>
      <w:pPr>
        <w:pStyle w:val="Heading2"/>
      </w:pPr>
      <w:bookmarkStart w:id="85" w:name="_Toc377565114"/>
      <w:bookmarkStart w:id="86" w:name="_Toc424304017"/>
      <w:bookmarkStart w:id="87" w:name="_Toc435030276"/>
      <w:r>
        <w:rPr>
          <w:rStyle w:val="CharPartNo"/>
        </w:rPr>
        <w:t>Part 4</w:t>
      </w:r>
      <w:r>
        <w:rPr>
          <w:rStyle w:val="CharDivNo"/>
        </w:rPr>
        <w:t> </w:t>
      </w:r>
      <w:r>
        <w:t>—</w:t>
      </w:r>
      <w:r>
        <w:rPr>
          <w:rStyle w:val="CharDivText"/>
        </w:rPr>
        <w:t> </w:t>
      </w:r>
      <w:r>
        <w:rPr>
          <w:rStyle w:val="CharPartText"/>
        </w:rPr>
        <w:t>Miscellaneous</w:t>
      </w:r>
      <w:bookmarkEnd w:id="85"/>
      <w:bookmarkEnd w:id="86"/>
      <w:bookmarkEnd w:id="87"/>
    </w:p>
    <w:p>
      <w:pPr>
        <w:pStyle w:val="Heading5"/>
      </w:pPr>
      <w:bookmarkStart w:id="88" w:name="_Toc377565115"/>
      <w:bookmarkStart w:id="89" w:name="_Toc435030277"/>
      <w:r>
        <w:rPr>
          <w:rStyle w:val="CharSectno"/>
        </w:rPr>
        <w:t>31</w:t>
      </w:r>
      <w:r>
        <w:t>.</w:t>
      </w:r>
      <w:r>
        <w:tab/>
        <w:t>Regulations</w:t>
      </w:r>
      <w:bookmarkEnd w:id="88"/>
      <w:bookmarkEnd w:id="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90" w:name="_Toc377565116"/>
      <w:bookmarkStart w:id="91" w:name="_Toc424304019"/>
      <w:bookmarkStart w:id="92" w:name="_Toc435030278"/>
      <w:r>
        <w:rPr>
          <w:rStyle w:val="CharPartNo"/>
        </w:rPr>
        <w:t>Part 5</w:t>
      </w:r>
      <w:r>
        <w:rPr>
          <w:rStyle w:val="CharDivNo"/>
        </w:rPr>
        <w:t> </w:t>
      </w:r>
      <w:r>
        <w:t>—</w:t>
      </w:r>
      <w:r>
        <w:rPr>
          <w:rStyle w:val="CharDivText"/>
        </w:rPr>
        <w:t> </w:t>
      </w:r>
      <w:r>
        <w:rPr>
          <w:rStyle w:val="CharPartText"/>
        </w:rPr>
        <w:t>Consequential amendment</w:t>
      </w:r>
      <w:bookmarkEnd w:id="90"/>
      <w:bookmarkEnd w:id="91"/>
      <w:bookmarkEnd w:id="92"/>
    </w:p>
    <w:p>
      <w:pPr>
        <w:pStyle w:val="Heading5"/>
        <w:rPr>
          <w:iCs/>
        </w:rPr>
      </w:pPr>
      <w:bookmarkStart w:id="93" w:name="_Toc377565117"/>
      <w:bookmarkStart w:id="94" w:name="_Toc435030279"/>
      <w:r>
        <w:rPr>
          <w:rStyle w:val="CharSectno"/>
        </w:rPr>
        <w:t>32</w:t>
      </w:r>
      <w:r>
        <w:t>.</w:t>
      </w:r>
      <w:r>
        <w:tab/>
      </w:r>
      <w:r>
        <w:rPr>
          <w:i/>
        </w:rPr>
        <w:t xml:space="preserve">Constitution Acts Amendment Act 1899 </w:t>
      </w:r>
      <w:r>
        <w:rPr>
          <w:iCs/>
        </w:rPr>
        <w:t>amended</w:t>
      </w:r>
      <w:bookmarkEnd w:id="93"/>
      <w:bookmarkEnd w:id="94"/>
    </w:p>
    <w:p>
      <w:pPr>
        <w:pStyle w:val="Subsection"/>
        <w:rPr>
          <w:i/>
        </w:rPr>
      </w:pPr>
      <w:r>
        <w:tab/>
        <w:t>(1)</w:t>
      </w:r>
      <w:r>
        <w:tab/>
        <w:t xml:space="preserve">This section amends the </w:t>
      </w:r>
      <w:r>
        <w:rPr>
          <w:i/>
        </w:rPr>
        <w:t>Constitution Acts Amendment Act 1899.</w:t>
      </w:r>
    </w:p>
    <w:p>
      <w:pPr>
        <w:pStyle w:val="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zyNumberedItem"/>
      </w:pPr>
      <w:r>
        <w:t xml:space="preserve">The Western Australian Regional Development Trust established under the </w:t>
      </w:r>
      <w:r>
        <w:rPr>
          <w:i/>
          <w:iCs/>
        </w:rPr>
        <w:t>Royalties for Regions Act 2009</w:t>
      </w:r>
      <w:r>
        <w:t>.</w:t>
      </w:r>
    </w:p>
    <w:p>
      <w:pPr>
        <w:pStyle w:val="BlankClose"/>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5" w:name="_Toc377565118"/>
      <w:bookmarkStart w:id="96" w:name="_Toc424304021"/>
      <w:bookmarkStart w:id="97" w:name="_Toc435030280"/>
      <w:bookmarkStart w:id="98" w:name="_Toc435030282"/>
      <w:r>
        <w:t>Notes</w:t>
      </w:r>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Royalties for Regions Act 2009</w:t>
      </w:r>
      <w:r>
        <w:rPr>
          <w:snapToGrid w:val="0"/>
        </w:rPr>
        <w:t xml:space="preserve"> and includes the amendments made by the other written laws referred to in the following table.  </w:t>
      </w:r>
    </w:p>
    <w:p>
      <w:pPr>
        <w:pStyle w:val="nHeading3"/>
        <w:rPr>
          <w:snapToGrid w:val="0"/>
        </w:rPr>
      </w:pPr>
      <w:bookmarkStart w:id="99" w:name="_Toc377565119"/>
      <w:bookmarkStart w:id="100" w:name="_Toc435030281"/>
      <w:r>
        <w:rPr>
          <w:snapToGrid w:val="0"/>
        </w:rPr>
        <w:t>Compilation table</w:t>
      </w:r>
      <w:bookmarkEnd w:id="99"/>
      <w:bookmarkEnd w:id="1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iCs/>
              </w:rPr>
            </w:pPr>
            <w:r>
              <w:rPr>
                <w:i/>
                <w:noProof/>
                <w:snapToGrid w:val="0"/>
              </w:rPr>
              <w:t xml:space="preserve">Royalties for Regions Act 2009 </w:t>
            </w:r>
          </w:p>
        </w:tc>
        <w:tc>
          <w:tcPr>
            <w:tcW w:w="1134" w:type="dxa"/>
            <w:tcBorders>
              <w:bottom w:val="nil"/>
            </w:tcBorders>
          </w:tcPr>
          <w:p>
            <w:pPr>
              <w:pStyle w:val="nTable"/>
              <w:spacing w:after="40"/>
            </w:pPr>
            <w:r>
              <w:t>41 of 2009</w:t>
            </w:r>
          </w:p>
        </w:tc>
        <w:tc>
          <w:tcPr>
            <w:tcW w:w="1134" w:type="dxa"/>
            <w:tcBorders>
              <w:bottom w:val="nil"/>
            </w:tcBorders>
          </w:tcPr>
          <w:p>
            <w:pPr>
              <w:pStyle w:val="nTable"/>
              <w:spacing w:after="40"/>
            </w:pPr>
            <w:r>
              <w:t>3 Dec 2009</w:t>
            </w:r>
          </w:p>
        </w:tc>
        <w:tc>
          <w:tcPr>
            <w:tcW w:w="2552" w:type="dxa"/>
            <w:tcBorders>
              <w:bottom w:val="nil"/>
            </w:tcBorders>
          </w:tcPr>
          <w:p>
            <w:pPr>
              <w:pStyle w:val="nTable"/>
              <w:spacing w:after="40"/>
            </w:pPr>
            <w:r>
              <w:t>s. 1 and 2: 3 Dec 2009 (see s. 2(a));</w:t>
            </w:r>
            <w:r>
              <w:br/>
              <w:t xml:space="preserve">s. 3, 4 and Pt. 2 and 4: 27 Mar 2010 (see s. 2(b) and </w:t>
            </w:r>
            <w:r>
              <w:rPr>
                <w:i/>
                <w:iCs/>
              </w:rPr>
              <w:t xml:space="preserve">Gazette </w:t>
            </w:r>
            <w:r>
              <w:t>26 Mar 2010 p. 1133);</w:t>
            </w:r>
            <w:r>
              <w:br/>
              <w:t xml:space="preserve">Pt. 3 and 5: 17 Jul 2010 (see s. 2(b) and </w:t>
            </w:r>
            <w:r>
              <w:rPr>
                <w:i/>
                <w:iCs/>
              </w:rPr>
              <w:t>Gazette</w:t>
            </w:r>
            <w:r>
              <w:t xml:space="preserve"> 16 Jul 2010 p. 3357)</w:t>
            </w:r>
          </w:p>
        </w:tc>
      </w:tr>
      <w:tr>
        <w:tc>
          <w:tcPr>
            <w:tcW w:w="2268" w:type="dxa"/>
            <w:tcBorders>
              <w:top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tcBorders>
          </w:tcPr>
          <w:p>
            <w:pPr>
              <w:pStyle w:val="nTable"/>
              <w:spacing w:after="40"/>
            </w:pPr>
            <w:r>
              <w:rPr>
                <w:snapToGrid w:val="0"/>
              </w:rPr>
              <w:t>39 of 2010</w:t>
            </w:r>
          </w:p>
        </w:tc>
        <w:tc>
          <w:tcPr>
            <w:tcW w:w="1134" w:type="dxa"/>
            <w:tcBorders>
              <w:top w:val="nil"/>
            </w:tcBorders>
          </w:tcPr>
          <w:p>
            <w:pPr>
              <w:pStyle w:val="nTable"/>
              <w:spacing w:after="40"/>
            </w:pPr>
            <w:r>
              <w:t>1 Oct 2010</w:t>
            </w:r>
          </w:p>
        </w:tc>
        <w:tc>
          <w:tcPr>
            <w:tcW w:w="2552" w:type="dxa"/>
            <w:tcBorders>
              <w:top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98"/>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chairperson</w:t>
      </w:r>
      <w:r>
        <w:tab/>
        <w:t>3</w:t>
      </w:r>
    </w:p>
    <w:p>
      <w:pPr>
        <w:pStyle w:val="DefinedTerms"/>
      </w:pPr>
      <w:r>
        <w:t>Department</w:t>
      </w:r>
      <w:r>
        <w:tab/>
        <w:t>3</w:t>
      </w:r>
    </w:p>
    <w:p>
      <w:pPr>
        <w:pStyle w:val="DefinedTerms"/>
      </w:pPr>
      <w:r>
        <w:t>deputy chairperson</w:t>
      </w:r>
      <w:r>
        <w:tab/>
        <w:t>3</w:t>
      </w:r>
    </w:p>
    <w:p>
      <w:pPr>
        <w:pStyle w:val="DefinedTerms"/>
      </w:pPr>
      <w:r>
        <w:t>forecast royalty income</w:t>
      </w:r>
      <w:r>
        <w:tab/>
        <w:t>6(1)</w:t>
      </w:r>
    </w:p>
    <w:p>
      <w:pPr>
        <w:pStyle w:val="DefinedTerms"/>
      </w:pPr>
      <w:r>
        <w:t>Fund</w:t>
      </w:r>
      <w:r>
        <w:tab/>
        <w:t>3</w:t>
      </w:r>
    </w:p>
    <w:p>
      <w:pPr>
        <w:pStyle w:val="DefinedTerms"/>
      </w:pPr>
      <w:r>
        <w:t>member</w:t>
      </w:r>
      <w:r>
        <w:tab/>
        <w:t>3</w:t>
      </w:r>
    </w:p>
    <w:p>
      <w:pPr>
        <w:pStyle w:val="DefinedTerms"/>
      </w:pPr>
      <w:r>
        <w:t>Minister</w:t>
      </w:r>
      <w:r>
        <w:tab/>
        <w:t>3</w:t>
      </w:r>
    </w:p>
    <w:p>
      <w:pPr>
        <w:pStyle w:val="DefinedTerms"/>
      </w:pPr>
      <w:r>
        <w:t>regional development commission</w:t>
      </w:r>
      <w:r>
        <w:tab/>
        <w:t>3</w:t>
      </w:r>
    </w:p>
    <w:p>
      <w:pPr>
        <w:pStyle w:val="DefinedTerms"/>
      </w:pPr>
      <w:r>
        <w:t>regional Western Australia</w:t>
      </w:r>
      <w:r>
        <w:tab/>
        <w:t>3</w:t>
      </w:r>
    </w:p>
    <w:p>
      <w:pPr>
        <w:pStyle w:val="DefinedTerms"/>
      </w:pPr>
      <w:r>
        <w:t>Trust</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2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Royalties for Regions Act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Royalties for Regions Act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Royalties for Regions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Royalties for Regions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Royalties for Regions Act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Royalties for Regions Act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Royalties for Regions Act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Royalties for Regions Act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28"/>
    <w:docVar w:name="WAFER_20140115152836" w:val="RemoveTocBookmarks,RemoveUnusedBookmarks,RemoveLanguageTags,UsedStyles,ResetPageSize,UpdateArrangement"/>
    <w:docVar w:name="WAFER_20140115152836_GUID" w:val="bb716151-2374-44bd-99d2-38443b8125b1"/>
    <w:docVar w:name="WAFER_20140115160131" w:val="RemoveTocBookmarks,RunningHeaders"/>
    <w:docVar w:name="WAFER_20140115160131_GUID" w:val="31358de9-1cf2-42d0-b02f-c6328288dd4d"/>
    <w:docVar w:name="WAFER_20150710142737" w:val="ResetPageSize,UpdateArrangement,UpdateNTable"/>
    <w:docVar w:name="WAFER_20150710142737_GUID" w:val="23c0cbf5-86ea-4cc0-8eb6-841509eea8da"/>
    <w:docVar w:name="WAFER_20151111174537" w:val="UpdateStyles"/>
    <w:docVar w:name="WAFER_20151111174537_GUID" w:val="0f79d400-827a-43ad-bf95-f62f683f6429"/>
    <w:docVar w:name="WAFER_20151111174836" w:val="UpdateStyles,UsedStyles"/>
    <w:docVar w:name="WAFER_20151111174836_GUID" w:val="1df86fd2-d3b9-4737-9045-44880bf720d6"/>
    <w:docVar w:name="WAFER_20151201122128" w:val="RemoveTrackChanges"/>
    <w:docVar w:name="WAFER_20151201122128_GUID" w:val="772790a9-4aad-4e87-97dc-b7839c7f48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3238</Words>
  <Characters>15576</Characters>
  <Application>Microsoft Office Word</Application>
  <DocSecurity>0</DocSecurity>
  <Lines>472</Lines>
  <Paragraphs>318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Royalties for Regions Fund</vt:lpstr>
      <vt:lpstr>    Part 3 — Western Australian Regional Development Trust</vt:lpstr>
      <vt:lpstr>        Division 1 — Establishment and functions</vt:lpstr>
      <vt:lpstr>        Division 2 — Constitution and related matters</vt:lpstr>
      <vt:lpstr>        Division 3 — Meetings</vt:lpstr>
      <vt:lpstr>        Division 4 — Other matters</vt:lpstr>
      <vt:lpstr>    Part 4 — Miscellaneous</vt:lpstr>
      <vt:lpstr>    Part 5 — Consequential amendment</vt:lpstr>
      <vt:lpstr>    Notes</vt:lpstr>
      <vt:lpstr>    Defined Terms</vt:lpstr>
    </vt:vector>
  </TitlesOfParts>
  <Manager/>
  <Company/>
  <LinksUpToDate>false</LinksUpToDate>
  <CharactersWithSpaces>18496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2009 - 00-f0-08</dc:title>
  <dc:subject/>
  <dc:creator/>
  <cp:keywords/>
  <dc:description/>
  <cp:lastModifiedBy>svcMRProcess</cp:lastModifiedBy>
  <cp:revision>4</cp:revision>
  <cp:lastPrinted>2009-11-25T20:02:00Z</cp:lastPrinted>
  <dcterms:created xsi:type="dcterms:W3CDTF">2019-01-23T05:29:00Z</dcterms:created>
  <dcterms:modified xsi:type="dcterms:W3CDTF">2019-01-23T05:29:00Z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146739</vt:i4>
  </property>
  <property fmtid="{D5CDD505-2E9C-101B-9397-08002B2CF9AE}" pid="6" name="AsAtDate">
    <vt:lpwstr>01 Dec 2010</vt:lpwstr>
  </property>
  <property fmtid="{D5CDD505-2E9C-101B-9397-08002B2CF9AE}" pid="7" name="Suffix">
    <vt:lpwstr>00-f0-08</vt:lpwstr>
  </property>
</Properties>
</file>