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 Kennedy Development Agreement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Kennedy Development Agreement Act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_Toc378262532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_Toc378262533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_Toc378262534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Ratification of Agreement</w:t>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_Toc378262536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Facilitation of development</w:t>
      </w:r>
    </w:p>
    <w:p>
      <w:pPr>
        <w:pStyle w:val="TOC8"/>
        <w:rPr>
          <w:rFonts w:asciiTheme="minorHAnsi" w:eastAsiaTheme="minorEastAsia" w:hAnsiTheme="minorHAnsi" w:cstheme="minorBidi"/>
          <w:szCs w:val="22"/>
        </w:rPr>
      </w:pPr>
      <w:r>
        <w:t>5</w:t>
      </w:r>
      <w:r>
        <w:rPr>
          <w:snapToGrid w:val="0"/>
        </w:rPr>
        <w:t>.</w:t>
      </w:r>
      <w:r>
        <w:rPr>
          <w:snapToGrid w:val="0"/>
        </w:rPr>
        <w:tab/>
        <w:t>Reserve cancelled, roads closed and land vested in Crown</w:t>
      </w:r>
      <w:r>
        <w:tab/>
      </w:r>
      <w:r>
        <w:fldChar w:fldCharType="begin"/>
      </w:r>
      <w:r>
        <w:instrText xml:space="preserve"> PAGEREF _Toc378262538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Area of Port Kennedy Land Conservation District amended</w:t>
      </w:r>
      <w:r>
        <w:tab/>
      </w:r>
      <w:r>
        <w:fldChar w:fldCharType="begin"/>
      </w:r>
      <w:r>
        <w:instrText xml:space="preserve"> PAGEREF _Toc378262539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unauthorised structures</w:t>
      </w:r>
      <w:r>
        <w:tab/>
      </w:r>
      <w:r>
        <w:fldChar w:fldCharType="begin"/>
      </w:r>
      <w:r>
        <w:instrText xml:space="preserve"> PAGEREF _Toc378262540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Subdivision, dedication and reservation of certain land in the development area</w:t>
      </w:r>
      <w:r>
        <w:tab/>
      </w:r>
      <w:r>
        <w:fldChar w:fldCharType="begin"/>
      </w:r>
      <w:r>
        <w:instrText xml:space="preserve"> PAGEREF _Toc378262541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Rezoning of land granted under Agreement</w:t>
      </w:r>
      <w:r>
        <w:tab/>
      </w:r>
      <w:r>
        <w:fldChar w:fldCharType="begin"/>
      </w:r>
      <w:r>
        <w:instrText xml:space="preserve"> PAGEREF _Toc378262542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Note regarding unexploded munitions to be endorsed on register</w:t>
      </w:r>
      <w:r>
        <w:tab/>
      </w:r>
      <w:r>
        <w:fldChar w:fldCharType="begin"/>
      </w:r>
      <w:r>
        <w:instrText xml:space="preserve"> PAGEREF _Toc378262543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 of Titles etc. shall give effect to Act</w:t>
      </w:r>
      <w:r>
        <w:tab/>
      </w:r>
      <w:r>
        <w:fldChar w:fldCharType="begin"/>
      </w:r>
      <w:r>
        <w:instrText xml:space="preserve"> PAGEREF _Toc378262544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Port Kennedy Management Board</w:t>
      </w:r>
    </w:p>
    <w:p>
      <w:pPr>
        <w:pStyle w:val="TOC8"/>
        <w:rPr>
          <w:rFonts w:asciiTheme="minorHAnsi" w:eastAsiaTheme="minorEastAsia" w:hAnsiTheme="minorHAnsi" w:cstheme="minorBidi"/>
          <w:szCs w:val="22"/>
        </w:rPr>
      </w:pPr>
      <w:r>
        <w:t>12</w:t>
      </w:r>
      <w:r>
        <w:rPr>
          <w:snapToGrid w:val="0"/>
        </w:rPr>
        <w:t>.</w:t>
      </w:r>
      <w:r>
        <w:rPr>
          <w:snapToGrid w:val="0"/>
        </w:rPr>
        <w:tab/>
        <w:t>Establishment and composition of Port Kennedy Management Board</w:t>
      </w:r>
      <w:r>
        <w:tab/>
      </w:r>
      <w:r>
        <w:fldChar w:fldCharType="begin"/>
      </w:r>
      <w:r>
        <w:instrText xml:space="preserve"> PAGEREF _Toc378262546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the Board</w:t>
      </w:r>
      <w:r>
        <w:tab/>
      </w:r>
      <w:r>
        <w:fldChar w:fldCharType="begin"/>
      </w:r>
      <w:r>
        <w:instrText xml:space="preserve"> PAGEREF _Toc378262547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take into account advice of Board</w:t>
      </w:r>
      <w:r>
        <w:tab/>
      </w:r>
      <w:r>
        <w:fldChar w:fldCharType="begin"/>
      </w:r>
      <w:r>
        <w:instrText xml:space="preserve"> PAGEREF _Toc378262548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Chairperson</w:t>
      </w:r>
      <w:r>
        <w:tab/>
      </w:r>
      <w:r>
        <w:fldChar w:fldCharType="begin"/>
      </w:r>
      <w:r>
        <w:instrText xml:space="preserve"> PAGEREF _Toc378262549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Services and facilities</w:t>
      </w:r>
      <w:r>
        <w:tab/>
      </w:r>
      <w:r>
        <w:fldChar w:fldCharType="begin"/>
      </w:r>
      <w:r>
        <w:instrText xml:space="preserve"> PAGEREF _Toc378262550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Remuneration</w:t>
      </w:r>
      <w:r>
        <w:tab/>
      </w:r>
      <w:r>
        <w:fldChar w:fldCharType="begin"/>
      </w:r>
      <w:r>
        <w:instrText xml:space="preserve"> PAGEREF _Toc378262551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Protection of Board and members</w:t>
      </w:r>
      <w:r>
        <w:tab/>
      </w:r>
      <w:r>
        <w:fldChar w:fldCharType="begin"/>
      </w:r>
      <w:r>
        <w:instrText xml:space="preserve"> PAGEREF _Toc378262552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Constitution and proceedings</w:t>
      </w:r>
      <w:r>
        <w:tab/>
      </w:r>
      <w:r>
        <w:fldChar w:fldCharType="begin"/>
      </w:r>
      <w:r>
        <w:instrText xml:space="preserve"> PAGEREF _Toc378262553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Construction of marina</w:t>
      </w:r>
      <w:r>
        <w:tab/>
      </w:r>
      <w:r>
        <w:fldChar w:fldCharType="begin"/>
      </w:r>
      <w:r>
        <w:instrText xml:space="preserve"> PAGEREF _Toc378262554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21</w:t>
      </w:r>
      <w:r>
        <w:rPr>
          <w:snapToGrid w:val="0"/>
        </w:rPr>
        <w:t>.</w:t>
      </w:r>
      <w:r>
        <w:rPr>
          <w:snapToGrid w:val="0"/>
        </w:rPr>
        <w:tab/>
        <w:t>Restriction upon development of land in stage 2 area</w:t>
      </w:r>
      <w:r>
        <w:tab/>
      </w:r>
      <w:r>
        <w:fldChar w:fldCharType="begin"/>
      </w:r>
      <w:r>
        <w:instrText xml:space="preserve"> PAGEREF _Toc378262556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_Toc378262557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w:t>
      </w:r>
      <w:r>
        <w:tab/>
      </w:r>
      <w:r>
        <w:fldChar w:fldCharType="begin"/>
      </w:r>
      <w:r>
        <w:instrText xml:space="preserve"> PAGEREF _Toc378262558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Schedule 1 — The Agreement</w:t>
      </w:r>
    </w:p>
    <w:p>
      <w:pPr>
        <w:pStyle w:val="TOC2"/>
        <w:tabs>
          <w:tab w:val="right" w:leader="dot" w:pos="7086"/>
        </w:tabs>
        <w:rPr>
          <w:rFonts w:asciiTheme="minorHAnsi" w:eastAsiaTheme="minorEastAsia" w:hAnsiTheme="minorHAnsi" w:cstheme="minorBidi"/>
          <w:b w:val="0"/>
          <w:sz w:val="22"/>
          <w:szCs w:val="22"/>
        </w:rPr>
      </w:pPr>
      <w:r>
        <w:t>Schedule 2 — Constitution and proceedings of Board</w:t>
      </w:r>
    </w:p>
    <w:p>
      <w:pPr>
        <w:pStyle w:val="TOC8"/>
        <w:rPr>
          <w:rFonts w:asciiTheme="minorHAnsi" w:eastAsiaTheme="minorEastAsia" w:hAnsiTheme="minorHAnsi" w:cstheme="minorBidi"/>
          <w:szCs w:val="22"/>
        </w:rPr>
      </w:pPr>
      <w:r>
        <w:t>1.</w:t>
      </w:r>
      <w:r>
        <w:tab/>
        <w:t>Term of office of members</w:t>
      </w:r>
      <w:r>
        <w:tab/>
      </w:r>
      <w:r>
        <w:fldChar w:fldCharType="begin"/>
      </w:r>
      <w:r>
        <w:instrText xml:space="preserve"> PAGEREF _Toc378262561 \h </w:instrText>
      </w:r>
      <w:r>
        <w:fldChar w:fldCharType="separate"/>
      </w:r>
      <w:r>
        <w:t>79</w:t>
      </w:r>
      <w:r>
        <w:fldChar w:fldCharType="end"/>
      </w:r>
    </w:p>
    <w:p>
      <w:pPr>
        <w:pStyle w:val="TOC8"/>
        <w:rPr>
          <w:rFonts w:asciiTheme="minorHAnsi" w:eastAsiaTheme="minorEastAsia" w:hAnsiTheme="minorHAnsi" w:cstheme="minorBidi"/>
          <w:szCs w:val="22"/>
        </w:rPr>
      </w:pPr>
      <w:r>
        <w:t>2.</w:t>
      </w:r>
      <w:r>
        <w:tab/>
        <w:t>Vacation of office by member</w:t>
      </w:r>
      <w:r>
        <w:tab/>
      </w:r>
      <w:r>
        <w:fldChar w:fldCharType="begin"/>
      </w:r>
      <w:r>
        <w:instrText xml:space="preserve"> PAGEREF _Toc378262562 \h </w:instrText>
      </w:r>
      <w:r>
        <w:fldChar w:fldCharType="separate"/>
      </w:r>
      <w:r>
        <w:t>79</w:t>
      </w:r>
      <w:r>
        <w:fldChar w:fldCharType="end"/>
      </w:r>
    </w:p>
    <w:p>
      <w:pPr>
        <w:pStyle w:val="TOC8"/>
        <w:rPr>
          <w:rFonts w:asciiTheme="minorHAnsi" w:eastAsiaTheme="minorEastAsia" w:hAnsiTheme="minorHAnsi" w:cstheme="minorBidi"/>
          <w:szCs w:val="22"/>
        </w:rPr>
      </w:pPr>
      <w:r>
        <w:t>3.</w:t>
      </w:r>
      <w:r>
        <w:tab/>
        <w:t>Proceedings of the Board</w:t>
      </w:r>
      <w:r>
        <w:tab/>
      </w:r>
      <w:r>
        <w:fldChar w:fldCharType="begin"/>
      </w:r>
      <w:r>
        <w:instrText xml:space="preserve"> PAGEREF _Toc378262563 \h </w:instrText>
      </w:r>
      <w:r>
        <w:fldChar w:fldCharType="separate"/>
      </w:r>
      <w:r>
        <w:t>79</w:t>
      </w:r>
      <w:r>
        <w:fldChar w:fldCharType="end"/>
      </w:r>
    </w:p>
    <w:p>
      <w:pPr>
        <w:pStyle w:val="TOC8"/>
        <w:rPr>
          <w:rFonts w:asciiTheme="minorHAnsi" w:eastAsiaTheme="minorEastAsia" w:hAnsiTheme="minorHAnsi" w:cstheme="minorBidi"/>
          <w:szCs w:val="22"/>
        </w:rPr>
      </w:pPr>
      <w:r>
        <w:t>4.</w:t>
      </w:r>
      <w:r>
        <w:tab/>
        <w:t>Chairperson</w:t>
      </w:r>
      <w:r>
        <w:tab/>
      </w:r>
      <w:r>
        <w:fldChar w:fldCharType="begin"/>
      </w:r>
      <w:r>
        <w:instrText xml:space="preserve"> PAGEREF _Toc378262564 \h </w:instrText>
      </w:r>
      <w:r>
        <w:fldChar w:fldCharType="separate"/>
      </w:r>
      <w:r>
        <w:t>80</w:t>
      </w:r>
      <w:r>
        <w:fldChar w:fldCharType="end"/>
      </w:r>
    </w:p>
    <w:p>
      <w:pPr>
        <w:pStyle w:val="TOC8"/>
        <w:rPr>
          <w:rFonts w:asciiTheme="minorHAnsi" w:eastAsiaTheme="minorEastAsia" w:hAnsiTheme="minorHAnsi" w:cstheme="minorBidi"/>
          <w:szCs w:val="22"/>
        </w:rPr>
      </w:pPr>
      <w:r>
        <w:t>5.</w:t>
      </w:r>
      <w:r>
        <w:tab/>
        <w:t>Delegation by Board</w:t>
      </w:r>
      <w:r>
        <w:tab/>
      </w:r>
      <w:r>
        <w:fldChar w:fldCharType="begin"/>
      </w:r>
      <w:r>
        <w:instrText xml:space="preserve"> PAGEREF _Toc378262565 \h </w:instrText>
      </w:r>
      <w:r>
        <w:fldChar w:fldCharType="separate"/>
      </w:r>
      <w:r>
        <w:t>80</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_Toc378262566 \h </w:instrText>
      </w:r>
      <w:r>
        <w:fldChar w:fldCharType="separate"/>
      </w:r>
      <w:r>
        <w:t>80</w:t>
      </w:r>
      <w:r>
        <w:fldChar w:fldCharType="end"/>
      </w:r>
    </w:p>
    <w:p>
      <w:pPr>
        <w:pStyle w:val="TOC8"/>
        <w:rPr>
          <w:rFonts w:asciiTheme="minorHAnsi" w:eastAsiaTheme="minorEastAsia" w:hAnsiTheme="minorHAnsi" w:cstheme="minorBidi"/>
          <w:szCs w:val="22"/>
        </w:rPr>
      </w:pPr>
      <w:r>
        <w:t>7.</w:t>
      </w:r>
      <w:r>
        <w:tab/>
        <w:t>Minutes</w:t>
      </w:r>
      <w:r>
        <w:tab/>
      </w:r>
      <w:r>
        <w:fldChar w:fldCharType="begin"/>
      </w:r>
      <w:r>
        <w:instrText xml:space="preserve"> PAGEREF _Toc378262567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_Toc378262569 \h </w:instrText>
      </w:r>
      <w:r>
        <w:fldChar w:fldCharType="separate"/>
      </w:r>
      <w:r>
        <w:t>81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 xml:space="preserve">An Act to ratify an agreement between the State of Western Australia and Fleuris Pty Ltd and to facilitate the development of the area known as Port Kennedy and for related purposes. </w:t>
      </w:r>
    </w:p>
    <w:p>
      <w:pPr>
        <w:pStyle w:val="Heading2"/>
      </w:pPr>
      <w:bookmarkStart w:id="1" w:name="_Toc378262531"/>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8262532"/>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3" w:name="_Toc37826253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 w:name="_Toc378262534"/>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Port Kennedy Management Board established under section 12;</w:t>
      </w:r>
    </w:p>
    <w:p>
      <w:pPr>
        <w:pStyle w:val="Defstart"/>
      </w:pPr>
      <w:r>
        <w:rPr>
          <w:b/>
        </w:rPr>
        <w:tab/>
      </w:r>
      <w:r>
        <w:rPr>
          <w:rStyle w:val="CharDefText"/>
        </w:rPr>
        <w:t>Company</w:t>
      </w:r>
      <w:r>
        <w:t xml:space="preserve"> has the same meaning as in the Agreement;</w:t>
      </w:r>
    </w:p>
    <w:p>
      <w:pPr>
        <w:pStyle w:val="Defstart"/>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pPr>
      <w:r>
        <w:rPr>
          <w:b/>
        </w:rPr>
        <w:tab/>
      </w:r>
      <w:r>
        <w:rPr>
          <w:rStyle w:val="CharDefText"/>
        </w:rPr>
        <w:t>development area</w:t>
      </w:r>
      <w:r>
        <w:t xml:space="preserve"> has the same meaning as in the Agreement;</w:t>
      </w:r>
    </w:p>
    <w:p>
      <w:pPr>
        <w:pStyle w:val="Defstart"/>
      </w:pPr>
      <w:r>
        <w:rPr>
          <w:b/>
        </w:rPr>
        <w:tab/>
      </w:r>
      <w:r>
        <w:rPr>
          <w:rStyle w:val="CharDefText"/>
        </w:rPr>
        <w:t>Environmental Approval</w:t>
      </w:r>
      <w:r>
        <w:t xml:space="preserve"> has the same meaning as in the Agreement;</w:t>
      </w:r>
    </w:p>
    <w:p>
      <w:pPr>
        <w:pStyle w:val="Defstart"/>
      </w:pPr>
      <w:r>
        <w:rPr>
          <w:b/>
        </w:rPr>
        <w:tab/>
      </w:r>
      <w:r>
        <w:rPr>
          <w:rStyle w:val="CharDefText"/>
        </w:rPr>
        <w:t>member</w:t>
      </w:r>
      <w:r>
        <w:t xml:space="preserve"> means member of the Board;</w:t>
      </w:r>
    </w:p>
    <w:p>
      <w:pPr>
        <w:pStyle w:val="Defstart"/>
      </w:pPr>
      <w:r>
        <w:rPr>
          <w:b/>
        </w:rPr>
        <w:tab/>
      </w:r>
      <w:r>
        <w:rPr>
          <w:rStyle w:val="CharDefText"/>
        </w:rPr>
        <w:t>Port Kennedy area</w:t>
      </w:r>
      <w:r>
        <w:t xml:space="preserve"> means the area bordered in blue and shown as the Port Kennedy area on Plan No. 1744;</w:t>
      </w:r>
    </w:p>
    <w:p>
      <w:pPr>
        <w:pStyle w:val="Defstart"/>
      </w:pPr>
      <w:r>
        <w:rPr>
          <w:b/>
        </w:rPr>
        <w:tab/>
      </w:r>
      <w:r>
        <w:rPr>
          <w:rStyle w:val="CharDefText"/>
        </w:rPr>
        <w:t>Registrar of Titles</w:t>
      </w:r>
      <w:r>
        <w:t xml:space="preserve"> has the meaning given by the </w:t>
      </w:r>
      <w:r>
        <w:rPr>
          <w:i/>
        </w:rPr>
        <w:t>Transfer of Land Act 1893</w:t>
      </w:r>
      <w:r>
        <w:t>;</w:t>
      </w:r>
    </w:p>
    <w:p>
      <w:pPr>
        <w:pStyle w:val="Defstart"/>
      </w:pPr>
      <w:r>
        <w:rPr>
          <w:b/>
        </w:rPr>
        <w:tab/>
      </w:r>
      <w:r>
        <w:rPr>
          <w:rStyle w:val="CharDefText"/>
        </w:rPr>
        <w:t>stage 2 area</w:t>
      </w:r>
      <w:r>
        <w:t xml:space="preserve"> means stage 2 as that term is defined in the Agreement;</w:t>
      </w:r>
    </w:p>
    <w:p>
      <w:pPr>
        <w:pStyle w:val="Defstart"/>
      </w:pPr>
      <w:r>
        <w:rPr>
          <w:b/>
        </w:rPr>
        <w:tab/>
      </w:r>
      <w:r>
        <w:rPr>
          <w:rStyle w:val="CharDefText"/>
        </w:rPr>
        <w:t>the Agreement</w:t>
      </w:r>
      <w:r>
        <w:t xml:space="preserve"> means the Agreement a copy of which is set out in Schedule 1.</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r>
        <w:tab/>
        <w:t xml:space="preserve">[Section 3 amended by No. 46 of 2009 s. 13(2) and (3).] </w:t>
      </w:r>
    </w:p>
    <w:p>
      <w:pPr>
        <w:pStyle w:val="Heading2"/>
      </w:pPr>
      <w:bookmarkStart w:id="5" w:name="_Toc378262535"/>
      <w:r>
        <w:rPr>
          <w:rStyle w:val="CharPartNo"/>
        </w:rPr>
        <w:t>Part 2</w:t>
      </w:r>
      <w:r>
        <w:rPr>
          <w:rStyle w:val="CharDivNo"/>
        </w:rPr>
        <w:t> </w:t>
      </w:r>
      <w:r>
        <w:t>—</w:t>
      </w:r>
      <w:r>
        <w:rPr>
          <w:rStyle w:val="CharDivText"/>
        </w:rPr>
        <w:t> </w:t>
      </w:r>
      <w:r>
        <w:rPr>
          <w:rStyle w:val="CharPartText"/>
        </w:rPr>
        <w:t>Ratification of Agreement</w:t>
      </w:r>
      <w:bookmarkEnd w:id="5"/>
      <w:r>
        <w:rPr>
          <w:rStyle w:val="CharPartText"/>
        </w:rPr>
        <w:t xml:space="preserve"> </w:t>
      </w:r>
    </w:p>
    <w:p>
      <w:pPr>
        <w:pStyle w:val="Heading5"/>
        <w:rPr>
          <w:snapToGrid w:val="0"/>
        </w:rPr>
      </w:pPr>
      <w:bookmarkStart w:id="6" w:name="_Toc378262536"/>
      <w:r>
        <w:rPr>
          <w:rStyle w:val="CharSectno"/>
        </w:rPr>
        <w:t>4</w:t>
      </w:r>
      <w:r>
        <w:rPr>
          <w:snapToGrid w:val="0"/>
        </w:rPr>
        <w:t>.</w:t>
      </w:r>
      <w:r>
        <w:rPr>
          <w:snapToGrid w:val="0"/>
        </w:rPr>
        <w:tab/>
        <w:t>Agreement ratified and implementation authorised</w:t>
      </w:r>
      <w:bookmarkEnd w:id="6"/>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7" w:name="_Toc378262537"/>
      <w:r>
        <w:rPr>
          <w:rStyle w:val="CharPartNo"/>
        </w:rPr>
        <w:t>Part 3</w:t>
      </w:r>
      <w:r>
        <w:rPr>
          <w:rStyle w:val="CharDivNo"/>
        </w:rPr>
        <w:t> </w:t>
      </w:r>
      <w:r>
        <w:t>—</w:t>
      </w:r>
      <w:r>
        <w:rPr>
          <w:rStyle w:val="CharDivText"/>
        </w:rPr>
        <w:t> </w:t>
      </w:r>
      <w:r>
        <w:rPr>
          <w:rStyle w:val="CharPartText"/>
        </w:rPr>
        <w:t>Facilitation of development</w:t>
      </w:r>
      <w:bookmarkEnd w:id="7"/>
      <w:r>
        <w:rPr>
          <w:rStyle w:val="CharPartText"/>
        </w:rPr>
        <w:t xml:space="preserve"> </w:t>
      </w:r>
    </w:p>
    <w:p>
      <w:pPr>
        <w:pStyle w:val="Heading5"/>
        <w:rPr>
          <w:snapToGrid w:val="0"/>
        </w:rPr>
      </w:pPr>
      <w:bookmarkStart w:id="8" w:name="_Toc378262538"/>
      <w:r>
        <w:rPr>
          <w:rStyle w:val="CharSectno"/>
        </w:rPr>
        <w:t>5</w:t>
      </w:r>
      <w:r>
        <w:rPr>
          <w:snapToGrid w:val="0"/>
        </w:rPr>
        <w:t>.</w:t>
      </w:r>
      <w:r>
        <w:rPr>
          <w:snapToGrid w:val="0"/>
        </w:rPr>
        <w:tab/>
        <w:t>Reserve cancelled, roads closed and land vested in Crown</w:t>
      </w:r>
      <w:bookmarkEnd w:id="8"/>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9" w:name="_Toc378262539"/>
      <w:r>
        <w:rPr>
          <w:rStyle w:val="CharSectno"/>
        </w:rPr>
        <w:t>6</w:t>
      </w:r>
      <w:r>
        <w:rPr>
          <w:snapToGrid w:val="0"/>
        </w:rPr>
        <w:t>.</w:t>
      </w:r>
      <w:r>
        <w:rPr>
          <w:snapToGrid w:val="0"/>
        </w:rPr>
        <w:tab/>
        <w:t>Area of Port Kennedy Land Conservation District amended</w:t>
      </w:r>
      <w:bookmarkEnd w:id="9"/>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10" w:name="_Toc378262540"/>
      <w:r>
        <w:rPr>
          <w:rStyle w:val="CharSectno"/>
        </w:rPr>
        <w:t>7</w:t>
      </w:r>
      <w:r>
        <w:rPr>
          <w:snapToGrid w:val="0"/>
        </w:rPr>
        <w:t>.</w:t>
      </w:r>
      <w:r>
        <w:rPr>
          <w:snapToGrid w:val="0"/>
        </w:rPr>
        <w:tab/>
        <w:t>Removal of unauthorised structures</w:t>
      </w:r>
      <w:bookmarkEnd w:id="10"/>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r>
        <w:tab/>
        <w:t xml:space="preserve">[Section 7 amended by No. 46 of 2009 s. 13(4).] </w:t>
      </w:r>
    </w:p>
    <w:p>
      <w:pPr>
        <w:pStyle w:val="Heading5"/>
        <w:rPr>
          <w:snapToGrid w:val="0"/>
        </w:rPr>
      </w:pPr>
      <w:bookmarkStart w:id="11" w:name="_Toc378262541"/>
      <w:r>
        <w:rPr>
          <w:rStyle w:val="CharSectno"/>
        </w:rPr>
        <w:t>8</w:t>
      </w:r>
      <w:r>
        <w:rPr>
          <w:snapToGrid w:val="0"/>
        </w:rPr>
        <w:t>.</w:t>
      </w:r>
      <w:r>
        <w:rPr>
          <w:snapToGrid w:val="0"/>
        </w:rPr>
        <w:tab/>
        <w:t>Subdivision, dedication and reservation of certain land in the development area</w:t>
      </w:r>
      <w:bookmarkEnd w:id="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12" w:name="_Toc378262542"/>
      <w:r>
        <w:rPr>
          <w:rStyle w:val="CharSectno"/>
        </w:rPr>
        <w:t>9</w:t>
      </w:r>
      <w:r>
        <w:rPr>
          <w:snapToGrid w:val="0"/>
        </w:rPr>
        <w:t>.</w:t>
      </w:r>
      <w:r>
        <w:rPr>
          <w:snapToGrid w:val="0"/>
        </w:rPr>
        <w:tab/>
        <w:t>Rezoning of land granted under Agreement</w:t>
      </w:r>
      <w:bookmarkEnd w:id="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13" w:name="_Toc378262543"/>
      <w:r>
        <w:rPr>
          <w:rStyle w:val="CharSectno"/>
        </w:rPr>
        <w:t>10</w:t>
      </w:r>
      <w:r>
        <w:rPr>
          <w:snapToGrid w:val="0"/>
        </w:rPr>
        <w:t>.</w:t>
      </w:r>
      <w:r>
        <w:rPr>
          <w:snapToGrid w:val="0"/>
        </w:rPr>
        <w:tab/>
        <w:t>Note regarding unexploded munitions to be endorsed on register</w:t>
      </w:r>
      <w:bookmarkEnd w:id="13"/>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14" w:name="_Toc378262544"/>
      <w:r>
        <w:rPr>
          <w:rStyle w:val="CharSectno"/>
        </w:rPr>
        <w:t>11</w:t>
      </w:r>
      <w:r>
        <w:rPr>
          <w:snapToGrid w:val="0"/>
        </w:rPr>
        <w:t>.</w:t>
      </w:r>
      <w:r>
        <w:rPr>
          <w:snapToGrid w:val="0"/>
        </w:rPr>
        <w:tab/>
        <w:t>Registrar of Titles etc. shall give effect to Act</w:t>
      </w:r>
      <w:bookmarkEnd w:id="14"/>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15" w:name="_Toc378262545"/>
      <w:r>
        <w:rPr>
          <w:rStyle w:val="CharPartNo"/>
        </w:rPr>
        <w:t>Part 4</w:t>
      </w:r>
      <w:r>
        <w:rPr>
          <w:rStyle w:val="CharDivNo"/>
        </w:rPr>
        <w:t> </w:t>
      </w:r>
      <w:r>
        <w:t>—</w:t>
      </w:r>
      <w:r>
        <w:rPr>
          <w:rStyle w:val="CharDivText"/>
        </w:rPr>
        <w:t> </w:t>
      </w:r>
      <w:r>
        <w:rPr>
          <w:rStyle w:val="CharPartText"/>
        </w:rPr>
        <w:t>Port Kennedy Management Board</w:t>
      </w:r>
      <w:bookmarkEnd w:id="15"/>
      <w:r>
        <w:rPr>
          <w:rStyle w:val="CharPartText"/>
        </w:rPr>
        <w:t xml:space="preserve"> </w:t>
      </w:r>
    </w:p>
    <w:p>
      <w:pPr>
        <w:pStyle w:val="Heading5"/>
        <w:rPr>
          <w:snapToGrid w:val="0"/>
        </w:rPr>
      </w:pPr>
      <w:bookmarkStart w:id="16" w:name="_Toc378262546"/>
      <w:r>
        <w:rPr>
          <w:rStyle w:val="CharSectno"/>
        </w:rPr>
        <w:t>12</w:t>
      </w:r>
      <w:r>
        <w:rPr>
          <w:snapToGrid w:val="0"/>
        </w:rPr>
        <w:t>.</w:t>
      </w:r>
      <w:r>
        <w:rPr>
          <w:snapToGrid w:val="0"/>
        </w:rPr>
        <w:tab/>
        <w:t>Establishment and composition of Port Kennedy Management Board</w:t>
      </w:r>
      <w:bookmarkEnd w:id="16"/>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17" w:name="_Toc378262547"/>
      <w:r>
        <w:rPr>
          <w:rStyle w:val="CharSectno"/>
        </w:rPr>
        <w:t>13</w:t>
      </w:r>
      <w:r>
        <w:rPr>
          <w:snapToGrid w:val="0"/>
        </w:rPr>
        <w:t>.</w:t>
      </w:r>
      <w:r>
        <w:rPr>
          <w:snapToGrid w:val="0"/>
        </w:rPr>
        <w:tab/>
        <w:t>Functions of the Board</w:t>
      </w:r>
      <w:bookmarkEnd w:id="17"/>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18" w:name="_Toc378262548"/>
      <w:r>
        <w:rPr>
          <w:rStyle w:val="CharSectno"/>
        </w:rPr>
        <w:t>14</w:t>
      </w:r>
      <w:r>
        <w:rPr>
          <w:snapToGrid w:val="0"/>
        </w:rPr>
        <w:t>.</w:t>
      </w:r>
      <w:r>
        <w:rPr>
          <w:snapToGrid w:val="0"/>
        </w:rPr>
        <w:tab/>
        <w:t>Minister to take into account advice of Board</w:t>
      </w:r>
      <w:bookmarkEnd w:id="18"/>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19" w:name="_Toc378262549"/>
      <w:r>
        <w:rPr>
          <w:rStyle w:val="CharSectno"/>
        </w:rPr>
        <w:t>15</w:t>
      </w:r>
      <w:r>
        <w:rPr>
          <w:snapToGrid w:val="0"/>
        </w:rPr>
        <w:t>.</w:t>
      </w:r>
      <w:r>
        <w:rPr>
          <w:snapToGrid w:val="0"/>
        </w:rPr>
        <w:tab/>
        <w:t>Chairperson</w:t>
      </w:r>
      <w:bookmarkEnd w:id="19"/>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20" w:name="_Toc378262550"/>
      <w:r>
        <w:rPr>
          <w:rStyle w:val="CharSectno"/>
        </w:rPr>
        <w:t>16</w:t>
      </w:r>
      <w:r>
        <w:rPr>
          <w:snapToGrid w:val="0"/>
        </w:rPr>
        <w:t>.</w:t>
      </w:r>
      <w:r>
        <w:rPr>
          <w:snapToGrid w:val="0"/>
        </w:rPr>
        <w:tab/>
        <w:t>Services and facilities</w:t>
      </w:r>
      <w:bookmarkEnd w:id="20"/>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21" w:name="_Toc378262551"/>
      <w:r>
        <w:rPr>
          <w:rStyle w:val="CharSectno"/>
        </w:rPr>
        <w:t>17</w:t>
      </w:r>
      <w:r>
        <w:rPr>
          <w:snapToGrid w:val="0"/>
        </w:rPr>
        <w:t>.</w:t>
      </w:r>
      <w:r>
        <w:rPr>
          <w:snapToGrid w:val="0"/>
        </w:rPr>
        <w:tab/>
        <w:t>Remuneration</w:t>
      </w:r>
      <w:bookmarkEnd w:id="21"/>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w:t>
      </w:r>
      <w:r>
        <w:t>Public Sector Commissioner</w:t>
      </w:r>
      <w:r>
        <w:rPr>
          <w:snapToGrid w:val="0"/>
        </w:rPr>
        <w:t>.</w:t>
      </w:r>
    </w:p>
    <w:p>
      <w:pPr>
        <w:pStyle w:val="Footnotesection"/>
      </w:pPr>
      <w:r>
        <w:tab/>
        <w:t>[Section 17 amended by No. 39 of 2010 s. 89.]</w:t>
      </w:r>
    </w:p>
    <w:p>
      <w:pPr>
        <w:pStyle w:val="Heading5"/>
        <w:rPr>
          <w:snapToGrid w:val="0"/>
        </w:rPr>
      </w:pPr>
      <w:bookmarkStart w:id="22" w:name="_Toc378262552"/>
      <w:r>
        <w:rPr>
          <w:rStyle w:val="CharSectno"/>
        </w:rPr>
        <w:t>18</w:t>
      </w:r>
      <w:r>
        <w:rPr>
          <w:snapToGrid w:val="0"/>
        </w:rPr>
        <w:t>.</w:t>
      </w:r>
      <w:r>
        <w:rPr>
          <w:snapToGrid w:val="0"/>
        </w:rPr>
        <w:tab/>
        <w:t>Protection of Board and members</w:t>
      </w:r>
      <w:bookmarkEnd w:id="22"/>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23" w:name="_Toc378262553"/>
      <w:r>
        <w:rPr>
          <w:rStyle w:val="CharSectno"/>
        </w:rPr>
        <w:t>19</w:t>
      </w:r>
      <w:r>
        <w:rPr>
          <w:snapToGrid w:val="0"/>
        </w:rPr>
        <w:t>.</w:t>
      </w:r>
      <w:r>
        <w:rPr>
          <w:snapToGrid w:val="0"/>
        </w:rPr>
        <w:tab/>
        <w:t>Constitution and proceedings</w:t>
      </w:r>
      <w:bookmarkEnd w:id="23"/>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24" w:name="_Toc378262554"/>
      <w:r>
        <w:rPr>
          <w:rStyle w:val="CharSectno"/>
        </w:rPr>
        <w:t>20</w:t>
      </w:r>
      <w:r>
        <w:rPr>
          <w:snapToGrid w:val="0"/>
        </w:rPr>
        <w:t>.</w:t>
      </w:r>
      <w:r>
        <w:rPr>
          <w:snapToGrid w:val="0"/>
        </w:rPr>
        <w:tab/>
        <w:t>Construction of marina</w:t>
      </w:r>
      <w:bookmarkEnd w:id="24"/>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25" w:name="_Toc378262555"/>
      <w:r>
        <w:rPr>
          <w:rStyle w:val="CharPartNo"/>
        </w:rPr>
        <w:t>Part 5</w:t>
      </w:r>
      <w:r>
        <w:rPr>
          <w:rStyle w:val="CharDivNo"/>
        </w:rPr>
        <w:t> </w:t>
      </w:r>
      <w:r>
        <w:t>—</w:t>
      </w:r>
      <w:r>
        <w:rPr>
          <w:rStyle w:val="CharDivText"/>
        </w:rPr>
        <w:t> </w:t>
      </w:r>
      <w:r>
        <w:rPr>
          <w:rStyle w:val="CharPartText"/>
        </w:rPr>
        <w:t>Miscellaneous</w:t>
      </w:r>
      <w:bookmarkEnd w:id="25"/>
      <w:r>
        <w:rPr>
          <w:rStyle w:val="CharPartText"/>
        </w:rPr>
        <w:t xml:space="preserve"> </w:t>
      </w:r>
    </w:p>
    <w:p>
      <w:pPr>
        <w:pStyle w:val="Heading5"/>
        <w:rPr>
          <w:snapToGrid w:val="0"/>
        </w:rPr>
      </w:pPr>
      <w:bookmarkStart w:id="26" w:name="_Toc378262556"/>
      <w:r>
        <w:rPr>
          <w:rStyle w:val="CharSectno"/>
        </w:rPr>
        <w:t>21</w:t>
      </w:r>
      <w:r>
        <w:rPr>
          <w:snapToGrid w:val="0"/>
        </w:rPr>
        <w:t>.</w:t>
      </w:r>
      <w:r>
        <w:rPr>
          <w:snapToGrid w:val="0"/>
        </w:rPr>
        <w:tab/>
        <w:t>Restriction upon development of land in stage 2 area</w:t>
      </w:r>
      <w:bookmarkEnd w:id="26"/>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27" w:name="_Toc378262557"/>
      <w:r>
        <w:rPr>
          <w:rStyle w:val="CharSectno"/>
        </w:rPr>
        <w:t>22</w:t>
      </w:r>
      <w:r>
        <w:rPr>
          <w:snapToGrid w:val="0"/>
        </w:rPr>
        <w:t>.</w:t>
      </w:r>
      <w:r>
        <w:rPr>
          <w:snapToGrid w:val="0"/>
        </w:rPr>
        <w:tab/>
        <w:t>Regulations</w:t>
      </w:r>
      <w:bookmarkEnd w:id="27"/>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28" w:name="_Toc378262558"/>
      <w:r>
        <w:rPr>
          <w:rStyle w:val="CharSectno"/>
        </w:rPr>
        <w:t>23</w:t>
      </w:r>
      <w:r>
        <w:rPr>
          <w:snapToGrid w:val="0"/>
        </w:rPr>
        <w:t>.</w:t>
      </w:r>
      <w:r>
        <w:rPr>
          <w:snapToGrid w:val="0"/>
        </w:rPr>
        <w:tab/>
        <w:t>Review</w:t>
      </w:r>
      <w:bookmarkEnd w:id="28"/>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9" w:name="_Toc378262559"/>
      <w:r>
        <w:rPr>
          <w:rStyle w:val="CharSchNo"/>
        </w:rPr>
        <w:t>Schedule 1</w:t>
      </w:r>
      <w:r>
        <w:rPr>
          <w:rStyle w:val="CharSDivNo"/>
        </w:rPr>
        <w:t> </w:t>
      </w:r>
      <w:r>
        <w:t>—</w:t>
      </w:r>
      <w:r>
        <w:rPr>
          <w:rStyle w:val="CharSDivText"/>
        </w:rPr>
        <w:t> </w:t>
      </w:r>
      <w:r>
        <w:rPr>
          <w:rStyle w:val="CharSchText"/>
        </w:rPr>
        <w:t>The Agreement</w:t>
      </w:r>
      <w:bookmarkEnd w:id="29"/>
    </w:p>
    <w:p>
      <w:pPr>
        <w:pStyle w:val="yShoulderClause"/>
        <w:rPr>
          <w:snapToGrid w:val="0"/>
        </w:rPr>
      </w:pPr>
      <w:r>
        <w:rPr>
          <w:snapToGrid w:val="0"/>
        </w:rPr>
        <w:t>[s. 3]</w:t>
      </w:r>
    </w:p>
    <w:p>
      <w:pPr>
        <w:pStyle w:val="yFootnoteheading"/>
      </w:pPr>
      <w:r>
        <w:tab/>
        <w:t>[Heading amended by No. 19 of 2010 s. 4.]</w:t>
      </w:r>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object w:dxaOrig="29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32.25pt" o:ole="" fillcolor="window">
            <v:imagedata r:id="rId25" o:title=""/>
          </v:shape>
          <o:OLEObject Type="Embed" ProgID="Equation.3" ShapeID="_x0000_i1025" DrawAspect="Content" ObjectID="_1643525821" r:id="rId26"/>
        </w:object>
      </w:r>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rPr>
        <w:drawing>
          <wp:inline distT="0" distB="0" distL="0" distR="0">
            <wp:extent cx="4410075" cy="5915025"/>
            <wp:effectExtent l="0" t="0" r="9525" b="9525"/>
            <wp:docPr id="2" name="Picture 2"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10075" cy="5915025"/>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30" w:name="_Toc378262560"/>
      <w:r>
        <w:rPr>
          <w:rStyle w:val="CharSchNo"/>
        </w:rPr>
        <w:t>Schedule 2</w:t>
      </w:r>
      <w:r>
        <w:rPr>
          <w:rStyle w:val="CharSDivNo"/>
        </w:rPr>
        <w:t> </w:t>
      </w:r>
      <w:r>
        <w:t>—</w:t>
      </w:r>
      <w:r>
        <w:rPr>
          <w:rStyle w:val="CharSDivText"/>
        </w:rPr>
        <w:t> </w:t>
      </w:r>
      <w:r>
        <w:rPr>
          <w:rStyle w:val="CharSchText"/>
        </w:rPr>
        <w:t>Constitution and proceedings of Board</w:t>
      </w:r>
      <w:bookmarkEnd w:id="30"/>
    </w:p>
    <w:p>
      <w:pPr>
        <w:pStyle w:val="yShoulderClause"/>
        <w:rPr>
          <w:snapToGrid w:val="0"/>
        </w:rPr>
      </w:pPr>
      <w:r>
        <w:rPr>
          <w:snapToGrid w:val="0"/>
        </w:rPr>
        <w:t>[s. 19]</w:t>
      </w:r>
    </w:p>
    <w:p>
      <w:pPr>
        <w:pStyle w:val="yFootnoteheading"/>
      </w:pPr>
      <w:r>
        <w:tab/>
        <w:t>[Heading amended by No. 19 of 2010 s. 4.]</w:t>
      </w:r>
    </w:p>
    <w:p>
      <w:pPr>
        <w:pStyle w:val="yHeading5"/>
      </w:pPr>
      <w:bookmarkStart w:id="31" w:name="_Toc378262561"/>
      <w:r>
        <w:rPr>
          <w:rStyle w:val="CharSClsNo"/>
        </w:rPr>
        <w:t>1</w:t>
      </w:r>
      <w:r>
        <w:t>.</w:t>
      </w:r>
      <w:r>
        <w:tab/>
        <w:t>Term of office of members</w:t>
      </w:r>
      <w:bookmarkEnd w:id="31"/>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32" w:name="_Toc378262562"/>
      <w:r>
        <w:rPr>
          <w:rStyle w:val="CharSClsNo"/>
        </w:rPr>
        <w:t>2</w:t>
      </w:r>
      <w:r>
        <w:t>.</w:t>
      </w:r>
      <w:r>
        <w:tab/>
        <w:t>Vacation of office by member</w:t>
      </w:r>
      <w:bookmarkEnd w:id="32"/>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33" w:name="_Toc378262563"/>
      <w:r>
        <w:rPr>
          <w:rStyle w:val="CharSClsNo"/>
        </w:rPr>
        <w:t>3</w:t>
      </w:r>
      <w:r>
        <w:t>.</w:t>
      </w:r>
      <w:r>
        <w:tab/>
        <w:t>Proceedings of the Board</w:t>
      </w:r>
      <w:bookmarkEnd w:id="33"/>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34" w:name="_Toc378262564"/>
      <w:r>
        <w:rPr>
          <w:rStyle w:val="CharSClsNo"/>
        </w:rPr>
        <w:t>4</w:t>
      </w:r>
      <w:r>
        <w:t>.</w:t>
      </w:r>
      <w:r>
        <w:tab/>
        <w:t>Chairperson</w:t>
      </w:r>
      <w:bookmarkEnd w:id="34"/>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35" w:name="_Toc378262565"/>
      <w:r>
        <w:rPr>
          <w:rStyle w:val="CharSClsNo"/>
        </w:rPr>
        <w:t>5</w:t>
      </w:r>
      <w:r>
        <w:t>.</w:t>
      </w:r>
      <w:r>
        <w:tab/>
        <w:t>Delegation by Board</w:t>
      </w:r>
      <w:bookmarkEnd w:id="35"/>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36" w:name="_Toc378262566"/>
      <w:r>
        <w:rPr>
          <w:rStyle w:val="CharSClsNo"/>
        </w:rPr>
        <w:t>6</w:t>
      </w:r>
      <w:r>
        <w:t>.</w:t>
      </w:r>
      <w:r>
        <w:tab/>
        <w:t>Voting</w:t>
      </w:r>
      <w:bookmarkEnd w:id="36"/>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37" w:name="_Toc378262567"/>
      <w:r>
        <w:rPr>
          <w:rStyle w:val="CharSClsNo"/>
        </w:rPr>
        <w:t>7</w:t>
      </w:r>
      <w:r>
        <w:t>.</w:t>
      </w:r>
      <w:r>
        <w:tab/>
        <w:t>Minutes</w:t>
      </w:r>
      <w:bookmarkEnd w:id="37"/>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nHeading2"/>
      </w:pPr>
      <w:bookmarkStart w:id="38" w:name="_Toc378262568"/>
      <w:r>
        <w:t>Notes</w:t>
      </w:r>
      <w:bookmarkEnd w:id="38"/>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 w:name="_Toc378262569"/>
      <w:r>
        <w:rPr>
          <w:snapToGrid w:val="0"/>
        </w:rPr>
        <w:t>Compilation table</w:t>
      </w:r>
      <w:bookmarkEnd w:id="3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Port Kennedy Development Agreement Act 1992</w:t>
            </w:r>
          </w:p>
        </w:tc>
        <w:tc>
          <w:tcPr>
            <w:tcW w:w="1139" w:type="dxa"/>
            <w:tcBorders>
              <w:top w:val="single" w:sz="8" w:space="0" w:color="auto"/>
            </w:tcBorders>
          </w:tcPr>
          <w:p>
            <w:pPr>
              <w:pStyle w:val="nTable"/>
              <w:spacing w:after="40"/>
              <w:rPr>
                <w:sz w:val="19"/>
              </w:rPr>
            </w:pPr>
            <w:r>
              <w:rPr>
                <w:sz w:val="19"/>
              </w:rPr>
              <w:t>45 of 1992</w:t>
            </w:r>
          </w:p>
        </w:tc>
        <w:tc>
          <w:tcPr>
            <w:tcW w:w="1136" w:type="dxa"/>
            <w:tcBorders>
              <w:top w:val="single" w:sz="8" w:space="0" w:color="auto"/>
            </w:tcBorders>
          </w:tcPr>
          <w:p>
            <w:pPr>
              <w:pStyle w:val="nTable"/>
              <w:spacing w:after="40"/>
              <w:rPr>
                <w:sz w:val="19"/>
              </w:rPr>
            </w:pPr>
            <w:r>
              <w:rPr>
                <w:sz w:val="19"/>
              </w:rPr>
              <w:t>8 Dec 1992</w:t>
            </w:r>
          </w:p>
        </w:tc>
        <w:tc>
          <w:tcPr>
            <w:tcW w:w="2572" w:type="dxa"/>
            <w:tcBorders>
              <w:top w:val="single" w:sz="8" w:space="0" w:color="auto"/>
            </w:tcBorders>
          </w:tcPr>
          <w:p>
            <w:pPr>
              <w:pStyle w:val="nTable"/>
              <w:spacing w:after="40"/>
              <w:rPr>
                <w:sz w:val="19"/>
              </w:rPr>
            </w:pPr>
            <w:r>
              <w:rPr>
                <w:sz w:val="19"/>
              </w:rPr>
              <w:t xml:space="preserve">24 Dec 1992 (see s. 2 and </w:t>
            </w:r>
            <w:r>
              <w:rPr>
                <w:i/>
                <w:sz w:val="19"/>
              </w:rPr>
              <w:t>Gazette</w:t>
            </w:r>
            <w:r>
              <w:rPr>
                <w:sz w:val="19"/>
              </w:rPr>
              <w:t xml:space="preserve"> 24 Dec 1992 p. 6307)</w:t>
            </w:r>
          </w:p>
        </w:tc>
      </w:tr>
      <w:tr>
        <w:trPr>
          <w:cantSplit/>
        </w:trPr>
        <w:tc>
          <w:tcPr>
            <w:tcW w:w="2278" w:type="dxa"/>
          </w:tcPr>
          <w:p>
            <w:pPr>
              <w:pStyle w:val="nTable"/>
              <w:spacing w:after="40"/>
              <w:ind w:right="113"/>
              <w:rPr>
                <w:sz w:val="19"/>
              </w:rPr>
            </w:pPr>
            <w:r>
              <w:rPr>
                <w:i/>
                <w:sz w:val="19"/>
              </w:rPr>
              <w:t>Fish Resources Management Act 1994</w:t>
            </w:r>
            <w:r>
              <w:rPr>
                <w:sz w:val="19"/>
              </w:rPr>
              <w:t xml:space="preserve"> s. 264</w:t>
            </w:r>
          </w:p>
        </w:tc>
        <w:tc>
          <w:tcPr>
            <w:tcW w:w="1139"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7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14 Nov 1996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25" w:type="dxa"/>
            <w:gridSpan w:val="4"/>
          </w:tcPr>
          <w:p>
            <w:pPr>
              <w:pStyle w:val="nTable"/>
              <w:spacing w:after="4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r>
        <w:trPr>
          <w:cantSplit/>
        </w:trPr>
        <w:tc>
          <w:tcPr>
            <w:tcW w:w="2278" w:type="dxa"/>
          </w:tcPr>
          <w:p>
            <w:pPr>
              <w:pStyle w:val="nTable"/>
              <w:spacing w:after="40"/>
              <w:ind w:right="113"/>
              <w:rPr>
                <w:i/>
                <w:sz w:val="19"/>
              </w:rPr>
            </w:pPr>
            <w:r>
              <w:rPr>
                <w:i/>
                <w:snapToGrid w:val="0"/>
                <w:sz w:val="19"/>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rPr>
              <w:t>38 of 2005</w:t>
            </w:r>
          </w:p>
        </w:tc>
        <w:tc>
          <w:tcPr>
            <w:tcW w:w="1136" w:type="dxa"/>
          </w:tcPr>
          <w:p>
            <w:pPr>
              <w:pStyle w:val="nTable"/>
              <w:spacing w:after="40"/>
              <w:rPr>
                <w:sz w:val="19"/>
              </w:rPr>
            </w:pPr>
            <w:r>
              <w:rPr>
                <w:sz w:val="19"/>
              </w:rPr>
              <w:t>12 Dec 2005</w:t>
            </w:r>
          </w:p>
        </w:tc>
        <w:tc>
          <w:tcPr>
            <w:tcW w:w="257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iCs/>
                <w:snapToGrid w:val="0"/>
                <w:sz w:val="19"/>
              </w:rPr>
            </w:pPr>
            <w:r>
              <w:rPr>
                <w:i/>
                <w:snapToGrid w:val="0"/>
                <w:sz w:val="19"/>
              </w:rPr>
              <w:t>Statutes (Repeals and Minor Amendments) Act 2009</w:t>
            </w:r>
            <w:r>
              <w:rPr>
                <w:iCs/>
                <w:snapToGrid w:val="0"/>
                <w:sz w:val="19"/>
              </w:rPr>
              <w:t xml:space="preserve"> s. 13</w:t>
            </w:r>
          </w:p>
        </w:tc>
        <w:tc>
          <w:tcPr>
            <w:tcW w:w="1139" w:type="dxa"/>
          </w:tcPr>
          <w:p>
            <w:pPr>
              <w:pStyle w:val="nTable"/>
              <w:spacing w:after="40"/>
              <w:rPr>
                <w:snapToGrid w:val="0"/>
                <w:sz w:val="19"/>
              </w:rPr>
            </w:pPr>
            <w:r>
              <w:rPr>
                <w:snapToGrid w:val="0"/>
                <w:sz w:val="19"/>
              </w:rPr>
              <w:t>46 of 2009</w:t>
            </w:r>
          </w:p>
        </w:tc>
        <w:tc>
          <w:tcPr>
            <w:tcW w:w="1136" w:type="dxa"/>
          </w:tcPr>
          <w:p>
            <w:pPr>
              <w:pStyle w:val="nTable"/>
              <w:spacing w:after="40"/>
              <w:rPr>
                <w:sz w:val="19"/>
              </w:rPr>
            </w:pPr>
            <w:r>
              <w:rPr>
                <w:sz w:val="19"/>
              </w:rPr>
              <w:t>3 Dec 2009</w:t>
            </w:r>
          </w:p>
        </w:tc>
        <w:tc>
          <w:tcPr>
            <w:tcW w:w="2572" w:type="dxa"/>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72"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9" w:type="dxa"/>
            <w:tcBorders>
              <w:bottom w:val="single" w:sz="4" w:space="0" w:color="auto"/>
            </w:tcBorders>
          </w:tcPr>
          <w:p>
            <w:pPr>
              <w:pStyle w:val="nTable"/>
              <w:spacing w:after="40"/>
              <w:rPr>
                <w:snapToGrid w:val="0"/>
                <w:sz w:val="19"/>
              </w:rPr>
            </w:pPr>
            <w:r>
              <w:rPr>
                <w:snapToGrid w:val="0"/>
                <w:sz w:val="19"/>
              </w:rPr>
              <w:t>39 of 2010</w:t>
            </w:r>
          </w:p>
        </w:tc>
        <w:tc>
          <w:tcPr>
            <w:tcW w:w="1136" w:type="dxa"/>
            <w:tcBorders>
              <w:bottom w:val="single" w:sz="4" w:space="0" w:color="auto"/>
            </w:tcBorders>
          </w:tcPr>
          <w:p>
            <w:pPr>
              <w:pStyle w:val="nTable"/>
              <w:spacing w:after="40"/>
              <w:rPr>
                <w:snapToGrid w:val="0"/>
                <w:sz w:val="19"/>
              </w:rPr>
            </w:pPr>
            <w:r>
              <w:rPr>
                <w:snapToGrid w:val="0"/>
                <w:sz w:val="19"/>
              </w:rPr>
              <w:t>1 Oct 2010</w:t>
            </w:r>
          </w:p>
        </w:tc>
        <w:tc>
          <w:tcPr>
            <w:tcW w:w="2572" w:type="dxa"/>
            <w:tcBorders>
              <w:bottom w:val="single" w:sz="4" w:space="0" w:color="auto"/>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Footnote no longer applicable.</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Kennedy Development Agreement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5855"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The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fldSimple w:instr=" styleref CharSchText ">
            <w:r>
              <w:rPr>
                <w:noProof/>
              </w:rPr>
              <w:t>The Agreement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3CAA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BFE9E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629"/>
    <w:docVar w:name="WAFER_20140123163431" w:val="RemoveTocBookmarks,RemoveUnusedBookmarks,RemoveLanguageTags,UsedStyles,ResetPageSize,UpdateArrangement"/>
    <w:docVar w:name="WAFER_20140123163431_GUID" w:val="67f76ef6-cde1-4403-a8e6-00c73f981416"/>
    <w:docVar w:name="WAFER_20140123173104" w:val="RemoveTocBookmarks,RunningHeaders"/>
    <w:docVar w:name="WAFER_20140123173104_GUID" w:val="dc2064ee-03bc-4dd7-b796-7059b69a648d"/>
    <w:docVar w:name="WAFER_20151208162629" w:val="RemoveTrackChanges"/>
    <w:docVar w:name="WAFER_20151208162629_GUID" w:val="502fab42-567f-476f-9f5e-aeaf92cf9d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jpeg"/><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20920</Words>
  <Characters>101677</Characters>
  <Application>Microsoft Office Word</Application>
  <DocSecurity>0</DocSecurity>
  <Lines>2479</Lines>
  <Paragraphs>943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121654</CharactersWithSpaces>
  <SharedDoc>false</SharedDoc>
  <HLinks>
    <vt:vector size="18" baseType="variant">
      <vt:variant>
        <vt:i4>7995443</vt:i4>
      </vt:variant>
      <vt:variant>
        <vt:i4>74689</vt:i4>
      </vt:variant>
      <vt:variant>
        <vt:i4>1025</vt:i4>
      </vt:variant>
      <vt:variant>
        <vt:i4>1</vt:i4>
      </vt:variant>
      <vt:variant>
        <vt:lpwstr>Port1A</vt:lpwstr>
      </vt:variant>
      <vt:variant>
        <vt:lpwstr/>
      </vt:variant>
      <vt:variant>
        <vt:i4>7995440</vt:i4>
      </vt:variant>
      <vt:variant>
        <vt:i4>87185</vt:i4>
      </vt:variant>
      <vt:variant>
        <vt:i4>1026</vt:i4>
      </vt:variant>
      <vt:variant>
        <vt:i4>1</vt:i4>
      </vt:variant>
      <vt:variant>
        <vt:lpwstr>Port2A</vt:lpwstr>
      </vt:variant>
      <vt:variant>
        <vt:lpwstr/>
      </vt:variant>
      <vt:variant>
        <vt:i4>1769474</vt:i4>
      </vt:variant>
      <vt:variant>
        <vt:i4>87187</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1992 - 01-i0-03</dc:title>
  <dc:subject/>
  <dc:creator/>
  <cp:keywords/>
  <dc:description/>
  <cp:lastModifiedBy>svcMRProcess</cp:lastModifiedBy>
  <cp:revision>4</cp:revision>
  <cp:lastPrinted>2002-11-06T06:27:00Z</cp:lastPrinted>
  <dcterms:created xsi:type="dcterms:W3CDTF">2020-02-18T02:10:00Z</dcterms:created>
  <dcterms:modified xsi:type="dcterms:W3CDTF">2020-02-18T02:10:00Z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619</vt:i4>
  </property>
  <property fmtid="{D5CDD505-2E9C-101B-9397-08002B2CF9AE}" pid="6" name="AsAtDate">
    <vt:lpwstr>01 Dec 2010</vt:lpwstr>
  </property>
  <property fmtid="{D5CDD505-2E9C-101B-9397-08002B2CF9AE}" pid="7" name="Suffix">
    <vt:lpwstr>01-i0-03</vt:lpwstr>
  </property>
</Properties>
</file>