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ind w:left="600" w:right="496"/>
      </w:pPr>
      <w:r>
        <w:fldChar w:fldCharType="begin"/>
      </w:r>
      <w:r>
        <w:instrText xml:space="preserve"> STYLEREF "Name Of Act/Reg"</w:instrText>
      </w:r>
      <w:r>
        <w:fldChar w:fldCharType="separate"/>
      </w:r>
      <w:r>
        <w:rPr>
          <w:noProof/>
        </w:rPr>
        <w:t>Mutual Recognition (Western Australia) Act 2010</w:t>
      </w:r>
      <w:r>
        <w:fldChar w:fldCharType="end"/>
      </w:r>
    </w:p>
    <w:p>
      <w:pPr>
        <w:jc w:val="center"/>
        <w:outlineLvl w:val="0"/>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outlineLvl w:val="0"/>
      </w:pPr>
      <w:r>
        <w:lastRenderedPageBreak/>
        <w:t>Western Australia</w:t>
      </w:r>
    </w:p>
    <w:p>
      <w:pPr>
        <w:pStyle w:val="NameofActRegPage1"/>
        <w:ind w:left="240" w:right="736"/>
      </w:pPr>
      <w:r>
        <w:fldChar w:fldCharType="begin"/>
      </w:r>
      <w:r>
        <w:instrText xml:space="preserve"> STYLEREF "Name Of Act/Reg"</w:instrText>
      </w:r>
      <w:r>
        <w:fldChar w:fldCharType="separate"/>
      </w:r>
      <w:r>
        <w:rPr>
          <w:noProof/>
        </w:rPr>
        <w:t>Mutual Recognition (Western Australia) Act 2010</w:t>
      </w:r>
      <w:r>
        <w:fldChar w:fldCharType="end"/>
      </w:r>
    </w:p>
    <w:p>
      <w:pPr>
        <w:pStyle w:val="Arrangement"/>
      </w:pPr>
      <w:r>
        <w:t>CONTENTS</w:t>
      </w:r>
    </w:p>
    <w:p>
      <w:pPr>
        <w:pStyle w:val="TOC8"/>
        <w:rPr>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24"/>
        </w:rPr>
        <w:t>1.</w:t>
      </w:r>
      <w:r>
        <w:rPr>
          <w:szCs w:val="24"/>
        </w:rPr>
        <w:tab/>
      </w:r>
      <w:r>
        <w:rPr>
          <w:snapToGrid w:val="0"/>
          <w:szCs w:val="24"/>
        </w:rPr>
        <w:t>Short title</w:t>
      </w:r>
      <w:r>
        <w:tab/>
      </w:r>
      <w:r>
        <w:fldChar w:fldCharType="begin"/>
      </w:r>
      <w:r>
        <w:instrText xml:space="preserve"> PAGEREF _Toc279994318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r>
      <w:r>
        <w:rPr>
          <w:szCs w:val="24"/>
        </w:rPr>
        <w:t>Commencement</w:t>
      </w:r>
      <w:r>
        <w:tab/>
      </w:r>
      <w:r>
        <w:fldChar w:fldCharType="begin"/>
      </w:r>
      <w:r>
        <w:instrText xml:space="preserve"> PAGEREF _Toc279994319 \h </w:instrText>
      </w:r>
      <w:r>
        <w:fldChar w:fldCharType="separate"/>
      </w:r>
      <w:r>
        <w:t>1</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_Toc279994321 \h </w:instrText>
      </w:r>
      <w:r>
        <w:fldChar w:fldCharType="separate"/>
      </w:r>
      <w:r>
        <w:t>2</w:t>
      </w:r>
      <w:r>
        <w:fldChar w:fldCharType="end"/>
      </w:r>
    </w:p>
    <w:p>
      <w:pPr>
        <w:pStyle w:val="TOC8"/>
        <w:rPr>
          <w:sz w:val="24"/>
        </w:rPr>
      </w:pPr>
      <w:r>
        <w:tab/>
        <w:t>Provisions that have not come into operation</w:t>
      </w:r>
      <w:r>
        <w:tab/>
      </w:r>
      <w:r>
        <w:fldChar w:fldCharType="begin"/>
      </w:r>
      <w:r>
        <w:instrText xml:space="preserve"> PAGEREF _Toc279994322 \h </w:instrText>
      </w:r>
      <w:r>
        <w:fldChar w:fldCharType="separate"/>
      </w:r>
      <w:r>
        <w:t>2</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uppressLineNumbers/>
        <w:ind w:right="566" w:firstLine="567"/>
      </w:pPr>
      <w:r>
        <w:t>Mutual Recognition (Western Australia) Act 2010</w:t>
      </w:r>
    </w:p>
    <w:p>
      <w:pPr>
        <w:pStyle w:val="LongTitle"/>
        <w:suppressLineNumbers/>
        <w:rPr>
          <w:snapToGrid w:val="0"/>
        </w:rPr>
      </w:pPr>
      <w:bookmarkStart w:id="1" w:name="BillCited"/>
      <w:bookmarkEnd w:id="1"/>
      <w:r>
        <w:rPr>
          <w:snapToGrid w:val="0"/>
        </w:rPr>
        <w:t xml:space="preserve">An Act to continue the adoption of the </w:t>
      </w:r>
      <w:r>
        <w:rPr>
          <w:i/>
          <w:snapToGrid w:val="0"/>
        </w:rPr>
        <w:t>Mutual Recognition Act 1992</w:t>
      </w:r>
      <w:r>
        <w:rPr>
          <w:snapToGrid w:val="0"/>
        </w:rPr>
        <w:t xml:space="preserve"> of the Parliament of the Commonwealth (and any amendments made to it before the enactment of this Act) which provides for the recognition within each State and Territory of the Commonwealth of regulatory standards adopted elsewhere in Australia regarding goods and occupations, and for related purposes.</w:t>
      </w:r>
    </w:p>
    <w:p>
      <w:pPr>
        <w:pStyle w:val="Heading5"/>
      </w:pPr>
      <w:bookmarkStart w:id="2" w:name="_Toc279652039"/>
      <w:bookmarkStart w:id="3" w:name="_Toc279761194"/>
      <w:bookmarkStart w:id="4" w:name="_Toc279994318"/>
      <w:r>
        <w:rPr>
          <w:rStyle w:val="CharSectno"/>
        </w:rPr>
        <w:t>1</w:t>
      </w:r>
      <w:r>
        <w:t>.</w:t>
      </w:r>
      <w:r>
        <w:tab/>
      </w:r>
      <w:r>
        <w:rPr>
          <w:snapToGrid w:val="0"/>
        </w:rPr>
        <w:t>Short title</w:t>
      </w:r>
      <w:bookmarkEnd w:id="2"/>
      <w:bookmarkEnd w:id="3"/>
      <w:bookmarkEnd w:id="4"/>
    </w:p>
    <w:p>
      <w:pPr>
        <w:pStyle w:val="Subsection"/>
        <w:spacing w:before="120"/>
      </w:pPr>
      <w:r>
        <w:tab/>
      </w:r>
      <w:r>
        <w:tab/>
        <w:t>This</w:t>
      </w:r>
      <w:r>
        <w:rPr>
          <w:snapToGrid w:val="0"/>
        </w:rPr>
        <w:t xml:space="preserve"> is the</w:t>
      </w:r>
      <w:r>
        <w:rPr>
          <w:i/>
          <w:snapToGrid w:val="0"/>
        </w:rPr>
        <w:t xml:space="preserve"> Mutual Recognition (Western Australia) Act 2010</w:t>
      </w:r>
      <w:r>
        <w:rPr>
          <w:snapToGrid w:val="0"/>
        </w:rPr>
        <w:t>.</w:t>
      </w:r>
    </w:p>
    <w:p>
      <w:pPr>
        <w:pStyle w:val="Heading5"/>
        <w:rPr>
          <w:snapToGrid w:val="0"/>
        </w:rPr>
      </w:pPr>
      <w:bookmarkStart w:id="5" w:name="_Toc279652040"/>
      <w:bookmarkStart w:id="6" w:name="_Toc279761195"/>
      <w:bookmarkStart w:id="7" w:name="_Toc279994319"/>
      <w:r>
        <w:rPr>
          <w:rStyle w:val="CharSectno"/>
        </w:rPr>
        <w:t>2</w:t>
      </w:r>
      <w:r>
        <w:rPr>
          <w:snapToGrid w:val="0"/>
        </w:rPr>
        <w:t>.</w:t>
      </w:r>
      <w:r>
        <w:rPr>
          <w:snapToGrid w:val="0"/>
        </w:rPr>
        <w:tab/>
      </w:r>
      <w:r>
        <w:t>Commencement</w:t>
      </w:r>
      <w:bookmarkEnd w:id="5"/>
      <w:bookmarkEnd w:id="6"/>
      <w:bookmarkEnd w:id="7"/>
    </w:p>
    <w:p>
      <w:pPr>
        <w:pStyle w:val="Subsection"/>
        <w:spacing w:before="120"/>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1 March 2011.</w:t>
      </w:r>
    </w:p>
    <w:p>
      <w:pPr>
        <w:pStyle w:val="Ednotesection"/>
      </w:pPr>
      <w:r>
        <w:t>[</w:t>
      </w:r>
      <w:r>
        <w:rPr>
          <w:b/>
          <w:bCs/>
        </w:rPr>
        <w:t>3</w:t>
      </w:r>
      <w:r>
        <w:rPr>
          <w:b/>
          <w:bCs/>
        </w:rPr>
        <w:noBreakHyphen/>
        <w:t>6.</w:t>
      </w:r>
      <w:r>
        <w:rPr>
          <w:b/>
          <w:bCs/>
        </w:rPr>
        <w:tab/>
      </w:r>
      <w:r>
        <w:t>Have not come into operation </w:t>
      </w:r>
      <w:r>
        <w:rPr>
          <w:i w:val="0"/>
          <w:iCs/>
          <w:vertAlign w:val="superscript"/>
        </w:rPr>
        <w:t>2</w:t>
      </w:r>
      <w:r>
        <w:rPr>
          <w:i w:val="0"/>
          <w:iCs/>
        </w:rPr>
        <w:t>.</w:t>
      </w:r>
      <w:r>
        <w:t>]</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8" w:name="_Toc119746908"/>
      <w:bookmarkStart w:id="9" w:name="_Toc264280905"/>
      <w:bookmarkStart w:id="10" w:name="_Toc267996921"/>
      <w:bookmarkStart w:id="11" w:name="_Toc279761186"/>
      <w:bookmarkStart w:id="12" w:name="_Toc279761196"/>
      <w:bookmarkStart w:id="13" w:name="_Toc279761312"/>
      <w:bookmarkStart w:id="14" w:name="_Toc279761317"/>
      <w:bookmarkStart w:id="15" w:name="_Toc279652041"/>
    </w:p>
    <w:p>
      <w:pPr>
        <w:pStyle w:val="nHeading2"/>
      </w:pPr>
      <w:bookmarkStart w:id="16" w:name="UpToHere"/>
      <w:bookmarkStart w:id="17" w:name="_Toc279994320"/>
      <w:bookmarkEnd w:id="16"/>
      <w:r>
        <w:t>Notes</w:t>
      </w:r>
      <w:bookmarkEnd w:id="8"/>
      <w:bookmarkEnd w:id="9"/>
      <w:bookmarkEnd w:id="10"/>
      <w:bookmarkEnd w:id="11"/>
      <w:bookmarkEnd w:id="12"/>
      <w:bookmarkEnd w:id="13"/>
      <w:bookmarkEnd w:id="14"/>
      <w:bookmarkEnd w:id="17"/>
    </w:p>
    <w:p>
      <w:pPr>
        <w:pStyle w:val="nSubsection"/>
        <w:rPr>
          <w:snapToGrid w:val="0"/>
        </w:rPr>
      </w:pPr>
      <w:r>
        <w:rPr>
          <w:snapToGrid w:val="0"/>
          <w:vertAlign w:val="superscript"/>
        </w:rPr>
        <w:t>1</w:t>
      </w:r>
      <w:r>
        <w:rPr>
          <w:snapToGrid w:val="0"/>
        </w:rPr>
        <w:tab/>
        <w:t xml:space="preserve">This is a compilation of the </w:t>
      </w:r>
      <w:r>
        <w:rPr>
          <w:i/>
          <w:noProof/>
          <w:snapToGrid w:val="0"/>
        </w:rPr>
        <w:t>Mutual Recognition (Western Australia) Act 2010</w:t>
      </w:r>
      <w:r>
        <w:rPr>
          <w:snapToGrid w:val="0"/>
        </w:rPr>
        <w:t>.  The following table contains information about that Act </w:t>
      </w:r>
      <w:r>
        <w:rPr>
          <w:snapToGrid w:val="0"/>
          <w:vertAlign w:val="superscript"/>
        </w:rPr>
        <w:t>1a</w:t>
      </w:r>
      <w:r>
        <w:rPr>
          <w:snapToGrid w:val="0"/>
        </w:rPr>
        <w:t xml:space="preserve">. </w:t>
      </w:r>
    </w:p>
    <w:p>
      <w:pPr>
        <w:pStyle w:val="nHeading3"/>
        <w:rPr>
          <w:snapToGrid w:val="0"/>
        </w:rPr>
      </w:pPr>
      <w:bookmarkStart w:id="18" w:name="_Toc512403484"/>
      <w:bookmarkStart w:id="19" w:name="_Toc512403627"/>
      <w:bookmarkStart w:id="20" w:name="_Toc36369351"/>
      <w:bookmarkStart w:id="21" w:name="_Toc279761197"/>
      <w:bookmarkStart w:id="22" w:name="_Toc279994321"/>
      <w:r>
        <w:rPr>
          <w:snapToGrid w:val="0"/>
        </w:rPr>
        <w:t>Compilation table</w:t>
      </w:r>
      <w:bookmarkEnd w:id="18"/>
      <w:bookmarkEnd w:id="19"/>
      <w:bookmarkEnd w:id="20"/>
      <w:bookmarkEnd w:id="21"/>
      <w:bookmarkEnd w:id="22"/>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noProof/>
                <w:snapToGrid w:val="0"/>
              </w:rPr>
              <w:t>Mutual Recognition (Western Australia) Act 2010</w:t>
            </w:r>
            <w:r>
              <w:rPr>
                <w:iCs/>
                <w:noProof/>
                <w:snapToGrid w:val="0"/>
              </w:rPr>
              <w:t xml:space="preserve"> s. 1 and 2</w:t>
            </w:r>
          </w:p>
        </w:tc>
        <w:tc>
          <w:tcPr>
            <w:tcW w:w="1134" w:type="dxa"/>
          </w:tcPr>
          <w:p>
            <w:pPr>
              <w:pStyle w:val="nTable"/>
              <w:spacing w:after="40"/>
            </w:pPr>
            <w:r>
              <w:t>52 of 2010</w:t>
            </w:r>
          </w:p>
        </w:tc>
        <w:tc>
          <w:tcPr>
            <w:tcW w:w="1134" w:type="dxa"/>
          </w:tcPr>
          <w:p>
            <w:pPr>
              <w:pStyle w:val="nTable"/>
              <w:spacing w:after="40"/>
            </w:pPr>
            <w:r>
              <w:t>8 Dec 2010</w:t>
            </w:r>
          </w:p>
        </w:tc>
        <w:tc>
          <w:tcPr>
            <w:tcW w:w="2552" w:type="dxa"/>
          </w:tcPr>
          <w:p>
            <w:pPr>
              <w:pStyle w:val="nTable"/>
              <w:spacing w:after="40"/>
            </w:pPr>
            <w:r>
              <w:t>8 Dec 2010 (see s. 2(a))</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3" w:name="_Toc7405065"/>
      <w:bookmarkStart w:id="24" w:name="_Toc279761198"/>
      <w:bookmarkStart w:id="25" w:name="_Toc279994322"/>
      <w:r>
        <w:t>Provisions that have not come into operation</w:t>
      </w:r>
      <w:bookmarkEnd w:id="23"/>
      <w:bookmarkEnd w:id="24"/>
      <w:bookmarkEnd w:id="25"/>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c>
          <w:tcPr>
            <w:tcW w:w="2268" w:type="dxa"/>
          </w:tcPr>
          <w:p>
            <w:pPr>
              <w:pStyle w:val="nTable"/>
              <w:spacing w:after="40"/>
              <w:rPr>
                <w:snapToGrid w:val="0"/>
                <w:sz w:val="19"/>
                <w:vertAlign w:val="superscript"/>
                <w:lang w:val="en-US"/>
              </w:rPr>
            </w:pPr>
            <w:r>
              <w:rPr>
                <w:i/>
                <w:noProof/>
                <w:snapToGrid w:val="0"/>
              </w:rPr>
              <w:t>Mutual Recognition (Western Australia) Act 2010</w:t>
            </w:r>
            <w:r>
              <w:rPr>
                <w:iCs/>
                <w:noProof/>
                <w:snapToGrid w:val="0"/>
              </w:rPr>
              <w:t xml:space="preserve"> s. 3</w:t>
            </w:r>
            <w:r>
              <w:rPr>
                <w:iCs/>
                <w:noProof/>
                <w:snapToGrid w:val="0"/>
              </w:rPr>
              <w:noBreakHyphen/>
              <w:t>6 </w:t>
            </w:r>
            <w:r>
              <w:rPr>
                <w:iCs/>
                <w:noProof/>
                <w:snapToGrid w:val="0"/>
                <w:vertAlign w:val="superscript"/>
              </w:rPr>
              <w:t>2</w:t>
            </w:r>
          </w:p>
        </w:tc>
        <w:tc>
          <w:tcPr>
            <w:tcW w:w="1118" w:type="dxa"/>
          </w:tcPr>
          <w:p>
            <w:pPr>
              <w:pStyle w:val="nTable"/>
              <w:spacing w:after="40"/>
              <w:rPr>
                <w:snapToGrid w:val="0"/>
                <w:sz w:val="19"/>
                <w:lang w:val="en-US"/>
              </w:rPr>
            </w:pPr>
            <w:r>
              <w:t>52 of 2010</w:t>
            </w:r>
          </w:p>
        </w:tc>
        <w:tc>
          <w:tcPr>
            <w:tcW w:w="1134" w:type="dxa"/>
          </w:tcPr>
          <w:p>
            <w:pPr>
              <w:pStyle w:val="nTable"/>
              <w:spacing w:after="40"/>
              <w:rPr>
                <w:snapToGrid w:val="0"/>
                <w:sz w:val="19"/>
                <w:lang w:val="en-US"/>
              </w:rPr>
            </w:pPr>
            <w:r>
              <w:t>8 Dec 2010</w:t>
            </w:r>
          </w:p>
        </w:tc>
        <w:tc>
          <w:tcPr>
            <w:tcW w:w="2552" w:type="dxa"/>
          </w:tcPr>
          <w:p>
            <w:pPr>
              <w:pStyle w:val="nTable"/>
              <w:spacing w:after="40"/>
              <w:rPr>
                <w:snapToGrid w:val="0"/>
                <w:sz w:val="19"/>
                <w:lang w:val="en-US"/>
              </w:rPr>
            </w:pPr>
            <w:r>
              <w:rPr>
                <w:snapToGrid w:val="0"/>
                <w:sz w:val="19"/>
                <w:lang w:val="en-US"/>
              </w:rPr>
              <w:t>1 Mar 2011 (see s. 2(b))</w:t>
            </w:r>
          </w:p>
        </w:tc>
      </w:tr>
    </w:tbl>
    <w:p>
      <w:pPr>
        <w:pStyle w:val="nSubsection"/>
        <w:rPr>
          <w:snapToGrid w:val="0"/>
        </w:rPr>
      </w:pPr>
      <w:r>
        <w:rPr>
          <w:snapToGrid w:val="0"/>
          <w:vertAlign w:val="superscript"/>
        </w:rPr>
        <w:t>2</w:t>
      </w:r>
      <w:r>
        <w:rPr>
          <w:snapToGrid w:val="0"/>
        </w:rPr>
        <w:tab/>
        <w:t xml:space="preserve">On the date as at which this compilation was prepared, the </w:t>
      </w:r>
      <w:r>
        <w:rPr>
          <w:i/>
          <w:snapToGrid w:val="0"/>
        </w:rPr>
        <w:t xml:space="preserve">Mutual Recognition (Western Australia) Act 2010 </w:t>
      </w:r>
      <w:r>
        <w:rPr>
          <w:iCs/>
          <w:snapToGrid w:val="0"/>
        </w:rPr>
        <w:t>s. 3</w:t>
      </w:r>
      <w:r>
        <w:rPr>
          <w:iCs/>
          <w:snapToGrid w:val="0"/>
        </w:rPr>
        <w:noBreakHyphen/>
        <w:t xml:space="preserve">6 </w:t>
      </w:r>
      <w:r>
        <w:rPr>
          <w:snapToGrid w:val="0"/>
        </w:rPr>
        <w:t>had not come into operation.  They read as follows:</w:t>
      </w:r>
    </w:p>
    <w:p>
      <w:pPr>
        <w:pStyle w:val="BlankOpen"/>
        <w:rPr>
          <w:snapToGrid w:val="0"/>
        </w:rPr>
      </w:pPr>
    </w:p>
    <w:p>
      <w:pPr>
        <w:pStyle w:val="nzHeading5"/>
      </w:pPr>
      <w:r>
        <w:rPr>
          <w:rStyle w:val="CharSectno"/>
        </w:rPr>
        <w:t>3</w:t>
      </w:r>
      <w:r>
        <w:t>.</w:t>
      </w:r>
      <w:r>
        <w:tab/>
        <w:t>Terms used</w:t>
      </w:r>
      <w:bookmarkEnd w:id="15"/>
    </w:p>
    <w:p>
      <w:pPr>
        <w:pStyle w:val="nzSubsection"/>
      </w:pPr>
      <w:r>
        <w:tab/>
      </w:r>
      <w:r>
        <w:tab/>
        <w:t xml:space="preserve">In this Act — </w:t>
      </w:r>
    </w:p>
    <w:p>
      <w:pPr>
        <w:pStyle w:val="nzDefstart"/>
      </w:pPr>
      <w:r>
        <w:tab/>
      </w:r>
      <w:r>
        <w:rPr>
          <w:rStyle w:val="CharDefText"/>
        </w:rPr>
        <w:t>adopt</w:t>
      </w:r>
      <w:r>
        <w:t xml:space="preserve"> has the same meaning as in the Constitution of the Commonwealth section 51(xxxvii);</w:t>
      </w:r>
    </w:p>
    <w:p>
      <w:pPr>
        <w:pStyle w:val="nzDefstart"/>
      </w:pPr>
      <w:r>
        <w:tab/>
      </w:r>
      <w:r>
        <w:rPr>
          <w:rStyle w:val="CharDefText"/>
        </w:rPr>
        <w:t>Commonwealth Act</w:t>
      </w:r>
      <w:r>
        <w:t xml:space="preserve"> means the </w:t>
      </w:r>
      <w:r>
        <w:rPr>
          <w:i/>
        </w:rPr>
        <w:t>Mutual Recognition Act 1992</w:t>
      </w:r>
      <w:r>
        <w:rPr>
          <w:iCs/>
        </w:rPr>
        <w:t xml:space="preserve"> (Commonwealth)</w:t>
      </w:r>
      <w:r>
        <w:t>.</w:t>
      </w:r>
    </w:p>
    <w:p>
      <w:pPr>
        <w:pStyle w:val="nzHeading5"/>
      </w:pPr>
      <w:bookmarkStart w:id="26" w:name="_Toc279652042"/>
      <w:r>
        <w:rPr>
          <w:rStyle w:val="CharSectno"/>
        </w:rPr>
        <w:t>4</w:t>
      </w:r>
      <w:r>
        <w:t>.</w:t>
      </w:r>
      <w:r>
        <w:tab/>
        <w:t>Adoption of Commonwealth Act</w:t>
      </w:r>
      <w:bookmarkEnd w:id="26"/>
    </w:p>
    <w:p>
      <w:pPr>
        <w:pStyle w:val="nzSubsection"/>
      </w:pPr>
      <w:r>
        <w:tab/>
        <w:t>(1)</w:t>
      </w:r>
      <w:r>
        <w:tab/>
        <w:t>The State of Western Australia adopts the Commonwealth Act as originally enacted and any amendments made to it before this Act receives the Royal Assent.</w:t>
      </w:r>
    </w:p>
    <w:p>
      <w:pPr>
        <w:pStyle w:val="nzSubsection"/>
      </w:pPr>
      <w:r>
        <w:tab/>
        <w:t>(2)</w:t>
      </w:r>
      <w:r>
        <w:tab/>
        <w:t>The adoption of the Commonwealth Act under this Act does not operate so as to give effect to any adopted provision before that provision commences as a law of the Commonwealth.</w:t>
      </w:r>
    </w:p>
    <w:p>
      <w:pPr>
        <w:pStyle w:val="nzSubsection"/>
      </w:pPr>
      <w:r>
        <w:tab/>
        <w:t>(3)</w:t>
      </w:r>
      <w:r>
        <w:tab/>
        <w:t>To avoid doubt, it is the intention of the Parliament of the State that a Schedule to the Commonwealth Act as adopted under this Act may be amended from time to time by regulations made under the Commonwealth Act.</w:t>
      </w:r>
    </w:p>
    <w:p>
      <w:pPr>
        <w:pStyle w:val="nzSubsection"/>
      </w:pPr>
      <w:r>
        <w:tab/>
        <w:t>(4)</w:t>
      </w:r>
      <w:r>
        <w:tab/>
      </w:r>
      <w:r>
        <w:rPr>
          <w:szCs w:val="22"/>
        </w:rPr>
        <w:t xml:space="preserve">The Minister is to cause a copy of any regulations referred to in subsection (3) to be laid before each House of Parliament within 14 sitting days of that House after the registration of the regulations in the Federal Register of Legislative Instruments maintained under the </w:t>
      </w:r>
      <w:r>
        <w:rPr>
          <w:i/>
          <w:iCs/>
          <w:szCs w:val="22"/>
        </w:rPr>
        <w:t>Legislative Instruments Act 2003</w:t>
      </w:r>
      <w:r>
        <w:rPr>
          <w:szCs w:val="22"/>
        </w:rPr>
        <w:t xml:space="preserve"> (Commonwealth).</w:t>
      </w:r>
    </w:p>
    <w:p>
      <w:pPr>
        <w:pStyle w:val="nzHeading5"/>
      </w:pPr>
      <w:bookmarkStart w:id="27" w:name="_Toc279652043"/>
      <w:r>
        <w:rPr>
          <w:rStyle w:val="CharSectno"/>
        </w:rPr>
        <w:t>5</w:t>
      </w:r>
      <w:r>
        <w:t>.</w:t>
      </w:r>
      <w:r>
        <w:tab/>
        <w:t>Regulations for temporary exemption for goods</w:t>
      </w:r>
      <w:bookmarkEnd w:id="27"/>
    </w:p>
    <w:p>
      <w:pPr>
        <w:pStyle w:val="nzSubsection"/>
      </w:pPr>
      <w:r>
        <w:tab/>
      </w:r>
      <w:r>
        <w:tab/>
        <w:t>Without limiting any other power to make regulations under any other Act, the Governor may make regulations for the purposes mentioned in the Commonwealth Act section 15 as adopted under this Act.</w:t>
      </w:r>
    </w:p>
    <w:p>
      <w:pPr>
        <w:pStyle w:val="nzHeading5"/>
      </w:pPr>
      <w:bookmarkStart w:id="28" w:name="_Toc279652044"/>
      <w:r>
        <w:rPr>
          <w:rStyle w:val="CharSectno"/>
        </w:rPr>
        <w:t>6</w:t>
      </w:r>
      <w:r>
        <w:t>.</w:t>
      </w:r>
      <w:r>
        <w:tab/>
        <w:t>Termination of adoption</w:t>
      </w:r>
      <w:bookmarkEnd w:id="28"/>
    </w:p>
    <w:p>
      <w:pPr>
        <w:pStyle w:val="nzSubsection"/>
      </w:pPr>
      <w:r>
        <w:tab/>
        <w:t>(1)</w:t>
      </w:r>
      <w:r>
        <w:tab/>
        <w:t xml:space="preserve">The adoption of the Commonwealth Act under this Act ends on — </w:t>
      </w:r>
    </w:p>
    <w:p>
      <w:pPr>
        <w:pStyle w:val="nzIndenta"/>
      </w:pPr>
      <w:r>
        <w:tab/>
        <w:t>(a)</w:t>
      </w:r>
      <w:r>
        <w:tab/>
        <w:t>28 February 2021; or</w:t>
      </w:r>
    </w:p>
    <w:p>
      <w:pPr>
        <w:pStyle w:val="nzIndenta"/>
      </w:pPr>
      <w:r>
        <w:tab/>
        <w:t>(b)</w:t>
      </w:r>
      <w:r>
        <w:tab/>
        <w:t>if an earlier date is fixed under subsection (2), that earlier day.</w:t>
      </w:r>
    </w:p>
    <w:p>
      <w:pPr>
        <w:pStyle w:val="nzSubsection"/>
      </w:pPr>
      <w:r>
        <w:tab/>
        <w:t>(2)</w:t>
      </w:r>
      <w:r>
        <w:tab/>
        <w:t>The Governor may, by proclamation, fix a day that is earlier than 28 February 2021 as the day on which the adoption of the Commonwealth Act under this Act ends.</w:t>
      </w:r>
    </w:p>
    <w:p>
      <w:pPr>
        <w:pStyle w:val="nzSubsection"/>
      </w:pPr>
      <w:r>
        <w:tab/>
        <w:t>(3)</w:t>
      </w:r>
      <w:r>
        <w:tab/>
        <w:t>This Act expires when the adoption of the Commonwealth Act ends under subsection (1).</w:t>
      </w:r>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headerReference w:type="default" r:id="rId29"/>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Mutual Recognition (Western Australia) Act 2010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Mutual Recognition (Western Australia) Act 2010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Mutual Recognition (Western Australia) Act 2010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Mutual Recognition (Western Australia)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r>
            <w:fldChar w:fldCharType="begin"/>
          </w:r>
          <w:r>
            <w:instrText xml:space="preserve"> STYLEREF CharPartNo </w:instrText>
          </w:r>
          <w:r>
            <w:fldChar w:fldCharType="end"/>
          </w:r>
          <w:r>
            <w:instrText xml:space="preserve"> </w:instrText>
          </w:r>
          <w:fldSimple w:instr=" STYLEREF CharPartNo \n ">
            <w:r>
              <w:rPr>
                <w:noProof/>
              </w:rPr>
              <w:instrText>0</w:instrText>
            </w:r>
          </w:fldSimple>
          <w:r>
            <w:instrText>"</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r>
            <w:fldChar w:fldCharType="begin"/>
          </w:r>
          <w:r>
            <w:instrText xml:space="preserve"> STYLEREF CharDivNo </w:instrText>
          </w:r>
          <w:r>
            <w:fldChar w:fldCharType="end"/>
          </w:r>
          <w:r>
            <w:instrText xml:space="preserve"> </w:instrText>
          </w:r>
          <w:fldSimple w:instr=" STYLEREF CharDivNo \n ">
            <w:r>
              <w:rPr>
                <w:noProof/>
              </w:rPr>
              <w:instrText>0</w:instrText>
            </w:r>
          </w:fldSimple>
          <w:r>
            <w:instrText>"</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0</w:instrText>
            </w:r>
          </w:fldSimple>
          <w:r>
            <w:instrText>"</w:instrText>
          </w:r>
          <w:r>
            <w:fldChar w:fldCharType="separate"/>
          </w:r>
          <w:r>
            <w:rPr>
              <w:noProof/>
            </w:rPr>
            <w:t>1</w:t>
          </w:r>
          <w:r>
            <w:fldChar w:fldCharType="end"/>
          </w:r>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Mutual Recognition (Western Australia)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r>
            <w:fldChar w:fldCharType="begin"/>
          </w:r>
          <w:r>
            <w:instrText xml:space="preserve"> STYLEREF CharPartNo </w:instrText>
          </w:r>
          <w:r>
            <w:fldChar w:fldCharType="end"/>
          </w:r>
          <w:r>
            <w:instrText xml:space="preserve"> </w:instrText>
          </w:r>
          <w:fldSimple w:instr=" STYLEREF CharPartNo \n ">
            <w:r>
              <w:rPr>
                <w:noProof/>
              </w:rPr>
              <w:instrText>0</w:instrText>
            </w:r>
          </w:fldSimple>
          <w:r>
            <w:instrText>"</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r>
            <w:fldChar w:fldCharType="begin"/>
          </w:r>
          <w:r>
            <w:instrText xml:space="preserve"> STYLEREF CharDivNo </w:instrText>
          </w:r>
          <w:r>
            <w:fldChar w:fldCharType="end"/>
          </w:r>
          <w:r>
            <w:instrText xml:space="preserve"> </w:instrText>
          </w:r>
          <w:fldSimple w:instr=" STYLEREF CharDivNo \n ">
            <w:r>
              <w:rPr>
                <w:noProof/>
              </w:rPr>
              <w:instrText>0</w:instrText>
            </w:r>
          </w:fldSimple>
          <w:r>
            <w:instrText>"</w:instrText>
          </w:r>
          <w:r>
            <w:fldChar w:fldCharType="end"/>
          </w:r>
        </w:p>
      </w:tc>
    </w:tr>
    <w:tr>
      <w:trPr>
        <w:cantSplit/>
      </w:trPr>
      <w:tc>
        <w:tcPr>
          <w:tcW w:w="7263" w:type="dxa"/>
          <w:gridSpan w:val="2"/>
        </w:tcPr>
        <w:p>
          <w:pPr>
            <w:pStyle w:val="HeaderSection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0</w:instrText>
            </w:r>
          </w:fldSimple>
          <w:r>
            <w:instrText>"</w:instrText>
          </w:r>
          <w:r>
            <w:fldChar w:fldCharType="separate"/>
          </w:r>
          <w:r>
            <w:rPr>
              <w:noProof/>
            </w:rPr>
            <w:t>1</w: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Mutual Recognition (Western Australia) Act 2010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Mutual Recognition (Western Australia) Act 2010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1344"/>
    <w:docVar w:name="WAFER_20151208151344" w:val="RemoveTrackChanges"/>
    <w:docVar w:name="WAFER_20151208151344_GUID" w:val="6da51a28-933f-46a9-b691-2f511a0617e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subsection0">
    <w:name w:val="subsection"/>
    <w:aliases w:val="ss"/>
    <w:pPr>
      <w:tabs>
        <w:tab w:val="right" w:pos="1021"/>
      </w:tabs>
      <w:spacing w:before="180"/>
      <w:ind w:left="1134" w:hanging="1134"/>
    </w:pPr>
    <w:rPr>
      <w:rFonts w:ascii="Times New Roman" w:hAnsi="Times New Roman"/>
      <w:sz w:val="22"/>
      <w:szCs w:val="24"/>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ActHead5">
    <w:name w:val="ActHead 5"/>
    <w:aliases w:val="s"/>
    <w:basedOn w:val="Normal"/>
    <w:next w:val="Normal"/>
    <w:pPr>
      <w:keepNext/>
      <w:keepLines/>
      <w:spacing w:before="280"/>
      <w:ind w:left="1134" w:hanging="1134"/>
      <w:outlineLvl w:val="4"/>
    </w:pPr>
    <w:rPr>
      <w:b/>
      <w:bCs/>
      <w:kern w:val="28"/>
      <w:szCs w:val="32"/>
      <w:lang w:eastAsia="en-AU"/>
    </w:rPr>
  </w:style>
  <w:style w:type="paragraph" w:customStyle="1" w:styleId="Definition">
    <w:name w:val="Definition"/>
    <w:aliases w:val="dd"/>
    <w:basedOn w:val="subsection0"/>
    <w:pPr>
      <w:tabs>
        <w:tab w:val="clear" w:pos="1021"/>
      </w:tabs>
      <w:ind w:firstLine="0"/>
    </w:pPr>
  </w:style>
  <w:style w:type="paragraph" w:customStyle="1" w:styleId="paragraph">
    <w:name w:val="paragraph"/>
    <w:aliases w:val="a"/>
    <w:pPr>
      <w:tabs>
        <w:tab w:val="right" w:pos="1531"/>
      </w:tabs>
      <w:spacing w:before="40"/>
      <w:ind w:left="1644" w:hanging="1644"/>
    </w:pPr>
    <w:rPr>
      <w:rFonts w:ascii="Times New Roman" w:hAnsi="Times New Roman"/>
      <w:sz w:val="22"/>
      <w:szCs w:val="24"/>
    </w:rPr>
  </w:style>
  <w:style w:type="paragraph" w:customStyle="1" w:styleId="subsection2">
    <w:name w:val="subsection2"/>
    <w:aliases w:val="ss2"/>
    <w:basedOn w:val="subsection0"/>
    <w:next w:val="subsection0"/>
    <w:pPr>
      <w:tabs>
        <w:tab w:val="clear" w:pos="1021"/>
      </w:tabs>
      <w:spacing w:before="40"/>
      <w:ind w:firstLine="0"/>
    </w:pPr>
  </w:style>
  <w:style w:type="paragraph" w:customStyle="1" w:styleId="paragraphsub">
    <w:name w:val="paragraph(sub)"/>
    <w:aliases w:val="aa"/>
    <w:basedOn w:val="paragraph"/>
    <w:pPr>
      <w:tabs>
        <w:tab w:val="clear" w:pos="1531"/>
        <w:tab w:val="right" w:pos="1985"/>
      </w:tabs>
      <w:ind w:left="2098" w:hanging="209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subsection0">
    <w:name w:val="subsection"/>
    <w:aliases w:val="ss"/>
    <w:pPr>
      <w:tabs>
        <w:tab w:val="right" w:pos="1021"/>
      </w:tabs>
      <w:spacing w:before="180"/>
      <w:ind w:left="1134" w:hanging="1134"/>
    </w:pPr>
    <w:rPr>
      <w:rFonts w:ascii="Times New Roman" w:hAnsi="Times New Roman"/>
      <w:sz w:val="22"/>
      <w:szCs w:val="24"/>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ActHead5">
    <w:name w:val="ActHead 5"/>
    <w:aliases w:val="s"/>
    <w:basedOn w:val="Normal"/>
    <w:next w:val="Normal"/>
    <w:pPr>
      <w:keepNext/>
      <w:keepLines/>
      <w:spacing w:before="280"/>
      <w:ind w:left="1134" w:hanging="1134"/>
      <w:outlineLvl w:val="4"/>
    </w:pPr>
    <w:rPr>
      <w:b/>
      <w:bCs/>
      <w:kern w:val="28"/>
      <w:szCs w:val="32"/>
      <w:lang w:eastAsia="en-AU"/>
    </w:rPr>
  </w:style>
  <w:style w:type="paragraph" w:customStyle="1" w:styleId="Definition">
    <w:name w:val="Definition"/>
    <w:aliases w:val="dd"/>
    <w:basedOn w:val="subsection0"/>
    <w:pPr>
      <w:tabs>
        <w:tab w:val="clear" w:pos="1021"/>
      </w:tabs>
      <w:ind w:firstLine="0"/>
    </w:pPr>
  </w:style>
  <w:style w:type="paragraph" w:customStyle="1" w:styleId="paragraph">
    <w:name w:val="paragraph"/>
    <w:aliases w:val="a"/>
    <w:pPr>
      <w:tabs>
        <w:tab w:val="right" w:pos="1531"/>
      </w:tabs>
      <w:spacing w:before="40"/>
      <w:ind w:left="1644" w:hanging="1644"/>
    </w:pPr>
    <w:rPr>
      <w:rFonts w:ascii="Times New Roman" w:hAnsi="Times New Roman"/>
      <w:sz w:val="22"/>
      <w:szCs w:val="24"/>
    </w:rPr>
  </w:style>
  <w:style w:type="paragraph" w:customStyle="1" w:styleId="subsection2">
    <w:name w:val="subsection2"/>
    <w:aliases w:val="ss2"/>
    <w:basedOn w:val="subsection0"/>
    <w:next w:val="subsection0"/>
    <w:pPr>
      <w:tabs>
        <w:tab w:val="clear" w:pos="1021"/>
      </w:tabs>
      <w:spacing w:before="40"/>
      <w:ind w:firstLine="0"/>
    </w:pPr>
  </w:style>
  <w:style w:type="paragraph" w:customStyle="1" w:styleId="paragraphsub">
    <w:name w:val="paragraph(sub)"/>
    <w:aliases w:val="aa"/>
    <w:basedOn w:val="paragraph"/>
    <w:pPr>
      <w:tabs>
        <w:tab w:val="clear" w:pos="1531"/>
        <w:tab w:val="right" w:pos="1985"/>
      </w:tabs>
      <w:ind w:left="2098" w:hanging="209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715</Words>
  <Characters>3554</Characters>
  <Application>Microsoft Office Word</Application>
  <DocSecurity>0</DocSecurity>
  <Lines>126</Lines>
  <Paragraphs>80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Drafting Template (Bills)</vt:lpstr>
      <vt:lpstr/>
      <vt:lpstr>Western Australia</vt:lpstr>
      <vt:lpstr>    Notes</vt:lpstr>
    </vt:vector>
  </TitlesOfParts>
  <Manager/>
  <Company/>
  <LinksUpToDate>false</LinksUpToDate>
  <CharactersWithSpaces>4189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 Recognition (Western Australia) Act 2010 - 00-a0-03</dc:title>
  <dc:subject/>
  <dc:creator/>
  <cp:keywords/>
  <dc:description/>
  <cp:lastModifiedBy>svcMRProcess</cp:lastModifiedBy>
  <cp:revision>4</cp:revision>
  <cp:lastPrinted>2010-10-12T04:41:00Z</cp:lastPrinted>
  <dcterms:created xsi:type="dcterms:W3CDTF">2015-12-11T07:29:00Z</dcterms:created>
  <dcterms:modified xsi:type="dcterms:W3CDTF">2015-12-11T07:29:00Z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52 of 2010</vt:lpwstr>
  </property>
  <property fmtid="{D5CDD505-2E9C-101B-9397-08002B2CF9AE}" pid="3" name="CommencementDate">
    <vt:lpwstr>20101208</vt:lpwstr>
  </property>
  <property fmtid="{D5CDD505-2E9C-101B-9397-08002B2CF9AE}" pid="4" name="DocumentType">
    <vt:lpwstr>Act</vt:lpwstr>
  </property>
  <property fmtid="{D5CDD505-2E9C-101B-9397-08002B2CF9AE}" pid="5" name="AsAtDate">
    <vt:lpwstr>08 Dec 2010</vt:lpwstr>
  </property>
  <property fmtid="{D5CDD505-2E9C-101B-9397-08002B2CF9AE}" pid="6" name="Suffix">
    <vt:lpwstr>00-a0-03</vt:lpwstr>
  </property>
</Properties>
</file>