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keepNext/>
        <w:spacing w:before="1960" w:after="4200"/>
      </w:pPr>
      <w:r>
        <w:fldChar w:fldCharType="begin"/>
      </w:r>
      <w:r>
        <w:instrText xml:space="preserve"> STYLEREF "Name Of Act/Reg"</w:instrText>
      </w:r>
      <w:r>
        <w:fldChar w:fldCharType="separate"/>
      </w:r>
      <w:r>
        <w:rPr>
          <w:noProof/>
        </w:rPr>
        <w:t>Fremantle Hospital By-laws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_Toc281462637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_Toc281462638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_Toc281462639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4</w:t>
      </w:r>
      <w:r>
        <w:rPr>
          <w:snapToGrid w:val="0"/>
          <w:szCs w:val="24"/>
        </w:rPr>
        <w:t>.</w:t>
      </w:r>
      <w:r>
        <w:rPr>
          <w:snapToGrid w:val="0"/>
          <w:szCs w:val="24"/>
        </w:rPr>
        <w:tab/>
        <w:t>No entry without cause</w:t>
      </w:r>
      <w:r>
        <w:tab/>
      </w:r>
      <w:r>
        <w:fldChar w:fldCharType="begin"/>
      </w:r>
      <w:r>
        <w:instrText xml:space="preserve"> PAGEREF _Toc281462641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Directions as to use of certain areas</w:t>
      </w:r>
      <w:r>
        <w:tab/>
      </w:r>
      <w:r>
        <w:fldChar w:fldCharType="begin"/>
      </w:r>
      <w:r>
        <w:instrText xml:space="preserve"> PAGEREF _Toc281462642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Liquor</w:t>
      </w:r>
      <w:r>
        <w:tab/>
      </w:r>
      <w:r>
        <w:fldChar w:fldCharType="begin"/>
      </w:r>
      <w:r>
        <w:instrText xml:space="preserve"> PAGEREF _Toc281462643 \h </w:instrText>
      </w:r>
      <w:r>
        <w:fldChar w:fldCharType="separate"/>
      </w:r>
      <w:r>
        <w:t>4</w:t>
      </w:r>
      <w:r>
        <w:fldChar w:fldCharType="end"/>
      </w:r>
    </w:p>
    <w:p>
      <w:pPr>
        <w:pStyle w:val="TOC8"/>
        <w:rPr>
          <w:sz w:val="24"/>
          <w:szCs w:val="24"/>
        </w:rPr>
      </w:pPr>
      <w:r>
        <w:rPr>
          <w:szCs w:val="24"/>
        </w:rPr>
        <w:t>7.</w:t>
      </w:r>
      <w:r>
        <w:rPr>
          <w:szCs w:val="24"/>
        </w:rPr>
        <w:tab/>
        <w:t>Smoking</w:t>
      </w:r>
      <w:r>
        <w:tab/>
      </w:r>
      <w:r>
        <w:fldChar w:fldCharType="begin"/>
      </w:r>
      <w:r>
        <w:instrText xml:space="preserve"> PAGEREF _Toc281462644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Disorderly persons may be removed from site</w:t>
      </w:r>
      <w:r>
        <w:tab/>
      </w:r>
      <w:r>
        <w:fldChar w:fldCharType="begin"/>
      </w:r>
      <w:r>
        <w:instrText xml:space="preserve"> PAGEREF _Toc281462645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w:t>
      </w:r>
      <w:r>
        <w:rPr>
          <w:snapToGrid w:val="0"/>
          <w:szCs w:val="26"/>
        </w:rPr>
        <w:t> — </w:t>
      </w:r>
      <w:r>
        <w:rPr>
          <w:szCs w:val="26"/>
        </w:rPr>
        <w:t>Driving and use of vehicles</w:t>
      </w:r>
    </w:p>
    <w:p>
      <w:pPr>
        <w:pStyle w:val="TOC8"/>
        <w:rPr>
          <w:sz w:val="24"/>
          <w:szCs w:val="24"/>
        </w:rPr>
      </w:pPr>
      <w:r>
        <w:rPr>
          <w:szCs w:val="24"/>
        </w:rPr>
        <w:t>9</w:t>
      </w:r>
      <w:r>
        <w:rPr>
          <w:snapToGrid w:val="0"/>
          <w:szCs w:val="24"/>
        </w:rPr>
        <w:t>.</w:t>
      </w:r>
      <w:r>
        <w:rPr>
          <w:snapToGrid w:val="0"/>
          <w:szCs w:val="24"/>
        </w:rPr>
        <w:tab/>
        <w:t>Driving of vehicles</w:t>
      </w:r>
      <w:r>
        <w:tab/>
      </w:r>
      <w:r>
        <w:fldChar w:fldCharType="begin"/>
      </w:r>
      <w:r>
        <w:instrText xml:space="preserve"> PAGEREF _Toc281462648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Driver to obey reasonable direction</w:t>
      </w:r>
      <w:r>
        <w:tab/>
      </w:r>
      <w:r>
        <w:fldChar w:fldCharType="begin"/>
      </w:r>
      <w:r>
        <w:instrText xml:space="preserve"> PAGEREF _Toc281462649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Speed limits</w:t>
      </w:r>
      <w:r>
        <w:tab/>
      </w:r>
      <w:r>
        <w:fldChar w:fldCharType="begin"/>
      </w:r>
      <w:r>
        <w:instrText xml:space="preserve"> PAGEREF _Toc281462650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Giving way</w:t>
      </w:r>
      <w:r>
        <w:tab/>
      </w:r>
      <w:r>
        <w:fldChar w:fldCharType="begin"/>
      </w:r>
      <w:r>
        <w:instrText xml:space="preserve"> PAGEREF _Toc281462651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No instruction or repairs on site</w:t>
      </w:r>
      <w:r>
        <w:tab/>
      </w:r>
      <w:r>
        <w:fldChar w:fldCharType="begin"/>
      </w:r>
      <w:r>
        <w:instrText xml:space="preserve"> PAGEREF _Toc281462652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Parking</w:t>
      </w:r>
    </w:p>
    <w:p>
      <w:pPr>
        <w:pStyle w:val="TOC8"/>
        <w:rPr>
          <w:sz w:val="24"/>
          <w:szCs w:val="24"/>
        </w:rPr>
      </w:pPr>
      <w:r>
        <w:rPr>
          <w:szCs w:val="24"/>
        </w:rPr>
        <w:t>14</w:t>
      </w:r>
      <w:r>
        <w:rPr>
          <w:snapToGrid w:val="0"/>
          <w:szCs w:val="24"/>
        </w:rPr>
        <w:t>.</w:t>
      </w:r>
      <w:r>
        <w:rPr>
          <w:snapToGrid w:val="0"/>
          <w:szCs w:val="24"/>
        </w:rPr>
        <w:tab/>
        <w:t>Parking to be in parking spaces only</w:t>
      </w:r>
      <w:r>
        <w:tab/>
      </w:r>
      <w:r>
        <w:fldChar w:fldCharType="begin"/>
      </w:r>
      <w:r>
        <w:instrText xml:space="preserve"> PAGEREF _Toc281462654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Signs to be obeyed</w:t>
      </w:r>
      <w:r>
        <w:tab/>
      </w:r>
      <w:r>
        <w:fldChar w:fldCharType="begin"/>
      </w:r>
      <w:r>
        <w:instrText xml:space="preserve"> PAGEREF _Toc281462655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Parking in parking spaces</w:t>
      </w:r>
      <w:r>
        <w:tab/>
      </w:r>
      <w:r>
        <w:fldChar w:fldCharType="begin"/>
      </w:r>
      <w:r>
        <w:instrText xml:space="preserve"> PAGEREF _Toc281462656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Permit</w:t>
      </w:r>
      <w:r>
        <w:tab/>
      </w:r>
      <w:r>
        <w:fldChar w:fldCharType="begin"/>
      </w:r>
      <w:r>
        <w:instrText xml:space="preserve"> PAGEREF _Toc281462657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Refund of permit fees</w:t>
      </w:r>
      <w:r>
        <w:tab/>
      </w:r>
      <w:r>
        <w:fldChar w:fldCharType="begin"/>
      </w:r>
      <w:r>
        <w:instrText xml:space="preserve"> PAGEREF _Toc281462658 \h </w:instrText>
      </w:r>
      <w:r>
        <w:fldChar w:fldCharType="separate"/>
      </w:r>
      <w:r>
        <w:t>10</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napToGrid w:val="0"/>
          <w:szCs w:val="24"/>
        </w:rPr>
        <w:t>.</w:t>
      </w:r>
      <w:r>
        <w:rPr>
          <w:snapToGrid w:val="0"/>
          <w:szCs w:val="24"/>
        </w:rPr>
        <w:tab/>
        <w:t>Interpretation</w:t>
      </w:r>
      <w:r>
        <w:tab/>
      </w:r>
      <w:r>
        <w:fldChar w:fldCharType="begin"/>
      </w:r>
      <w:r>
        <w:instrText xml:space="preserve"> PAGEREF _Toc281462660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Infringement notices</w:t>
      </w:r>
      <w:r>
        <w:tab/>
      </w:r>
      <w:r>
        <w:fldChar w:fldCharType="begin"/>
      </w:r>
      <w:r>
        <w:instrText xml:space="preserve"> PAGEREF _Toc281462661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Withdrawal of infringement notice</w:t>
      </w:r>
      <w:r>
        <w:tab/>
      </w:r>
      <w:r>
        <w:fldChar w:fldCharType="begin"/>
      </w:r>
      <w:r>
        <w:instrText xml:space="preserve"> PAGEREF _Toc281462662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Authorised person to have certificate</w:t>
      </w:r>
      <w:r>
        <w:tab/>
      </w:r>
      <w:r>
        <w:fldChar w:fldCharType="begin"/>
      </w:r>
      <w:r>
        <w:instrText xml:space="preserve"> PAGEREF _Toc281462663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Authorised persons only to endorse and alter infringement notices</w:t>
      </w:r>
      <w:r>
        <w:tab/>
      </w:r>
      <w:r>
        <w:fldChar w:fldCharType="begin"/>
      </w:r>
      <w:r>
        <w:instrText xml:space="preserve"> PAGEREF _Toc281462664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Restriction on removal of infringement notices</w:t>
      </w:r>
      <w:r>
        <w:tab/>
      </w:r>
      <w:r>
        <w:fldChar w:fldCharType="begin"/>
      </w:r>
      <w:r>
        <w:instrText xml:space="preserve"> PAGEREF _Toc281462665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25</w:t>
      </w:r>
      <w:r>
        <w:rPr>
          <w:snapToGrid w:val="0"/>
          <w:szCs w:val="24"/>
        </w:rPr>
        <w:t>.</w:t>
      </w:r>
      <w:r>
        <w:rPr>
          <w:snapToGrid w:val="0"/>
          <w:szCs w:val="24"/>
        </w:rPr>
        <w:tab/>
        <w:t>Removal of vehicles</w:t>
      </w:r>
      <w:r>
        <w:tab/>
      </w:r>
      <w:r>
        <w:fldChar w:fldCharType="begin"/>
      </w:r>
      <w:r>
        <w:instrText xml:space="preserve"> PAGEREF _Toc281462667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Registered owner may be treated as being driver or person in charge of vehicle at time of offence</w:t>
      </w:r>
      <w:r>
        <w:tab/>
      </w:r>
      <w:r>
        <w:fldChar w:fldCharType="begin"/>
      </w:r>
      <w:r>
        <w:instrText xml:space="preserve"> PAGEREF _Toc281462668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Other offences</w:t>
      </w:r>
      <w:r>
        <w:tab/>
      </w:r>
      <w:r>
        <w:fldChar w:fldCharType="begin"/>
      </w:r>
      <w:r>
        <w:instrText xml:space="preserve"> PAGEREF _Toc281462669 \h </w:instrText>
      </w:r>
      <w:r>
        <w:fldChar w:fldCharType="separate"/>
      </w:r>
      <w:r>
        <w:t>16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_Toc281462674 \h </w:instrText>
      </w:r>
      <w:r>
        <w:fldChar w:fldCharType="separate"/>
      </w:r>
      <w:r>
        <w:t>23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r>
        <w:t>Fremantle Hospital By</w:t>
      </w:r>
      <w:r>
        <w:noBreakHyphen/>
        <w:t>laws 1992</w:t>
      </w:r>
    </w:p>
    <w:p>
      <w:pPr>
        <w:pStyle w:val="Heading2"/>
        <w:pageBreakBefore w:val="0"/>
      </w:pPr>
      <w:bookmarkStart w:id="1" w:name="_Toc190578183"/>
      <w:bookmarkStart w:id="2" w:name="_Toc278466806"/>
      <w:bookmarkStart w:id="3" w:name="_Toc281462636"/>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81462637"/>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Fremantle Hospital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5" w:name="_Toc28146263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6" w:name="_Toc281462639"/>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Fremantle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Fremantle Hospital and Kaleeya Hospital;</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26 Nov 2010 p. 5937.] </w:t>
      </w:r>
    </w:p>
    <w:p>
      <w:pPr>
        <w:pStyle w:val="Heading2"/>
      </w:pPr>
      <w:bookmarkStart w:id="7" w:name="_Toc190578187"/>
      <w:bookmarkStart w:id="8" w:name="_Toc278466810"/>
      <w:bookmarkStart w:id="9" w:name="_Toc281462640"/>
      <w:r>
        <w:rPr>
          <w:rStyle w:val="CharPartNo"/>
        </w:rPr>
        <w:t>Part 2</w:t>
      </w:r>
      <w:r>
        <w:rPr>
          <w:rStyle w:val="CharDivNo"/>
        </w:rPr>
        <w:t> </w:t>
      </w:r>
      <w:r>
        <w:t>—</w:t>
      </w:r>
      <w:r>
        <w:rPr>
          <w:rStyle w:val="CharDivText"/>
        </w:rPr>
        <w:t> </w:t>
      </w:r>
      <w:r>
        <w:rPr>
          <w:rStyle w:val="CharPartText"/>
        </w:rPr>
        <w:t>Trespass and order</w:t>
      </w:r>
      <w:bookmarkEnd w:id="7"/>
      <w:bookmarkEnd w:id="8"/>
      <w:bookmarkEnd w:id="9"/>
    </w:p>
    <w:p>
      <w:pPr>
        <w:pStyle w:val="Heading5"/>
        <w:rPr>
          <w:snapToGrid w:val="0"/>
        </w:rPr>
      </w:pPr>
      <w:bookmarkStart w:id="10" w:name="_Toc281462641"/>
      <w:r>
        <w:rPr>
          <w:rStyle w:val="CharSectno"/>
        </w:rPr>
        <w:t>4</w:t>
      </w:r>
      <w:r>
        <w:rPr>
          <w:snapToGrid w:val="0"/>
        </w:rPr>
        <w:t>.</w:t>
      </w:r>
      <w:r>
        <w:rPr>
          <w:snapToGrid w:val="0"/>
        </w:rPr>
        <w:tab/>
        <w:t>No entry without cause</w:t>
      </w:r>
      <w:bookmarkEnd w:id="10"/>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281462642"/>
      <w:r>
        <w:rPr>
          <w:rStyle w:val="CharSectno"/>
        </w:rPr>
        <w:t>5</w:t>
      </w:r>
      <w:r>
        <w:rPr>
          <w:snapToGrid w:val="0"/>
        </w:rPr>
        <w:t>.</w:t>
      </w:r>
      <w:r>
        <w:rPr>
          <w:snapToGrid w:val="0"/>
        </w:rPr>
        <w:tab/>
        <w:t>Directions as to use of certain areas</w:t>
      </w:r>
      <w:bookmarkEnd w:id="1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2" w:name="_Toc281462643"/>
      <w:r>
        <w:rPr>
          <w:rStyle w:val="CharSectno"/>
        </w:rPr>
        <w:t>6</w:t>
      </w:r>
      <w:r>
        <w:rPr>
          <w:snapToGrid w:val="0"/>
        </w:rPr>
        <w:t>.</w:t>
      </w:r>
      <w:r>
        <w:rPr>
          <w:snapToGrid w:val="0"/>
        </w:rPr>
        <w:tab/>
        <w:t>Liquor</w:t>
      </w:r>
      <w:bookmarkEnd w:id="12"/>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3" w:name="_Toc281462644"/>
      <w:r>
        <w:rPr>
          <w:rStyle w:val="CharSectno"/>
        </w:rPr>
        <w:t>7</w:t>
      </w:r>
      <w:r>
        <w:t>.</w:t>
      </w:r>
      <w:r>
        <w:tab/>
        <w:t>Smoking</w:t>
      </w:r>
      <w:bookmarkEnd w:id="13"/>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4" w:name="_Toc281462645"/>
      <w:r>
        <w:rPr>
          <w:rStyle w:val="CharSectno"/>
        </w:rPr>
        <w:t>8</w:t>
      </w:r>
      <w:r>
        <w:rPr>
          <w:snapToGrid w:val="0"/>
        </w:rPr>
        <w:t>.</w:t>
      </w:r>
      <w:r>
        <w:rPr>
          <w:snapToGrid w:val="0"/>
        </w:rPr>
        <w:tab/>
        <w:t>Disorderly persons may be removed from site</w:t>
      </w:r>
      <w:bookmarkEnd w:id="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5" w:name="_Toc190578193"/>
      <w:bookmarkStart w:id="16" w:name="_Toc278466816"/>
      <w:bookmarkStart w:id="17" w:name="_Toc281462646"/>
      <w:r>
        <w:rPr>
          <w:rStyle w:val="CharPartNo"/>
        </w:rPr>
        <w:t>Part 3</w:t>
      </w:r>
      <w:r>
        <w:t> — </w:t>
      </w:r>
      <w:r>
        <w:rPr>
          <w:rStyle w:val="CharPartText"/>
        </w:rPr>
        <w:t>Traffic control</w:t>
      </w:r>
      <w:bookmarkEnd w:id="15"/>
      <w:bookmarkEnd w:id="16"/>
      <w:bookmarkEnd w:id="17"/>
    </w:p>
    <w:p>
      <w:pPr>
        <w:pStyle w:val="Heading3"/>
        <w:rPr>
          <w:snapToGrid w:val="0"/>
        </w:rPr>
      </w:pPr>
      <w:bookmarkStart w:id="18" w:name="_Toc190578194"/>
      <w:bookmarkStart w:id="19" w:name="_Toc278466817"/>
      <w:bookmarkStart w:id="20" w:name="_Toc281462647"/>
      <w:r>
        <w:rPr>
          <w:rStyle w:val="CharDivNo"/>
        </w:rPr>
        <w:t>Division 1</w:t>
      </w:r>
      <w:r>
        <w:rPr>
          <w:snapToGrid w:val="0"/>
        </w:rPr>
        <w:t> — </w:t>
      </w:r>
      <w:r>
        <w:rPr>
          <w:rStyle w:val="CharDivText"/>
        </w:rPr>
        <w:t>Driving and use of vehicles</w:t>
      </w:r>
      <w:bookmarkEnd w:id="18"/>
      <w:bookmarkEnd w:id="19"/>
      <w:bookmarkEnd w:id="20"/>
      <w:r>
        <w:rPr>
          <w:rStyle w:val="CharDivText"/>
        </w:rPr>
        <w:t xml:space="preserve"> </w:t>
      </w:r>
    </w:p>
    <w:p>
      <w:pPr>
        <w:pStyle w:val="Heading5"/>
        <w:rPr>
          <w:snapToGrid w:val="0"/>
        </w:rPr>
      </w:pPr>
      <w:bookmarkStart w:id="21" w:name="_Toc281462648"/>
      <w:r>
        <w:rPr>
          <w:rStyle w:val="CharSectno"/>
        </w:rPr>
        <w:t>9</w:t>
      </w:r>
      <w:r>
        <w:rPr>
          <w:snapToGrid w:val="0"/>
        </w:rPr>
        <w:t>.</w:t>
      </w:r>
      <w:r>
        <w:rPr>
          <w:snapToGrid w:val="0"/>
        </w:rPr>
        <w:tab/>
        <w:t>Driving of vehicles</w:t>
      </w:r>
      <w:bookmarkEnd w:id="21"/>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22" w:name="_Toc281462649"/>
      <w:r>
        <w:rPr>
          <w:rStyle w:val="CharSectno"/>
        </w:rPr>
        <w:t>10</w:t>
      </w:r>
      <w:r>
        <w:rPr>
          <w:snapToGrid w:val="0"/>
        </w:rPr>
        <w:t>.</w:t>
      </w:r>
      <w:r>
        <w:rPr>
          <w:snapToGrid w:val="0"/>
        </w:rPr>
        <w:tab/>
        <w:t>Driver to obey reasonable direction</w:t>
      </w:r>
      <w:bookmarkEnd w:id="2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3" w:name="_Toc281462650"/>
      <w:r>
        <w:rPr>
          <w:rStyle w:val="CharSectno"/>
        </w:rPr>
        <w:t>11</w:t>
      </w:r>
      <w:r>
        <w:rPr>
          <w:snapToGrid w:val="0"/>
        </w:rPr>
        <w:t>.</w:t>
      </w:r>
      <w:r>
        <w:rPr>
          <w:snapToGrid w:val="0"/>
        </w:rPr>
        <w:tab/>
        <w:t>Speed limits</w:t>
      </w:r>
      <w:bookmarkEnd w:id="23"/>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4" w:name="_Toc281462651"/>
      <w:r>
        <w:rPr>
          <w:rStyle w:val="CharSectno"/>
        </w:rPr>
        <w:t>12</w:t>
      </w:r>
      <w:r>
        <w:rPr>
          <w:snapToGrid w:val="0"/>
        </w:rPr>
        <w:t>.</w:t>
      </w:r>
      <w:r>
        <w:rPr>
          <w:snapToGrid w:val="0"/>
        </w:rPr>
        <w:tab/>
        <w:t>Giving way</w:t>
      </w:r>
      <w:bookmarkEnd w:id="2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25" w:name="_Toc281462652"/>
      <w:r>
        <w:rPr>
          <w:rStyle w:val="CharSectno"/>
        </w:rPr>
        <w:t>13</w:t>
      </w:r>
      <w:r>
        <w:rPr>
          <w:snapToGrid w:val="0"/>
        </w:rPr>
        <w:t>.</w:t>
      </w:r>
      <w:r>
        <w:rPr>
          <w:snapToGrid w:val="0"/>
        </w:rPr>
        <w:tab/>
        <w:t>No instruction or repairs on site</w:t>
      </w:r>
      <w:bookmarkEnd w:id="2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26" w:name="_Toc190578200"/>
      <w:bookmarkStart w:id="27" w:name="_Toc278466823"/>
      <w:bookmarkStart w:id="28" w:name="_Toc281462653"/>
      <w:r>
        <w:rPr>
          <w:rStyle w:val="CharDivNo"/>
        </w:rPr>
        <w:t>Division 2</w:t>
      </w:r>
      <w:r>
        <w:rPr>
          <w:snapToGrid w:val="0"/>
        </w:rPr>
        <w:t> — </w:t>
      </w:r>
      <w:r>
        <w:rPr>
          <w:rStyle w:val="CharDivText"/>
        </w:rPr>
        <w:t>Parking</w:t>
      </w:r>
      <w:bookmarkEnd w:id="26"/>
      <w:bookmarkEnd w:id="27"/>
      <w:bookmarkEnd w:id="28"/>
      <w:r>
        <w:rPr>
          <w:rStyle w:val="CharDivText"/>
        </w:rPr>
        <w:t xml:space="preserve"> </w:t>
      </w:r>
    </w:p>
    <w:p>
      <w:pPr>
        <w:pStyle w:val="Heading5"/>
        <w:rPr>
          <w:snapToGrid w:val="0"/>
        </w:rPr>
      </w:pPr>
      <w:bookmarkStart w:id="29" w:name="_Toc281462654"/>
      <w:r>
        <w:rPr>
          <w:rStyle w:val="CharSectno"/>
        </w:rPr>
        <w:t>14</w:t>
      </w:r>
      <w:r>
        <w:rPr>
          <w:snapToGrid w:val="0"/>
        </w:rPr>
        <w:t>.</w:t>
      </w:r>
      <w:r>
        <w:rPr>
          <w:snapToGrid w:val="0"/>
        </w:rPr>
        <w:tab/>
        <w:t>Parking to be in parking spaces only</w:t>
      </w:r>
      <w:bookmarkEnd w:id="2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0" w:name="_Toc281462655"/>
      <w:r>
        <w:rPr>
          <w:rStyle w:val="CharSectno"/>
        </w:rPr>
        <w:t>15</w:t>
      </w:r>
      <w:r>
        <w:rPr>
          <w:snapToGrid w:val="0"/>
        </w:rPr>
        <w:t>.</w:t>
      </w:r>
      <w:r>
        <w:rPr>
          <w:snapToGrid w:val="0"/>
        </w:rPr>
        <w:tab/>
        <w:t>Signs to be obeyed</w:t>
      </w:r>
      <w:bookmarkEnd w:id="3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1" w:name="_Toc281462656"/>
      <w:r>
        <w:rPr>
          <w:rStyle w:val="CharSectno"/>
        </w:rPr>
        <w:t>16</w:t>
      </w:r>
      <w:r>
        <w:rPr>
          <w:snapToGrid w:val="0"/>
        </w:rPr>
        <w:t>.</w:t>
      </w:r>
      <w:r>
        <w:rPr>
          <w:snapToGrid w:val="0"/>
        </w:rPr>
        <w:tab/>
        <w:t>Parking in parking spaces</w:t>
      </w:r>
      <w:bookmarkEnd w:id="31"/>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32" w:name="_Toc281462657"/>
      <w:r>
        <w:rPr>
          <w:rStyle w:val="CharSectno"/>
        </w:rPr>
        <w:t>17</w:t>
      </w:r>
      <w:r>
        <w:rPr>
          <w:snapToGrid w:val="0"/>
        </w:rPr>
        <w:t>.</w:t>
      </w:r>
      <w:r>
        <w:rPr>
          <w:snapToGrid w:val="0"/>
        </w:rPr>
        <w:tab/>
        <w:t>Permit</w:t>
      </w:r>
      <w:bookmarkEnd w:id="3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33" w:name="_Toc281462658"/>
      <w:r>
        <w:rPr>
          <w:rStyle w:val="CharSectno"/>
        </w:rPr>
        <w:t>18</w:t>
      </w:r>
      <w:r>
        <w:rPr>
          <w:snapToGrid w:val="0"/>
        </w:rPr>
        <w:t>.</w:t>
      </w:r>
      <w:r>
        <w:rPr>
          <w:snapToGrid w:val="0"/>
        </w:rPr>
        <w:tab/>
        <w:t>Refund of permit fees</w:t>
      </w:r>
      <w:bookmarkEnd w:id="33"/>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whose employment at the Fremantle Hospital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34" w:name="_Toc190578206"/>
      <w:bookmarkStart w:id="35" w:name="_Toc278466829"/>
      <w:bookmarkStart w:id="36" w:name="_Toc281462659"/>
      <w:r>
        <w:rPr>
          <w:rStyle w:val="CharPartNo"/>
        </w:rPr>
        <w:t>Part 4</w:t>
      </w:r>
      <w:r>
        <w:rPr>
          <w:rStyle w:val="CharDivNo"/>
        </w:rPr>
        <w:t> </w:t>
      </w:r>
      <w:r>
        <w:t>—</w:t>
      </w:r>
      <w:r>
        <w:rPr>
          <w:rStyle w:val="CharDivText"/>
        </w:rPr>
        <w:t> </w:t>
      </w:r>
      <w:r>
        <w:rPr>
          <w:rStyle w:val="CharPartText"/>
        </w:rPr>
        <w:t>Infringement notices</w:t>
      </w:r>
      <w:bookmarkEnd w:id="34"/>
      <w:bookmarkEnd w:id="35"/>
      <w:bookmarkEnd w:id="36"/>
      <w:r>
        <w:rPr>
          <w:rStyle w:val="CharPartText"/>
        </w:rPr>
        <w:t xml:space="preserve"> </w:t>
      </w:r>
    </w:p>
    <w:p>
      <w:pPr>
        <w:pStyle w:val="Heading5"/>
        <w:rPr>
          <w:snapToGrid w:val="0"/>
        </w:rPr>
      </w:pPr>
      <w:bookmarkStart w:id="37" w:name="_Toc281462660"/>
      <w:r>
        <w:rPr>
          <w:rStyle w:val="CharSectno"/>
        </w:rPr>
        <w:t>19</w:t>
      </w:r>
      <w:r>
        <w:rPr>
          <w:snapToGrid w:val="0"/>
        </w:rPr>
        <w:t>.</w:t>
      </w:r>
      <w:r>
        <w:rPr>
          <w:snapToGrid w:val="0"/>
        </w:rPr>
        <w:tab/>
        <w:t>Interpretation</w:t>
      </w:r>
      <w:bookmarkEnd w:id="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38" w:name="_Toc281462661"/>
      <w:r>
        <w:rPr>
          <w:rStyle w:val="CharSectno"/>
        </w:rPr>
        <w:t>20</w:t>
      </w:r>
      <w:r>
        <w:rPr>
          <w:snapToGrid w:val="0"/>
        </w:rPr>
        <w:t>.</w:t>
      </w:r>
      <w:r>
        <w:rPr>
          <w:snapToGrid w:val="0"/>
        </w:rPr>
        <w:tab/>
        <w:t>Infringement notices</w:t>
      </w:r>
      <w:bookmarkEnd w:id="3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Fremantle Hospital,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w:t>
      </w:r>
    </w:p>
    <w:p>
      <w:pPr>
        <w:pStyle w:val="Heading5"/>
        <w:rPr>
          <w:snapToGrid w:val="0"/>
        </w:rPr>
      </w:pPr>
      <w:bookmarkStart w:id="39" w:name="_Toc281462662"/>
      <w:r>
        <w:rPr>
          <w:rStyle w:val="CharSectno"/>
        </w:rPr>
        <w:t>21</w:t>
      </w:r>
      <w:r>
        <w:rPr>
          <w:snapToGrid w:val="0"/>
        </w:rPr>
        <w:t>.</w:t>
      </w:r>
      <w:r>
        <w:rPr>
          <w:snapToGrid w:val="0"/>
        </w:rPr>
        <w:tab/>
        <w:t>Withdrawal of infringement notice</w:t>
      </w:r>
      <w:bookmarkEnd w:id="39"/>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40" w:name="_Toc281462663"/>
      <w:r>
        <w:rPr>
          <w:rStyle w:val="CharSectno"/>
        </w:rPr>
        <w:t>22</w:t>
      </w:r>
      <w:r>
        <w:rPr>
          <w:snapToGrid w:val="0"/>
        </w:rPr>
        <w:t>.</w:t>
      </w:r>
      <w:r>
        <w:rPr>
          <w:snapToGrid w:val="0"/>
        </w:rPr>
        <w:tab/>
        <w:t>Authorised person to have certificate</w:t>
      </w:r>
      <w:bookmarkEnd w:id="4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1" w:name="_Toc281462664"/>
      <w:r>
        <w:rPr>
          <w:rStyle w:val="CharSectno"/>
        </w:rPr>
        <w:t>23</w:t>
      </w:r>
      <w:r>
        <w:rPr>
          <w:snapToGrid w:val="0"/>
        </w:rPr>
        <w:t>.</w:t>
      </w:r>
      <w:r>
        <w:rPr>
          <w:snapToGrid w:val="0"/>
        </w:rPr>
        <w:tab/>
        <w:t>Authorised persons only to endorse and alter infringement notices</w:t>
      </w:r>
      <w:bookmarkEnd w:id="4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2" w:name="_Toc281462665"/>
      <w:r>
        <w:rPr>
          <w:rStyle w:val="CharSectno"/>
        </w:rPr>
        <w:t>24</w:t>
      </w:r>
      <w:r>
        <w:rPr>
          <w:snapToGrid w:val="0"/>
        </w:rPr>
        <w:t>.</w:t>
      </w:r>
      <w:r>
        <w:rPr>
          <w:snapToGrid w:val="0"/>
        </w:rPr>
        <w:tab/>
        <w:t>Restriction on removal of infringement notices</w:t>
      </w:r>
      <w:bookmarkEnd w:id="4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43" w:name="_Toc190578213"/>
      <w:bookmarkStart w:id="44" w:name="_Toc278466836"/>
      <w:bookmarkStart w:id="45" w:name="_Toc281462666"/>
      <w:r>
        <w:rPr>
          <w:rStyle w:val="CharPartNo"/>
        </w:rPr>
        <w:t>Part 5</w:t>
      </w:r>
      <w:r>
        <w:rPr>
          <w:rStyle w:val="CharDivNo"/>
        </w:rPr>
        <w:t> </w:t>
      </w:r>
      <w:r>
        <w:t>—</w:t>
      </w:r>
      <w:r>
        <w:rPr>
          <w:rStyle w:val="CharDivText"/>
        </w:rPr>
        <w:t> </w:t>
      </w:r>
      <w:r>
        <w:rPr>
          <w:rStyle w:val="CharPartText"/>
        </w:rPr>
        <w:t>General</w:t>
      </w:r>
      <w:bookmarkEnd w:id="43"/>
      <w:bookmarkEnd w:id="44"/>
      <w:bookmarkEnd w:id="45"/>
    </w:p>
    <w:p>
      <w:pPr>
        <w:pStyle w:val="Heading5"/>
        <w:rPr>
          <w:snapToGrid w:val="0"/>
        </w:rPr>
      </w:pPr>
      <w:bookmarkStart w:id="46" w:name="_Toc281462667"/>
      <w:r>
        <w:rPr>
          <w:rStyle w:val="CharSectno"/>
        </w:rPr>
        <w:t>25</w:t>
      </w:r>
      <w:r>
        <w:rPr>
          <w:snapToGrid w:val="0"/>
        </w:rPr>
        <w:t>.</w:t>
      </w:r>
      <w:r>
        <w:rPr>
          <w:snapToGrid w:val="0"/>
        </w:rPr>
        <w:tab/>
        <w:t>Removal of vehicles</w:t>
      </w:r>
      <w:bookmarkEnd w:id="46"/>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Fremantle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47" w:name="_Toc281462668"/>
      <w:r>
        <w:rPr>
          <w:rStyle w:val="CharSectno"/>
        </w:rPr>
        <w:t>26</w:t>
      </w:r>
      <w:r>
        <w:rPr>
          <w:snapToGrid w:val="0"/>
        </w:rPr>
        <w:t>.</w:t>
      </w:r>
      <w:r>
        <w:rPr>
          <w:snapToGrid w:val="0"/>
        </w:rPr>
        <w:tab/>
        <w:t>Registered owner may be treated as being driver or person in charge of vehicle at time of offence</w:t>
      </w:r>
      <w:bookmarkEnd w:id="47"/>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 w:name="_Toc281462669"/>
      <w:r>
        <w:rPr>
          <w:rStyle w:val="CharSectno"/>
        </w:rPr>
        <w:t>27</w:t>
      </w:r>
      <w:r>
        <w:rPr>
          <w:snapToGrid w:val="0"/>
        </w:rPr>
        <w:t>.</w:t>
      </w:r>
      <w:r>
        <w:rPr>
          <w:snapToGrid w:val="0"/>
        </w:rPr>
        <w:tab/>
        <w:t>Other offences</w:t>
      </w:r>
      <w:bookmarkEnd w:id="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9" w:name="_Toc281462670"/>
      <w:bookmarkStart w:id="50" w:name="_Toc190578218"/>
      <w:bookmarkStart w:id="51" w:name="_Toc278466841"/>
      <w:r>
        <w:rPr>
          <w:rStyle w:val="CharSchNo"/>
        </w:rPr>
        <w:t>Schedule 1</w:t>
      </w:r>
      <w:r>
        <w:t> — </w:t>
      </w:r>
      <w:r>
        <w:rPr>
          <w:rStyle w:val="CharSchText"/>
        </w:rPr>
        <w:t>Fees</w:t>
      </w:r>
      <w:bookmarkEnd w:id="49"/>
    </w:p>
    <w:p>
      <w:pPr>
        <w:pStyle w:val="yShoulderClause"/>
      </w:pPr>
      <w:r>
        <w:t>[bl. 17(2)(b)]</w:t>
      </w:r>
    </w:p>
    <w:p>
      <w:pPr>
        <w:pStyle w:val="yFootnoteheading"/>
        <w:spacing w:after="60"/>
      </w:pPr>
      <w:r>
        <w:tab/>
        <w:t>[Heading inserted in Gazette 26 Nov 2010 p. 5938.]</w:t>
      </w:r>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c>
          <w:tcPr>
            <w:tcW w:w="4394" w:type="dxa"/>
            <w:tcBorders>
              <w:top w:val="single" w:sz="4" w:space="0" w:color="auto"/>
              <w:bottom w:val="single" w:sz="4" w:space="0" w:color="auto"/>
            </w:tcBorders>
          </w:tcPr>
          <w:p>
            <w:pPr>
              <w:pStyle w:val="yTableNAm"/>
              <w:rPr>
                <w:b/>
                <w:bCs/>
              </w:rPr>
            </w:pPr>
            <w:r>
              <w:rPr>
                <w:b/>
                <w:bCs/>
              </w:rPr>
              <w:t>Type of permit</w:t>
            </w:r>
          </w:p>
        </w:tc>
        <w:tc>
          <w:tcPr>
            <w:tcW w:w="2126" w:type="dxa"/>
            <w:tcBorders>
              <w:top w:val="single" w:sz="4" w:space="0" w:color="auto"/>
              <w:bottom w:val="single" w:sz="4" w:space="0" w:color="auto"/>
            </w:tcBorders>
          </w:tcPr>
          <w:p>
            <w:pPr>
              <w:pStyle w:val="yTableNAm"/>
              <w:rPr>
                <w:b/>
                <w:bCs/>
              </w:rPr>
            </w:pPr>
            <w:r>
              <w:rPr>
                <w:b/>
                <w:bCs/>
              </w:rPr>
              <w:t>Fee</w:t>
            </w:r>
          </w:p>
        </w:tc>
      </w:tr>
      <w:tr>
        <w:tc>
          <w:tcPr>
            <w:tcW w:w="4394" w:type="dxa"/>
            <w:tcBorders>
              <w:top w:val="single" w:sz="4" w:space="0" w:color="auto"/>
            </w:tcBorders>
          </w:tcPr>
          <w:p>
            <w:pPr>
              <w:pStyle w:val="yTableNAm"/>
            </w:pPr>
            <w:r>
              <w:t>All types of parking permit (per week or part of a week) at Fremantle Hospital (excluding Kaleeya Hospital)</w:t>
            </w:r>
          </w:p>
        </w:tc>
        <w:tc>
          <w:tcPr>
            <w:tcW w:w="2126" w:type="dxa"/>
            <w:tcBorders>
              <w:top w:val="single" w:sz="4" w:space="0" w:color="auto"/>
            </w:tcBorders>
          </w:tcPr>
          <w:p>
            <w:pPr>
              <w:pStyle w:val="yTableNAm"/>
              <w:rPr>
                <w:rStyle w:val="DraftersNotes"/>
              </w:rPr>
            </w:pPr>
            <w:r>
              <w:t>$13.50</w:t>
            </w:r>
          </w:p>
        </w:tc>
      </w:tr>
      <w:tr>
        <w:tc>
          <w:tcPr>
            <w:tcW w:w="4394" w:type="dxa"/>
          </w:tcPr>
          <w:p>
            <w:pPr>
              <w:pStyle w:val="yTableNAm"/>
            </w:pPr>
            <w:r>
              <w:t>All types of parking permit (per week or part of a week) at Kaleeya Hospital</w:t>
            </w:r>
          </w:p>
        </w:tc>
        <w:tc>
          <w:tcPr>
            <w:tcW w:w="2126" w:type="dxa"/>
          </w:tcPr>
          <w:p>
            <w:pPr>
              <w:pStyle w:val="yTableNAm"/>
            </w:pPr>
            <w:r>
              <w:t>$2.00</w:t>
            </w:r>
          </w:p>
        </w:tc>
      </w:tr>
    </w:tbl>
    <w:p>
      <w:pPr>
        <w:pStyle w:val="yFootnotesection"/>
      </w:pPr>
      <w:r>
        <w:tab/>
        <w:t>[Schedule 1 inserted in Gazette 26 Nov 2010 p. 5938.]</w:t>
      </w:r>
    </w:p>
    <w:p>
      <w:pPr>
        <w:pStyle w:val="yScheduleHeading"/>
      </w:pPr>
      <w:bookmarkStart w:id="52" w:name="_Toc281462671"/>
      <w:r>
        <w:rPr>
          <w:rStyle w:val="CharSchNo"/>
        </w:rPr>
        <w:t>Schedule 2 </w:t>
      </w:r>
      <w:r>
        <w:t>— </w:t>
      </w:r>
      <w:r>
        <w:rPr>
          <w:rStyle w:val="CharSchText"/>
        </w:rPr>
        <w:t>Infringement notices and modified penalties</w:t>
      </w:r>
      <w:bookmarkEnd w:id="50"/>
      <w:bookmarkEnd w:id="51"/>
      <w:bookmarkEnd w:id="52"/>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53" w:name="_Toc190578219"/>
      <w:bookmarkStart w:id="54" w:name="_Toc278466842"/>
      <w:bookmarkStart w:id="55" w:name="_Toc281462672"/>
      <w:r>
        <w:rPr>
          <w:rStyle w:val="CharSchNo"/>
        </w:rPr>
        <w:t>Schedule 3</w:t>
      </w:r>
      <w:bookmarkEnd w:id="53"/>
      <w:bookmarkEnd w:id="54"/>
      <w:bookmarkEnd w:id="55"/>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of the Fremantle Hospital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6" w:name="UpToHere"/>
      <w:bookmarkStart w:id="57" w:name="_Toc190578220"/>
      <w:bookmarkStart w:id="58" w:name="_Toc278466843"/>
      <w:bookmarkStart w:id="59" w:name="_Toc281462673"/>
      <w:bookmarkEnd w:id="56"/>
      <w:r>
        <w:t>Notes</w:t>
      </w:r>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281462674"/>
      <w:r>
        <w:rPr>
          <w:snapToGrid w:val="0"/>
        </w:rP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Hospital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r>
              <w:rPr>
                <w:i/>
                <w:sz w:val="19"/>
              </w:rPr>
              <w:t>Fremantle Hospital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r>
              <w:rPr>
                <w:i/>
                <w:sz w:val="19"/>
              </w:rPr>
              <w:t>Fremantle Hospital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r>
              <w:rPr>
                <w:i/>
                <w:sz w:val="19"/>
              </w:rPr>
              <w:t>Fremantle Hospital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r>
              <w:rPr>
                <w:i/>
                <w:sz w:val="19"/>
              </w:rPr>
              <w:t>Fremantle Hospital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Pr>
          <w:p>
            <w:pPr>
              <w:pStyle w:val="nTable"/>
              <w:spacing w:after="40"/>
              <w:rPr>
                <w:i/>
                <w:sz w:val="19"/>
              </w:rPr>
            </w:pPr>
            <w:r>
              <w:rPr>
                <w:i/>
                <w:sz w:val="19"/>
              </w:rPr>
              <w:t>Fremantle Hospital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Borders>
              <w:bottom w:val="single" w:sz="4" w:space="0" w:color="auto"/>
            </w:tcBorders>
          </w:tcPr>
          <w:p>
            <w:pPr>
              <w:pStyle w:val="nTable"/>
              <w:rPr>
                <w:iCs/>
              </w:rPr>
            </w:pPr>
            <w:r>
              <w:rPr>
                <w:i/>
                <w:sz w:val="19"/>
              </w:rPr>
              <w:t>Fremantle Hospital Amendment By</w:t>
            </w:r>
            <w:r>
              <w:rPr>
                <w:i/>
                <w:sz w:val="19"/>
              </w:rPr>
              <w:noBreakHyphen/>
              <w:t>laws 2010</w:t>
            </w:r>
            <w:r>
              <w:rPr>
                <w:iCs/>
                <w:sz w:val="19"/>
              </w:rPr>
              <w:t xml:space="preserve"> </w:t>
            </w:r>
          </w:p>
        </w:tc>
        <w:tc>
          <w:tcPr>
            <w:tcW w:w="1276" w:type="dxa"/>
            <w:tcBorders>
              <w:bottom w:val="single" w:sz="4" w:space="0" w:color="auto"/>
            </w:tcBorders>
          </w:tcPr>
          <w:p>
            <w:pPr>
              <w:pStyle w:val="nTable"/>
            </w:pPr>
            <w:r>
              <w:t>26 Nov 2010 p. 5937-8</w:t>
            </w:r>
          </w:p>
        </w:tc>
        <w:tc>
          <w:tcPr>
            <w:tcW w:w="2693" w:type="dxa"/>
            <w:tcBorders>
              <w:bottom w:val="single" w:sz="4" w:space="0" w:color="auto"/>
            </w:tcBorders>
          </w:tcPr>
          <w:p>
            <w:pPr>
              <w:pStyle w:val="nTable"/>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bl>
    <w:p>
      <w:pPr>
        <w:spacing w:before="40" w:after="40"/>
      </w:pPr>
    </w:p>
    <w:p>
      <w:pPr>
        <w:spacing w:before="40" w:after="4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before="40" w:after="40"/>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92FB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58AF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74E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994E9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F26AC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1CD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AE35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BCFC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3C8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6853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7E1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FBEB6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324"/>
    <w:docVar w:name="WAFER_20151211141324" w:val="RemoveTrackChanges"/>
    <w:docVar w:name="WAFER_20151211141324_GUID" w:val="19b98233-a8b0-47b1-a226-06d7907b8e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4392</Words>
  <Characters>21741</Characters>
  <Application>Microsoft Office Word</Application>
  <DocSecurity>0</DocSecurity>
  <Lines>679</Lines>
  <Paragraphs>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1992 - 01-e0-02</dc:title>
  <dc:subject/>
  <dc:creator/>
  <cp:keywords/>
  <dc:description/>
  <cp:lastModifiedBy>svcMRProcess</cp:lastModifiedBy>
  <cp:revision>4</cp:revision>
  <cp:lastPrinted>2003-08-29T07:18:00Z</cp:lastPrinted>
  <dcterms:created xsi:type="dcterms:W3CDTF">2018-09-12T01:06:00Z</dcterms:created>
  <dcterms:modified xsi:type="dcterms:W3CDTF">2018-09-12T01:06:00Z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4456</vt:i4>
  </property>
  <property fmtid="{D5CDD505-2E9C-101B-9397-08002B2CF9AE}" pid="6" name="AsAtDate">
    <vt:lpwstr>01 Jan 2011</vt:lpwstr>
  </property>
  <property fmtid="{D5CDD505-2E9C-101B-9397-08002B2CF9AE}" pid="7" name="Suffix">
    <vt:lpwstr>01-e0-02</vt:lpwstr>
  </property>
</Properties>
</file>