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Business Names Act 1962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Business Names Act 1962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_Toc281485665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_Toc281485666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Repeal, and savings and transitional provisions</w:t>
      </w:r>
      <w:r>
        <w:tab/>
      </w:r>
      <w:r>
        <w:fldChar w:fldCharType="begin"/>
      </w:r>
      <w:r>
        <w:instrText xml:space="preserve"> PAGEREF _Toc281485667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_Toc281485668 \h </w:instrText>
      </w:r>
      <w:r>
        <w:fldChar w:fldCharType="separate"/>
      </w:r>
      <w:r>
        <w:t>3</w:t>
      </w:r>
      <w:r>
        <w:fldChar w:fldCharType="end"/>
      </w:r>
    </w:p>
    <w:p>
      <w:pPr>
        <w:pStyle w:val="TOC8"/>
        <w:rPr>
          <w:sz w:val="24"/>
          <w:szCs w:val="24"/>
        </w:rPr>
      </w:pPr>
      <w:r>
        <w:rPr>
          <w:szCs w:val="24"/>
        </w:rPr>
        <w:t>4AA.</w:t>
      </w:r>
      <w:r>
        <w:rPr>
          <w:szCs w:val="24"/>
        </w:rPr>
        <w:tab/>
        <w:t>Commissioner</w:t>
      </w:r>
      <w:r>
        <w:tab/>
      </w:r>
      <w:r>
        <w:fldChar w:fldCharType="begin"/>
      </w:r>
      <w:r>
        <w:instrText xml:space="preserve"> PAGEREF _Toc281485669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t>Arrangements for administration of this Act</w:t>
      </w:r>
      <w:r>
        <w:tab/>
      </w:r>
      <w:r>
        <w:fldChar w:fldCharType="begin"/>
      </w:r>
      <w:r>
        <w:instrText xml:space="preserve"> PAGEREF _Toc281485670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Certain business names to be registered</w:t>
      </w:r>
      <w:r>
        <w:tab/>
      </w:r>
      <w:r>
        <w:fldChar w:fldCharType="begin"/>
      </w:r>
      <w:r>
        <w:instrText xml:space="preserve"> PAGEREF _Toc281485671 \h </w:instrText>
      </w:r>
      <w:r>
        <w:fldChar w:fldCharType="separate"/>
      </w:r>
      <w:r>
        <w:t>6</w:t>
      </w:r>
      <w:r>
        <w:fldChar w:fldCharType="end"/>
      </w:r>
    </w:p>
    <w:p>
      <w:pPr>
        <w:pStyle w:val="TOC8"/>
        <w:rPr>
          <w:sz w:val="24"/>
          <w:szCs w:val="24"/>
        </w:rPr>
      </w:pPr>
      <w:r>
        <w:rPr>
          <w:szCs w:val="24"/>
        </w:rPr>
        <w:t>5A</w:t>
      </w:r>
      <w:r>
        <w:rPr>
          <w:snapToGrid w:val="0"/>
          <w:szCs w:val="24"/>
        </w:rPr>
        <w:t>.</w:t>
      </w:r>
      <w:r>
        <w:rPr>
          <w:snapToGrid w:val="0"/>
          <w:szCs w:val="24"/>
        </w:rPr>
        <w:tab/>
        <w:t>Leave of District Court required in certain cases before using business name</w:t>
      </w:r>
      <w:r>
        <w:tab/>
      </w:r>
      <w:r>
        <w:fldChar w:fldCharType="begin"/>
      </w:r>
      <w:r>
        <w:instrText xml:space="preserve"> PAGEREF _Toc281485672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Register of business names</w:t>
      </w:r>
      <w:r>
        <w:tab/>
      </w:r>
      <w:r>
        <w:fldChar w:fldCharType="begin"/>
      </w:r>
      <w:r>
        <w:instrText xml:space="preserve"> PAGEREF _Toc281485673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Registration of business names</w:t>
      </w:r>
      <w:r>
        <w:tab/>
      </w:r>
      <w:r>
        <w:fldChar w:fldCharType="begin"/>
      </w:r>
      <w:r>
        <w:instrText xml:space="preserve"> PAGEREF _Toc281485674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Restriction on registration of business names that are undesirable, etc.</w:t>
      </w:r>
      <w:r>
        <w:tab/>
      </w:r>
      <w:r>
        <w:fldChar w:fldCharType="begin"/>
      </w:r>
      <w:r>
        <w:instrText xml:space="preserve"> PAGEREF _Toc281485675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Power to cancel registration of business names that are undesirable, etc.</w:t>
      </w:r>
      <w:r>
        <w:tab/>
      </w:r>
      <w:r>
        <w:fldChar w:fldCharType="begin"/>
      </w:r>
      <w:r>
        <w:instrText xml:space="preserve"> PAGEREF _Toc281485676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Renewal of registration</w:t>
      </w:r>
      <w:r>
        <w:tab/>
      </w:r>
      <w:r>
        <w:fldChar w:fldCharType="begin"/>
      </w:r>
      <w:r>
        <w:instrText xml:space="preserve"> PAGEREF _Toc281485677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Notification of changes of particulars relating to registered business names, cessation of business, etc.</w:t>
      </w:r>
      <w:r>
        <w:tab/>
      </w:r>
      <w:r>
        <w:fldChar w:fldCharType="begin"/>
      </w:r>
      <w:r>
        <w:instrText xml:space="preserve"> PAGEREF _Toc281485678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Duty to furnish information</w:t>
      </w:r>
      <w:r>
        <w:tab/>
      </w:r>
      <w:r>
        <w:fldChar w:fldCharType="begin"/>
      </w:r>
      <w:r>
        <w:instrText xml:space="preserve"> PAGEREF _Toc281485679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Disability of person in default</w:t>
      </w:r>
      <w:r>
        <w:tab/>
      </w:r>
      <w:r>
        <w:fldChar w:fldCharType="begin"/>
      </w:r>
      <w:r>
        <w:instrText xml:space="preserve"> PAGEREF _Toc281485680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Signing of statements</w:t>
      </w:r>
      <w:r>
        <w:tab/>
      </w:r>
      <w:r>
        <w:fldChar w:fldCharType="begin"/>
      </w:r>
      <w:r>
        <w:instrText xml:space="preserve"> PAGEREF _Toc281485681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Verification of particulars</w:t>
      </w:r>
      <w:r>
        <w:tab/>
      </w:r>
      <w:r>
        <w:fldChar w:fldCharType="begin"/>
      </w:r>
      <w:r>
        <w:instrText xml:space="preserve"> PAGEREF _Toc281485682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Penalty for false statement</w:t>
      </w:r>
      <w:r>
        <w:tab/>
      </w:r>
      <w:r>
        <w:fldChar w:fldCharType="begin"/>
      </w:r>
      <w:r>
        <w:instrText xml:space="preserve"> PAGEREF _Toc281485683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Notice of proposed cancellation</w:t>
      </w:r>
      <w:r>
        <w:tab/>
      </w:r>
      <w:r>
        <w:fldChar w:fldCharType="begin"/>
      </w:r>
      <w:r>
        <w:instrText xml:space="preserve"> PAGEREF _Toc281485684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Cancellation of registration</w:t>
      </w:r>
      <w:r>
        <w:tab/>
      </w:r>
      <w:r>
        <w:fldChar w:fldCharType="begin"/>
      </w:r>
      <w:r>
        <w:instrText xml:space="preserve"> PAGEREF _Toc281485685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Use and exhibition of business name</w:t>
      </w:r>
      <w:r>
        <w:tab/>
      </w:r>
      <w:r>
        <w:fldChar w:fldCharType="begin"/>
      </w:r>
      <w:r>
        <w:instrText xml:space="preserve"> PAGEREF _Toc281485686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Commissioner may correct errors in register, etc.</w:t>
      </w:r>
      <w:r>
        <w:tab/>
      </w:r>
      <w:r>
        <w:fldChar w:fldCharType="begin"/>
      </w:r>
      <w:r>
        <w:instrText xml:space="preserve"> PAGEREF _Toc281485687 \h </w:instrText>
      </w:r>
      <w:r>
        <w:fldChar w:fldCharType="separate"/>
      </w:r>
      <w:r>
        <w:t>23</w:t>
      </w:r>
      <w:r>
        <w:fldChar w:fldCharType="end"/>
      </w:r>
    </w:p>
    <w:p>
      <w:pPr>
        <w:pStyle w:val="TOC8"/>
        <w:rPr>
          <w:sz w:val="24"/>
          <w:szCs w:val="24"/>
        </w:rPr>
      </w:pPr>
      <w:r>
        <w:rPr>
          <w:szCs w:val="24"/>
        </w:rPr>
        <w:lastRenderedPageBreak/>
        <w:t>22</w:t>
      </w:r>
      <w:r>
        <w:rPr>
          <w:snapToGrid w:val="0"/>
          <w:szCs w:val="24"/>
        </w:rPr>
        <w:t>.</w:t>
      </w:r>
      <w:r>
        <w:rPr>
          <w:snapToGrid w:val="0"/>
          <w:szCs w:val="24"/>
        </w:rPr>
        <w:tab/>
        <w:t>Inspection of statements</w:t>
      </w:r>
      <w:r>
        <w:tab/>
      </w:r>
      <w:r>
        <w:fldChar w:fldCharType="begin"/>
      </w:r>
      <w:r>
        <w:instrText xml:space="preserve"> PAGEREF _Toc281485688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Certificate of registration or non</w:t>
      </w:r>
      <w:r>
        <w:rPr>
          <w:snapToGrid w:val="0"/>
          <w:szCs w:val="24"/>
        </w:rPr>
        <w:noBreakHyphen/>
        <w:t>registration</w:t>
      </w:r>
      <w:r>
        <w:tab/>
      </w:r>
      <w:r>
        <w:fldChar w:fldCharType="begin"/>
      </w:r>
      <w:r>
        <w:instrText xml:space="preserve"> PAGEREF _Toc281485689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Evidence of registration or non</w:t>
      </w:r>
      <w:r>
        <w:rPr>
          <w:snapToGrid w:val="0"/>
          <w:szCs w:val="24"/>
        </w:rPr>
        <w:noBreakHyphen/>
        <w:t>registration</w:t>
      </w:r>
      <w:r>
        <w:tab/>
      </w:r>
      <w:r>
        <w:fldChar w:fldCharType="begin"/>
      </w:r>
      <w:r>
        <w:instrText xml:space="preserve"> PAGEREF _Toc281485690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Authority of Commissioner to destroy documents and validation</w:t>
      </w:r>
      <w:r>
        <w:tab/>
      </w:r>
      <w:r>
        <w:fldChar w:fldCharType="begin"/>
      </w:r>
      <w:r>
        <w:instrText xml:space="preserve"> PAGEREF _Toc281485691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Invitations to the public to make deposits or loans</w:t>
      </w:r>
      <w:r>
        <w:tab/>
      </w:r>
      <w:r>
        <w:fldChar w:fldCharType="begin"/>
      </w:r>
      <w:r>
        <w:instrText xml:space="preserve"> PAGEREF _Toc281485692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General penalty provisions</w:t>
      </w:r>
      <w:r>
        <w:tab/>
      </w:r>
      <w:r>
        <w:fldChar w:fldCharType="begin"/>
      </w:r>
      <w:r>
        <w:instrText xml:space="preserve"> PAGEREF _Toc281485693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Default penalty</w:t>
      </w:r>
      <w:r>
        <w:tab/>
      </w:r>
      <w:r>
        <w:fldChar w:fldCharType="begin"/>
      </w:r>
      <w:r>
        <w:instrText xml:space="preserve"> PAGEREF _Toc281485694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Offences committed by corporations</w:t>
      </w:r>
      <w:r>
        <w:tab/>
      </w:r>
      <w:r>
        <w:fldChar w:fldCharType="begin"/>
      </w:r>
      <w:r>
        <w:instrText xml:space="preserve"> PAGEREF _Toc281485695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Evidentiary provisions</w:t>
      </w:r>
      <w:r>
        <w:tab/>
      </w:r>
      <w:r>
        <w:fldChar w:fldCharType="begin"/>
      </w:r>
      <w:r>
        <w:instrText xml:space="preserve"> PAGEREF _Toc281485696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As to service of notices</w:t>
      </w:r>
      <w:r>
        <w:tab/>
      </w:r>
      <w:r>
        <w:fldChar w:fldCharType="begin"/>
      </w:r>
      <w:r>
        <w:instrText xml:space="preserve"> PAGEREF _Toc281485697 \h </w:instrText>
      </w:r>
      <w:r>
        <w:fldChar w:fldCharType="separate"/>
      </w:r>
      <w:r>
        <w:t>28</w:t>
      </w:r>
      <w:r>
        <w:fldChar w:fldCharType="end"/>
      </w:r>
    </w:p>
    <w:p>
      <w:pPr>
        <w:pStyle w:val="TOC8"/>
        <w:rPr>
          <w:sz w:val="24"/>
          <w:szCs w:val="24"/>
        </w:rPr>
      </w:pPr>
      <w:r>
        <w:rPr>
          <w:szCs w:val="24"/>
        </w:rPr>
        <w:t>31A.</w:t>
      </w:r>
      <w:r>
        <w:rPr>
          <w:szCs w:val="24"/>
        </w:rPr>
        <w:tab/>
        <w:t>Delegation by Commissioner</w:t>
      </w:r>
      <w:r>
        <w:tab/>
      </w:r>
      <w:r>
        <w:fldChar w:fldCharType="begin"/>
      </w:r>
      <w:r>
        <w:instrText xml:space="preserve"> PAGEREF _Toc281485698 \h </w:instrText>
      </w:r>
      <w:r>
        <w:fldChar w:fldCharType="separate"/>
      </w:r>
      <w:r>
        <w:t>29</w:t>
      </w:r>
      <w:r>
        <w:fldChar w:fldCharType="end"/>
      </w:r>
    </w:p>
    <w:p>
      <w:pPr>
        <w:pStyle w:val="TOC8"/>
        <w:rPr>
          <w:sz w:val="24"/>
          <w:szCs w:val="24"/>
        </w:rPr>
      </w:pPr>
      <w:r>
        <w:rPr>
          <w:szCs w:val="24"/>
        </w:rPr>
        <w:t>31B.</w:t>
      </w:r>
      <w:r>
        <w:rPr>
          <w:szCs w:val="24"/>
        </w:rPr>
        <w:tab/>
        <w:t>Information officially obtained to be confidential</w:t>
      </w:r>
      <w:r>
        <w:tab/>
      </w:r>
      <w:r>
        <w:fldChar w:fldCharType="begin"/>
      </w:r>
      <w:r>
        <w:instrText xml:space="preserve"> PAGEREF _Toc281485699 \h </w:instrText>
      </w:r>
      <w:r>
        <w:fldChar w:fldCharType="separate"/>
      </w:r>
      <w:r>
        <w:t>29</w:t>
      </w:r>
      <w:r>
        <w:fldChar w:fldCharType="end"/>
      </w:r>
    </w:p>
    <w:p>
      <w:pPr>
        <w:pStyle w:val="TOC8"/>
        <w:rPr>
          <w:sz w:val="24"/>
          <w:szCs w:val="24"/>
        </w:rPr>
      </w:pPr>
      <w:r>
        <w:rPr>
          <w:szCs w:val="24"/>
        </w:rPr>
        <w:t>31C.</w:t>
      </w:r>
      <w:r>
        <w:rPr>
          <w:szCs w:val="24"/>
        </w:rPr>
        <w:tab/>
        <w:t>Protection from liability for wrongdoing</w:t>
      </w:r>
      <w:r>
        <w:tab/>
      </w:r>
      <w:r>
        <w:fldChar w:fldCharType="begin"/>
      </w:r>
      <w:r>
        <w:instrText xml:space="preserve"> PAGEREF _Toc281485700 \h </w:instrText>
      </w:r>
      <w:r>
        <w:fldChar w:fldCharType="separate"/>
      </w:r>
      <w:r>
        <w:t>30</w:t>
      </w:r>
      <w:r>
        <w:fldChar w:fldCharType="end"/>
      </w:r>
    </w:p>
    <w:p>
      <w:pPr>
        <w:pStyle w:val="TOC8"/>
        <w:rPr>
          <w:sz w:val="24"/>
          <w:szCs w:val="24"/>
        </w:rPr>
      </w:pPr>
      <w:r>
        <w:rPr>
          <w:szCs w:val="24"/>
        </w:rPr>
        <w:t>31D.</w:t>
      </w:r>
      <w:r>
        <w:rPr>
          <w:szCs w:val="24"/>
        </w:rPr>
        <w:tab/>
        <w:t>Powers of investigation</w:t>
      </w:r>
      <w:r>
        <w:tab/>
      </w:r>
      <w:r>
        <w:fldChar w:fldCharType="begin"/>
      </w:r>
      <w:r>
        <w:instrText xml:space="preserve"> PAGEREF _Toc281485701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_Toc281485702 \h </w:instrText>
      </w:r>
      <w:r>
        <w:fldChar w:fldCharType="separate"/>
      </w:r>
      <w:r>
        <w:t>31</w:t>
      </w:r>
      <w:r>
        <w:fldChar w:fldCharType="end"/>
      </w:r>
    </w:p>
    <w:p>
      <w:pPr>
        <w:pStyle w:val="TOC2"/>
        <w:tabs>
          <w:tab w:val="right" w:leader="dot" w:pos="7086"/>
        </w:tabs>
        <w:rPr>
          <w:b w:val="0"/>
          <w:sz w:val="24"/>
          <w:szCs w:val="24"/>
        </w:rPr>
      </w:pPr>
      <w:r>
        <w:rPr>
          <w:szCs w:val="28"/>
        </w:rPr>
        <w:t>Schedule — Acts repealed</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_Toc281485705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Business Names Act 1962</w:t>
      </w:r>
    </w:p>
    <w:p>
      <w:pPr>
        <w:pStyle w:val="LongTitle"/>
        <w:rPr>
          <w:snapToGrid w:val="0"/>
        </w:rPr>
      </w:pPr>
      <w:r>
        <w:rPr>
          <w:snapToGrid w:val="0"/>
        </w:rPr>
        <w:t>An Act to consolidate and amend the law relating to business names and for other purposes.</w:t>
      </w:r>
    </w:p>
    <w:p>
      <w:pPr>
        <w:pStyle w:val="Heading5"/>
        <w:rPr>
          <w:snapToGrid w:val="0"/>
        </w:rPr>
      </w:pPr>
      <w:bookmarkStart w:id="1" w:name="_Toc455635864"/>
      <w:bookmarkStart w:id="2" w:name="_Toc39468326"/>
      <w:bookmarkStart w:id="3" w:name="_Toc281485665"/>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4" w:name="_Toc455635865"/>
      <w:bookmarkStart w:id="5" w:name="_Toc39468327"/>
      <w:bookmarkStart w:id="6" w:name="_Toc281485666"/>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55635866"/>
      <w:bookmarkStart w:id="8" w:name="_Toc39468328"/>
      <w:bookmarkStart w:id="9" w:name="_Toc281485667"/>
      <w:r>
        <w:rPr>
          <w:rStyle w:val="CharSectno"/>
        </w:rPr>
        <w:t>3</w:t>
      </w:r>
      <w:r>
        <w:rPr>
          <w:snapToGrid w:val="0"/>
        </w:rPr>
        <w:t>.</w:t>
      </w:r>
      <w:r>
        <w:rPr>
          <w:snapToGrid w:val="0"/>
        </w:rPr>
        <w:tab/>
        <w:t>Repeal, and savings and transitional provisions</w:t>
      </w:r>
      <w:bookmarkEnd w:id="7"/>
      <w:bookmarkEnd w:id="8"/>
      <w:bookmarkEnd w:id="9"/>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rPr>
          <w:snapToGrid w:val="0"/>
        </w:rPr>
      </w:pPr>
      <w:bookmarkStart w:id="10" w:name="_Toc455635867"/>
      <w:bookmarkStart w:id="11" w:name="_Toc39468329"/>
      <w:bookmarkStart w:id="12" w:name="_Toc281485668"/>
      <w:r>
        <w:rPr>
          <w:rStyle w:val="CharSectno"/>
        </w:rPr>
        <w:t>4</w:t>
      </w:r>
      <w:r>
        <w:rPr>
          <w:snapToGrid w:val="0"/>
        </w:rPr>
        <w:t>.</w:t>
      </w:r>
      <w:r>
        <w:rPr>
          <w:snapToGrid w:val="0"/>
        </w:rPr>
        <w:tab/>
        <w:t>Interpretation</w:t>
      </w:r>
      <w:bookmarkEnd w:id="10"/>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business</w:t>
      </w:r>
      <w:r>
        <w:t xml:space="preserve"> includes trade and profession;</w:t>
      </w:r>
    </w:p>
    <w:p>
      <w:pPr>
        <w:pStyle w:val="Defstart"/>
      </w:pPr>
      <w:r>
        <w:rPr>
          <w:b/>
        </w:rPr>
        <w:tab/>
      </w:r>
      <w:r>
        <w:rPr>
          <w:rStyle w:val="CharDefText"/>
        </w:rPr>
        <w:t>business name</w:t>
      </w:r>
      <w:r>
        <w:t xml:space="preserve"> means a name, style, title or designation under which a business is carried on;</w:t>
      </w:r>
    </w:p>
    <w:p>
      <w:pPr>
        <w:pStyle w:val="Defstart"/>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rPr>
          <w:b/>
        </w:rPr>
        <w:tab/>
      </w:r>
      <w:r>
        <w:rPr>
          <w:rStyle w:val="CharDefText"/>
        </w:rPr>
        <w:t>christian name</w:t>
      </w:r>
      <w:r>
        <w:t xml:space="preserve"> includes any forename;</w:t>
      </w:r>
    </w:p>
    <w:p>
      <w:pPr>
        <w:pStyle w:val="Defstart"/>
      </w:pPr>
      <w:r>
        <w:tab/>
      </w:r>
      <w:r>
        <w:rPr>
          <w:rStyle w:val="CharDefText"/>
        </w:rPr>
        <w:t>Commissioner</w:t>
      </w:r>
      <w:r>
        <w:t xml:space="preserve"> means the person for the time being designated as the Commissioner under section 4AA;</w:t>
      </w:r>
    </w:p>
    <w:p>
      <w:pPr>
        <w:pStyle w:val="Defstart"/>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xml:space="preserve"> in relation to a corporation, includes any person occupying the position of director of the corporation by whatever name called;</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pPr>
      <w:r>
        <w:rPr>
          <w:b/>
        </w:rPr>
        <w:tab/>
      </w:r>
      <w:r>
        <w:rPr>
          <w:rStyle w:val="CharDefText"/>
        </w:rPr>
        <w:t>individual</w:t>
      </w:r>
      <w:r>
        <w:t xml:space="preserve"> means a natural person and does not include a corporation;</w:t>
      </w:r>
    </w:p>
    <w:p>
      <w:pPr>
        <w:pStyle w:val="Defstart"/>
      </w:pPr>
      <w:r>
        <w:rPr>
          <w:b/>
        </w:rPr>
        <w:tab/>
      </w:r>
      <w:r>
        <w:rPr>
          <w:rStyle w:val="CharDefText"/>
        </w:rPr>
        <w:t>initial</w:t>
      </w:r>
      <w:r>
        <w:t xml:space="preserve"> includes a recognised abbreviation of a christian name;</w:t>
      </w:r>
    </w:p>
    <w:p>
      <w:pPr>
        <w:pStyle w:val="Defstart"/>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w:t>
      </w:r>
    </w:p>
    <w:p>
      <w:pPr>
        <w:pStyle w:val="Indenta"/>
        <w:rPr>
          <w:snapToGrid w:val="0"/>
        </w:rPr>
      </w:pPr>
      <w:r>
        <w:rPr>
          <w:snapToGrid w:val="0"/>
        </w:rPr>
        <w:tab/>
        <w:t>(b)</w:t>
      </w:r>
      <w:r>
        <w:rPr>
          <w:snapToGrid w:val="0"/>
        </w:rPr>
        <w:tab/>
        <w:t>maintains any bank account;</w:t>
      </w:r>
    </w:p>
    <w:p>
      <w:pPr>
        <w:pStyle w:val="Indenta"/>
        <w:rPr>
          <w:snapToGrid w:val="0"/>
        </w:rPr>
      </w:pPr>
      <w:r>
        <w:rPr>
          <w:snapToGrid w:val="0"/>
        </w:rPr>
        <w:tab/>
        <w:t>(c)</w:t>
      </w:r>
      <w:r>
        <w:rPr>
          <w:snapToGrid w:val="0"/>
        </w:rPr>
        <w:tab/>
        <w:t>effects any sale through an independent contractor;</w:t>
      </w:r>
    </w:p>
    <w:p>
      <w:pPr>
        <w:pStyle w:val="Indenta"/>
        <w:rPr>
          <w:snapToGrid w:val="0"/>
        </w:rPr>
      </w:pPr>
      <w:r>
        <w:rPr>
          <w:snapToGrid w:val="0"/>
        </w:rPr>
        <w:tab/>
        <w:t>(d)</w:t>
      </w:r>
      <w:r>
        <w:rPr>
          <w:snapToGrid w:val="0"/>
        </w:rPr>
        <w:tab/>
        <w:t>creates evidence of any debt or creates a charge on real or personal property;</w:t>
      </w:r>
    </w:p>
    <w:p>
      <w:pPr>
        <w:pStyle w:val="Indenta"/>
        <w:rPr>
          <w:snapToGrid w:val="0"/>
        </w:rPr>
      </w:pPr>
      <w:r>
        <w:rPr>
          <w:snapToGrid w:val="0"/>
        </w:rPr>
        <w:tab/>
        <w:t>(e)</w:t>
      </w:r>
      <w:r>
        <w:rPr>
          <w:snapToGrid w:val="0"/>
        </w:rPr>
        <w:tab/>
        <w:t>secures or collects any of his debts or enforces his rights in regard to any securities relating to those debts;</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by No. 40 of 1976 s. 12; No. 10 of 1982 s. 28; No. 10 of 1998 s. 21; No. 20 of 2003 s. 7; No. 28 of 2006 s. 55.]</w:t>
      </w:r>
    </w:p>
    <w:p>
      <w:pPr>
        <w:pStyle w:val="Heading5"/>
      </w:pPr>
      <w:bookmarkStart w:id="13" w:name="_Toc138750722"/>
      <w:bookmarkStart w:id="14" w:name="_Toc139166463"/>
      <w:bookmarkStart w:id="15" w:name="_Toc139266183"/>
      <w:bookmarkStart w:id="16" w:name="_Toc281485669"/>
      <w:bookmarkStart w:id="17" w:name="_Toc455635868"/>
      <w:bookmarkStart w:id="18" w:name="_Toc39468330"/>
      <w:r>
        <w:rPr>
          <w:rStyle w:val="CharSectno"/>
        </w:rPr>
        <w:t>4AA</w:t>
      </w:r>
      <w:r>
        <w:t>.</w:t>
      </w:r>
      <w:r>
        <w:tab/>
        <w:t>Commissioner</w:t>
      </w:r>
      <w:bookmarkEnd w:id="13"/>
      <w:bookmarkEnd w:id="14"/>
      <w:bookmarkEnd w:id="15"/>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4AA inserted by No. 28 of 2006 s. 56.]</w:t>
      </w:r>
    </w:p>
    <w:p>
      <w:pPr>
        <w:pStyle w:val="Heading5"/>
        <w:rPr>
          <w:snapToGrid w:val="0"/>
        </w:rPr>
      </w:pPr>
      <w:bookmarkStart w:id="19" w:name="_Toc281485670"/>
      <w:r>
        <w:rPr>
          <w:rStyle w:val="CharSectno"/>
        </w:rPr>
        <w:t>4A</w:t>
      </w:r>
      <w:r>
        <w:rPr>
          <w:snapToGrid w:val="0"/>
        </w:rPr>
        <w:t>.</w:t>
      </w:r>
      <w:r>
        <w:rPr>
          <w:snapToGrid w:val="0"/>
        </w:rPr>
        <w:tab/>
        <w:t>Arrangements for administration of this Act</w:t>
      </w:r>
      <w:bookmarkEnd w:id="17"/>
      <w:bookmarkEnd w:id="18"/>
      <w:bookmarkEnd w:id="19"/>
    </w:p>
    <w:p>
      <w:pPr>
        <w:pStyle w:val="Subsection"/>
        <w:rPr>
          <w:snapToGrid w:val="0"/>
        </w:rPr>
      </w:pPr>
      <w:r>
        <w:rPr>
          <w:snapToGrid w:val="0"/>
        </w:rPr>
        <w:tab/>
        <w:t>(1)</w:t>
      </w:r>
      <w:r>
        <w:rPr>
          <w:snapToGrid w:val="0"/>
        </w:rPr>
        <w:tab/>
        <w:t xml:space="preserve">The Commissioner may make an arrangement with the Australian Securities </w:t>
      </w:r>
      <w:r>
        <w:t xml:space="preserve">and Investments </w:t>
      </w:r>
      <w:r>
        <w:rPr>
          <w:snapToGrid w:val="0"/>
        </w:rPr>
        <w:t>Commission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the Australian Securities </w:t>
      </w:r>
      <w:r>
        <w:t xml:space="preserve">and Investments </w:t>
      </w:r>
      <w:r>
        <w:rPr>
          <w:snapToGrid w:val="0"/>
        </w:rPr>
        <w:t>Commission;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the Australian Securities </w:t>
      </w:r>
      <w:r>
        <w:t xml:space="preserve">and Investments </w:t>
      </w:r>
      <w:r>
        <w:rPr>
          <w:snapToGrid w:val="0"/>
        </w:rPr>
        <w:t>Commission.</w:t>
      </w:r>
    </w:p>
    <w:p>
      <w:pPr>
        <w:pStyle w:val="Subsection"/>
        <w:rPr>
          <w:snapToGrid w:val="0"/>
        </w:rPr>
      </w:pPr>
      <w:r>
        <w:rPr>
          <w:snapToGrid w:val="0"/>
        </w:rPr>
        <w:tab/>
        <w:t>(3)</w:t>
      </w:r>
      <w:r>
        <w:rPr>
          <w:snapToGrid w:val="0"/>
        </w:rPr>
        <w:tab/>
        <w:t xml:space="preserve">Subject to subsection (4), the Australian Securities </w:t>
      </w:r>
      <w:r>
        <w:t xml:space="preserve">and Investments </w:t>
      </w:r>
      <w:r>
        <w:rPr>
          <w:snapToGrid w:val="0"/>
        </w:rPr>
        <w:t>Commission has the functions and powers of the Commissioner under this Act.</w:t>
      </w:r>
    </w:p>
    <w:p>
      <w:pPr>
        <w:pStyle w:val="Subsection"/>
        <w:rPr>
          <w:snapToGrid w:val="0"/>
        </w:rPr>
      </w:pPr>
      <w:r>
        <w:rPr>
          <w:snapToGrid w:val="0"/>
        </w:rPr>
        <w:tab/>
        <w:t>(4)</w:t>
      </w:r>
      <w:r>
        <w:rPr>
          <w:snapToGrid w:val="0"/>
        </w:rPr>
        <w:tab/>
        <w:t xml:space="preserve">The Australian Securities </w:t>
      </w:r>
      <w:r>
        <w:t xml:space="preserve">and Investments </w:t>
      </w:r>
      <w:r>
        <w:rPr>
          <w:snapToGrid w:val="0"/>
        </w:rPr>
        <w:t>Commission must not perform a function or exercise a power conferred by subsection (3) except in accordance with an arrangement under this section.</w:t>
      </w:r>
    </w:p>
    <w:p>
      <w:pPr>
        <w:pStyle w:val="Footnotesection"/>
      </w:pPr>
      <w:r>
        <w:tab/>
        <w:t>[Section 4A inserted by No. 105 of 1990 s. 98; amended by No. 26 of 1999 s. 64.]</w:t>
      </w:r>
    </w:p>
    <w:p>
      <w:pPr>
        <w:pStyle w:val="Heading5"/>
        <w:rPr>
          <w:snapToGrid w:val="0"/>
        </w:rPr>
      </w:pPr>
      <w:bookmarkStart w:id="20" w:name="_Toc455635869"/>
      <w:bookmarkStart w:id="21" w:name="_Toc39468331"/>
      <w:bookmarkStart w:id="22" w:name="_Toc281485671"/>
      <w:r>
        <w:rPr>
          <w:rStyle w:val="CharSectno"/>
        </w:rPr>
        <w:t>5</w:t>
      </w:r>
      <w:r>
        <w:rPr>
          <w:snapToGrid w:val="0"/>
        </w:rPr>
        <w:t>.</w:t>
      </w:r>
      <w:r>
        <w:rPr>
          <w:snapToGrid w:val="0"/>
        </w:rPr>
        <w:tab/>
        <w:t>Certain business names to be registered</w:t>
      </w:r>
      <w:bookmarkEnd w:id="20"/>
      <w:bookmarkEnd w:id="21"/>
      <w:bookmarkEnd w:id="22"/>
    </w:p>
    <w:p>
      <w:pPr>
        <w:pStyle w:val="Subsection"/>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w:t>
      </w:r>
    </w:p>
    <w:p>
      <w:pPr>
        <w:pStyle w:val="Indenti"/>
        <w:rPr>
          <w:snapToGrid w:val="0"/>
        </w:rPr>
      </w:pPr>
      <w:r>
        <w:rPr>
          <w:snapToGrid w:val="0"/>
        </w:rPr>
        <w:tab/>
        <w:t>(ii)</w:t>
      </w:r>
      <w:r>
        <w:rPr>
          <w:snapToGrid w:val="0"/>
        </w:rPr>
        <w:tab/>
        <w:t>the initial or initials of his christian name or names;</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by No. 113 of 1965 s. 8; No. 40 of 1976 s. 3.]</w:t>
      </w:r>
    </w:p>
    <w:p>
      <w:pPr>
        <w:pStyle w:val="Heading5"/>
        <w:spacing w:before="260"/>
        <w:rPr>
          <w:snapToGrid w:val="0"/>
        </w:rPr>
      </w:pPr>
      <w:bookmarkStart w:id="23" w:name="_Toc455635870"/>
      <w:bookmarkStart w:id="24" w:name="_Toc39468332"/>
      <w:bookmarkStart w:id="25" w:name="_Toc281485672"/>
      <w:r>
        <w:rPr>
          <w:rStyle w:val="CharSectno"/>
        </w:rPr>
        <w:t>5A</w:t>
      </w:r>
      <w:r>
        <w:rPr>
          <w:snapToGrid w:val="0"/>
        </w:rPr>
        <w:t>.</w:t>
      </w:r>
      <w:r>
        <w:rPr>
          <w:snapToGrid w:val="0"/>
        </w:rPr>
        <w:tab/>
        <w:t>Leave of District Court required in certain cases before using business name</w:t>
      </w:r>
      <w:bookmarkEnd w:id="23"/>
      <w:bookmarkEnd w:id="24"/>
      <w:bookmarkEnd w:id="25"/>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(Western Australia) Code</w:t>
      </w:r>
      <w:r>
        <w:rPr>
          <w:kern w:val="2"/>
        </w:rPr>
        <w:t xml:space="preserve">, section 44 of the </w:t>
      </w:r>
      <w:r>
        <w:rPr>
          <w:i/>
          <w:kern w:val="2"/>
        </w:rPr>
        <w:t>Companies (Acquisition of Shares) (Western Australia) Code</w:t>
      </w:r>
      <w:r>
        <w:rPr>
          <w:kern w:val="2"/>
        </w:rPr>
        <w:t xml:space="preserve"> or section 129 of the </w:t>
      </w:r>
      <w:r>
        <w:rPr>
          <w:i/>
          <w:kern w:val="2"/>
        </w:rPr>
        <w:t>Securities Industry (Western Australia) Code</w:t>
      </w:r>
      <w:r>
        <w:rPr>
          <w:kern w:val="2"/>
        </w:rPr>
        <w:t>;</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by No. 40 of 1976 s. 4; amended by No. 10 of 1982 s. 28; No. 20 of 2003 s. 8; No. 50 of 2003 s. 41(2).]</w:t>
      </w:r>
    </w:p>
    <w:p>
      <w:pPr>
        <w:pStyle w:val="Heading5"/>
        <w:rPr>
          <w:snapToGrid w:val="0"/>
        </w:rPr>
      </w:pPr>
      <w:bookmarkStart w:id="26" w:name="_Toc455635871"/>
      <w:bookmarkStart w:id="27" w:name="_Toc39468333"/>
      <w:bookmarkStart w:id="28" w:name="_Toc281485673"/>
      <w:r>
        <w:rPr>
          <w:rStyle w:val="CharSectno"/>
        </w:rPr>
        <w:t>6</w:t>
      </w:r>
      <w:r>
        <w:rPr>
          <w:snapToGrid w:val="0"/>
        </w:rPr>
        <w:t>.</w:t>
      </w:r>
      <w:r>
        <w:rPr>
          <w:snapToGrid w:val="0"/>
        </w:rPr>
        <w:tab/>
        <w:t>Register of business names</w:t>
      </w:r>
      <w:bookmarkEnd w:id="26"/>
      <w:bookmarkEnd w:id="27"/>
      <w:bookmarkEnd w:id="28"/>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by No. 40 of 1976 s. 12.]</w:t>
      </w:r>
    </w:p>
    <w:p>
      <w:pPr>
        <w:pStyle w:val="Heading5"/>
        <w:rPr>
          <w:snapToGrid w:val="0"/>
        </w:rPr>
      </w:pPr>
      <w:bookmarkStart w:id="29" w:name="_Toc455635872"/>
      <w:bookmarkStart w:id="30" w:name="_Toc39468334"/>
      <w:bookmarkStart w:id="31" w:name="_Toc281485674"/>
      <w:r>
        <w:rPr>
          <w:rStyle w:val="CharSectno"/>
        </w:rPr>
        <w:t>7</w:t>
      </w:r>
      <w:r>
        <w:rPr>
          <w:snapToGrid w:val="0"/>
        </w:rPr>
        <w:t>.</w:t>
      </w:r>
      <w:r>
        <w:rPr>
          <w:snapToGrid w:val="0"/>
        </w:rPr>
        <w:tab/>
        <w:t>Registration of business names</w:t>
      </w:r>
      <w:bookmarkEnd w:id="29"/>
      <w:bookmarkEnd w:id="30"/>
      <w:bookmarkEnd w:id="31"/>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w:t>
      </w:r>
    </w:p>
    <w:p>
      <w:pPr>
        <w:pStyle w:val="Indenta"/>
      </w:pPr>
      <w:r>
        <w:tab/>
        <w:t>(ca)</w:t>
      </w:r>
      <w:r>
        <w:tab/>
        <w:t>the address of the place in the State where a notice given under this Act may be served;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Subject to this Act, the Commissioner shall, upon the lodging of a statement under subsection (1) in relation to a business name, register the business name.</w:t>
      </w:r>
    </w:p>
    <w:p>
      <w:pPr>
        <w:pStyle w:val="Subsection"/>
        <w:rPr>
          <w:snapToGrid w:val="0"/>
        </w:rPr>
      </w:pPr>
      <w:r>
        <w:rPr>
          <w:snapToGrid w:val="0"/>
        </w:rPr>
        <w:tab/>
        <w:t>(4)</w:t>
      </w:r>
      <w:r>
        <w:rPr>
          <w:snapToGrid w:val="0"/>
        </w:rPr>
        <w:tab/>
        <w:t>The Commissioner shall, upon registering a business name, issue a certificate of registration in the prescribed form signed by the Commissioner.</w:t>
      </w:r>
    </w:p>
    <w:p>
      <w:pPr>
        <w:pStyle w:val="Subsection"/>
        <w:rPr>
          <w:snapToGrid w:val="0"/>
        </w:rPr>
      </w:pPr>
      <w:r>
        <w:rPr>
          <w:snapToGrid w:val="0"/>
        </w:rPr>
        <w:tab/>
        <w:t>(5)(a)</w:t>
      </w:r>
      <w:r>
        <w:rPr>
          <w:snapToGrid w:val="0"/>
        </w:rPr>
        <w:tab/>
        <w:t>The Commissioner may upon payment of the prescribed fee issue a further certificate of registration.</w:t>
      </w:r>
    </w:p>
    <w:p>
      <w:pPr>
        <w:pStyle w:val="Subsection"/>
        <w:rPr>
          <w:snapToGrid w:val="0"/>
        </w:rPr>
      </w:pPr>
      <w:r>
        <w:rPr>
          <w:snapToGrid w:val="0"/>
        </w:rPr>
        <w:tab/>
        <w:t>(b)</w:t>
      </w:r>
      <w:r>
        <w:rPr>
          <w:snapToGrid w:val="0"/>
        </w:rPr>
        <w:tab/>
        <w:t>Where the Commissioner is duly notified in accordance with section 12(1) of particulars of a change occurring in relation to the place or places in the State at which a business is carried on under a business name registered under this Act or in the address of any such place, the Commissioner shall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by No. 40 of 1976 s. 12; No. 74 of 2003 s. 31(2) and (3).]</w:t>
      </w:r>
    </w:p>
    <w:p>
      <w:pPr>
        <w:pStyle w:val="Ednotesection"/>
      </w:pPr>
      <w:bookmarkStart w:id="32" w:name="_Toc455635874"/>
      <w:bookmarkStart w:id="33" w:name="_Toc39468336"/>
      <w:r>
        <w:t>[</w:t>
      </w:r>
      <w:r>
        <w:rPr>
          <w:b/>
        </w:rPr>
        <w:t>8.</w:t>
      </w:r>
      <w:r>
        <w:tab/>
        <w:t>Deleted by No. 74 of 2003 s. 31(4).]</w:t>
      </w:r>
    </w:p>
    <w:p>
      <w:pPr>
        <w:pStyle w:val="Heading5"/>
        <w:rPr>
          <w:snapToGrid w:val="0"/>
        </w:rPr>
      </w:pPr>
      <w:bookmarkStart w:id="34" w:name="_Toc281485675"/>
      <w:r>
        <w:rPr>
          <w:rStyle w:val="CharSectno"/>
        </w:rPr>
        <w:t>9</w:t>
      </w:r>
      <w:r>
        <w:rPr>
          <w:snapToGrid w:val="0"/>
        </w:rPr>
        <w:t>.</w:t>
      </w:r>
      <w:r>
        <w:rPr>
          <w:snapToGrid w:val="0"/>
        </w:rPr>
        <w:tab/>
        <w:t>Restriction on registration of business names that are undesirable, etc.</w:t>
      </w:r>
      <w:bookmarkEnd w:id="32"/>
      <w:bookmarkEnd w:id="33"/>
      <w:bookmarkEnd w:id="34"/>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by No. 40 of 1976 s. 12; No. 74 of 2003 s. 31(5).]</w:t>
      </w:r>
    </w:p>
    <w:p>
      <w:pPr>
        <w:pStyle w:val="Heading5"/>
        <w:rPr>
          <w:snapToGrid w:val="0"/>
        </w:rPr>
      </w:pPr>
      <w:bookmarkStart w:id="35" w:name="_Toc455635875"/>
      <w:bookmarkStart w:id="36" w:name="_Toc39468337"/>
      <w:bookmarkStart w:id="37" w:name="_Toc281485676"/>
      <w:r>
        <w:rPr>
          <w:rStyle w:val="CharSectno"/>
        </w:rPr>
        <w:t>10</w:t>
      </w:r>
      <w:r>
        <w:rPr>
          <w:snapToGrid w:val="0"/>
        </w:rPr>
        <w:t>.</w:t>
      </w:r>
      <w:r>
        <w:rPr>
          <w:snapToGrid w:val="0"/>
        </w:rPr>
        <w:tab/>
        <w:t>Power to cancel registration of business names that are undesirable, etc.</w:t>
      </w:r>
      <w:bookmarkEnd w:id="35"/>
      <w:bookmarkEnd w:id="36"/>
      <w:bookmarkEnd w:id="37"/>
    </w:p>
    <w:p>
      <w:pPr>
        <w:pStyle w:val="Subsection"/>
        <w:rPr>
          <w:snapToGrid w:val="0"/>
        </w:rPr>
      </w:pPr>
      <w:r>
        <w:rPr>
          <w:snapToGrid w:val="0"/>
        </w:rPr>
        <w:tab/>
        <w:t>(1)</w:t>
      </w:r>
      <w:r>
        <w:rPr>
          <w:snapToGrid w:val="0"/>
        </w:rPr>
        <w:tab/>
        <w:t>If a business name, that could not be registered under this Act without contravention of section 9(1), is registered through inadvertence or otherwise, the Commissioner may send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t>and upon the expiration of that period the Commissioner may cancel the registration of that name.</w:t>
      </w:r>
    </w:p>
    <w:p>
      <w:pPr>
        <w:pStyle w:val="Subsection"/>
        <w:rPr>
          <w:snapToGrid w:val="0"/>
        </w:rPr>
      </w:pPr>
      <w:r>
        <w:rPr>
          <w:snapToGrid w:val="0"/>
        </w:rPr>
        <w:tab/>
        <w:t>(2)</w:t>
      </w:r>
      <w:r>
        <w:rPr>
          <w:snapToGrid w:val="0"/>
        </w:rPr>
        <w:tab/>
        <w:t>The Commissioner shall not, except with the approval of the Minister, exercise his powers under subsection (1) 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The Commissioner may remit any fee payable in respect of an application for the registration of a new business name the registration of which is cancelled under subsection (1).</w:t>
      </w:r>
    </w:p>
    <w:p>
      <w:pPr>
        <w:pStyle w:val="Footnotesection"/>
      </w:pPr>
      <w:r>
        <w:tab/>
        <w:t>[Section 10 amended by No. 40 of 1976 s. 12.]</w:t>
      </w:r>
    </w:p>
    <w:p>
      <w:pPr>
        <w:pStyle w:val="Heading5"/>
        <w:rPr>
          <w:snapToGrid w:val="0"/>
        </w:rPr>
      </w:pPr>
      <w:bookmarkStart w:id="38" w:name="_Toc455635876"/>
      <w:bookmarkStart w:id="39" w:name="_Toc39468338"/>
      <w:bookmarkStart w:id="40" w:name="_Toc281485677"/>
      <w:r>
        <w:rPr>
          <w:rStyle w:val="CharSectno"/>
        </w:rPr>
        <w:t>11</w:t>
      </w:r>
      <w:r>
        <w:rPr>
          <w:snapToGrid w:val="0"/>
        </w:rPr>
        <w:t>.</w:t>
      </w:r>
      <w:r>
        <w:rPr>
          <w:snapToGrid w:val="0"/>
        </w:rPr>
        <w:tab/>
        <w:t>Renewal of registration</w:t>
      </w:r>
      <w:bookmarkEnd w:id="38"/>
      <w:bookmarkEnd w:id="39"/>
      <w:bookmarkEnd w:id="40"/>
    </w:p>
    <w:p>
      <w:pPr>
        <w:pStyle w:val="Subsection"/>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pPr>
      <w:r>
        <w:tab/>
        <w:t>(1a)</w:t>
      </w:r>
      <w:r>
        <w:tab/>
        <w:t>If, and to the extent that, the fee referred to in subsection (1) is a tax, this subsection imposes the tax.</w:t>
      </w:r>
    </w:p>
    <w:p>
      <w:pPr>
        <w:pStyle w:val="Subsection"/>
        <w:rPr>
          <w:snapToGrid w:val="0"/>
        </w:rPr>
      </w:pPr>
      <w:r>
        <w:rPr>
          <w:snapToGrid w:val="0"/>
        </w:rPr>
        <w:tab/>
        <w:t>(2)</w:t>
      </w:r>
      <w:r>
        <w:rPr>
          <w:snapToGrid w:val="0"/>
        </w:rPr>
        <w:tab/>
        <w:t>The renewal of a registration shall be deemed to have been effected for a further period of 3 years as from the day on which the previous registration expires or has expired, as the case may be.</w:t>
      </w:r>
    </w:p>
    <w:p>
      <w:pPr>
        <w:pStyle w:val="Subsection"/>
        <w:rPr>
          <w:snapToGrid w:val="0"/>
        </w:rPr>
      </w:pPr>
      <w:r>
        <w:rPr>
          <w:snapToGrid w:val="0"/>
        </w:rPr>
        <w:tab/>
        <w:t>(3)</w:t>
      </w:r>
      <w:r>
        <w:rPr>
          <w:snapToGrid w:val="0"/>
        </w:rPr>
        <w:tab/>
        <w:t>The Commissioner shall before or after the expiration of the registration of a business name, but not earlier than one month before the expiration,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by No. 40 of 1976 s. 5 and 12; No. 63 of 2003 s. 4.]</w:t>
      </w:r>
    </w:p>
    <w:p>
      <w:pPr>
        <w:pStyle w:val="Heading5"/>
        <w:rPr>
          <w:snapToGrid w:val="0"/>
        </w:rPr>
      </w:pPr>
      <w:bookmarkStart w:id="41" w:name="_Toc455635877"/>
      <w:bookmarkStart w:id="42" w:name="_Toc39468339"/>
      <w:bookmarkStart w:id="43" w:name="_Toc281485678"/>
      <w:r>
        <w:rPr>
          <w:rStyle w:val="CharSectno"/>
        </w:rPr>
        <w:t>12</w:t>
      </w:r>
      <w:r>
        <w:rPr>
          <w:snapToGrid w:val="0"/>
        </w:rPr>
        <w:t>.</w:t>
      </w:r>
      <w:r>
        <w:rPr>
          <w:snapToGrid w:val="0"/>
        </w:rPr>
        <w:tab/>
        <w:t>Notification of changes of particulars relating to registered business names, cessation of business, etc.</w:t>
      </w:r>
      <w:bookmarkEnd w:id="41"/>
      <w:bookmarkEnd w:id="42"/>
      <w:bookmarkEnd w:id="43"/>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Ednotesubsection"/>
      </w:pPr>
      <w:r>
        <w:tab/>
        <w:t>[(5)-(7)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by No. 113 of 1965 s. 8; No. 40 of 1976 s. 6 and 12; No. 74 of 2003 s. 31(6)-(9).]</w:t>
      </w:r>
    </w:p>
    <w:p>
      <w:pPr>
        <w:pStyle w:val="Heading5"/>
        <w:rPr>
          <w:snapToGrid w:val="0"/>
        </w:rPr>
      </w:pPr>
      <w:bookmarkStart w:id="44" w:name="_Toc455635878"/>
      <w:bookmarkStart w:id="45" w:name="_Toc39468340"/>
      <w:bookmarkStart w:id="46" w:name="_Toc281485679"/>
      <w:r>
        <w:rPr>
          <w:rStyle w:val="CharSectno"/>
        </w:rPr>
        <w:t>13</w:t>
      </w:r>
      <w:r>
        <w:rPr>
          <w:snapToGrid w:val="0"/>
        </w:rPr>
        <w:t>.</w:t>
      </w:r>
      <w:r>
        <w:rPr>
          <w:snapToGrid w:val="0"/>
        </w:rPr>
        <w:tab/>
        <w:t>Duty to furnish information</w:t>
      </w:r>
      <w:bookmarkEnd w:id="44"/>
      <w:bookmarkEnd w:id="45"/>
      <w:bookmarkEnd w:id="46"/>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keepNex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by No. 113 of 1965 s. 8; No. 40 of 1976 s. 12.]</w:t>
      </w:r>
    </w:p>
    <w:p>
      <w:pPr>
        <w:pStyle w:val="Heading5"/>
        <w:rPr>
          <w:snapToGrid w:val="0"/>
        </w:rPr>
      </w:pPr>
      <w:bookmarkStart w:id="47" w:name="_Toc455635879"/>
      <w:bookmarkStart w:id="48" w:name="_Toc39468341"/>
      <w:bookmarkStart w:id="49" w:name="_Toc281485680"/>
      <w:r>
        <w:rPr>
          <w:rStyle w:val="CharSectno"/>
        </w:rPr>
        <w:t>14</w:t>
      </w:r>
      <w:r>
        <w:rPr>
          <w:snapToGrid w:val="0"/>
        </w:rPr>
        <w:t>.</w:t>
      </w:r>
      <w:r>
        <w:rPr>
          <w:snapToGrid w:val="0"/>
        </w:rPr>
        <w:tab/>
        <w:t>Disability of person in default</w:t>
      </w:r>
      <w:bookmarkEnd w:id="47"/>
      <w:bookmarkEnd w:id="48"/>
      <w:bookmarkEnd w:id="49"/>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Magistrates Court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by No. 40 of 1976 s. 7; No. 55 of 2004 s. 90; No. 59 of 2004 s. 141.]</w:t>
      </w:r>
    </w:p>
    <w:p>
      <w:pPr>
        <w:pStyle w:val="Heading5"/>
        <w:rPr>
          <w:snapToGrid w:val="0"/>
        </w:rPr>
      </w:pPr>
      <w:bookmarkStart w:id="50" w:name="_Toc455635880"/>
      <w:bookmarkStart w:id="51" w:name="_Toc39468342"/>
      <w:bookmarkStart w:id="52" w:name="_Toc281485681"/>
      <w:r>
        <w:rPr>
          <w:rStyle w:val="CharSectno"/>
        </w:rPr>
        <w:t>15</w:t>
      </w:r>
      <w:r>
        <w:rPr>
          <w:snapToGrid w:val="0"/>
        </w:rPr>
        <w:t>.</w:t>
      </w:r>
      <w:r>
        <w:rPr>
          <w:snapToGrid w:val="0"/>
        </w:rPr>
        <w:tab/>
        <w:t>Signing of statements</w:t>
      </w:r>
      <w:bookmarkEnd w:id="50"/>
      <w:bookmarkEnd w:id="51"/>
      <w:bookmarkEnd w:id="52"/>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by No. 40 of 1976 s. 12.]</w:t>
      </w:r>
    </w:p>
    <w:p>
      <w:pPr>
        <w:pStyle w:val="Heading5"/>
        <w:rPr>
          <w:snapToGrid w:val="0"/>
        </w:rPr>
      </w:pPr>
      <w:bookmarkStart w:id="53" w:name="_Toc455635881"/>
      <w:bookmarkStart w:id="54" w:name="_Toc39468343"/>
      <w:bookmarkStart w:id="55" w:name="_Toc281485682"/>
      <w:r>
        <w:rPr>
          <w:rStyle w:val="CharSectno"/>
        </w:rPr>
        <w:t>16</w:t>
      </w:r>
      <w:r>
        <w:rPr>
          <w:snapToGrid w:val="0"/>
        </w:rPr>
        <w:t>.</w:t>
      </w:r>
      <w:r>
        <w:rPr>
          <w:snapToGrid w:val="0"/>
        </w:rPr>
        <w:tab/>
        <w:t>Verification of particulars</w:t>
      </w:r>
      <w:bookmarkEnd w:id="53"/>
      <w:bookmarkEnd w:id="54"/>
      <w:bookmarkEnd w:id="55"/>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by No. 40 of 1976 s. 12.]</w:t>
      </w:r>
    </w:p>
    <w:p>
      <w:pPr>
        <w:pStyle w:val="Heading5"/>
        <w:rPr>
          <w:snapToGrid w:val="0"/>
        </w:rPr>
      </w:pPr>
      <w:bookmarkStart w:id="56" w:name="_Toc455635882"/>
      <w:bookmarkStart w:id="57" w:name="_Toc39468344"/>
      <w:bookmarkStart w:id="58" w:name="_Toc281485683"/>
      <w:r>
        <w:rPr>
          <w:rStyle w:val="CharSectno"/>
        </w:rPr>
        <w:t>17</w:t>
      </w:r>
      <w:r>
        <w:rPr>
          <w:snapToGrid w:val="0"/>
        </w:rPr>
        <w:t>.</w:t>
      </w:r>
      <w:r>
        <w:rPr>
          <w:snapToGrid w:val="0"/>
        </w:rPr>
        <w:tab/>
        <w:t>Penalty for false statement</w:t>
      </w:r>
      <w:bookmarkEnd w:id="56"/>
      <w:bookmarkEnd w:id="57"/>
      <w:bookmarkEnd w:id="58"/>
    </w:p>
    <w:p>
      <w:pPr>
        <w:pStyle w:val="Subsection"/>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rPr>
          <w:snapToGrid w:val="0"/>
        </w:rPr>
      </w:pPr>
      <w:r>
        <w:rPr>
          <w:snapToGrid w:val="0"/>
        </w:rPr>
        <w:tab/>
        <w:t>Penalty: $1 000.</w:t>
      </w:r>
    </w:p>
    <w:p>
      <w:pPr>
        <w:pStyle w:val="Footnotesection"/>
      </w:pPr>
      <w:r>
        <w:tab/>
        <w:t>[Section 17 amended by No. 113 of 1965 s. 8; No. 40 of 1976 s. 12; No. 78 of 1995 s. 147.]</w:t>
      </w:r>
    </w:p>
    <w:p>
      <w:pPr>
        <w:pStyle w:val="Heading5"/>
        <w:rPr>
          <w:snapToGrid w:val="0"/>
        </w:rPr>
      </w:pPr>
      <w:bookmarkStart w:id="59" w:name="_Toc455635883"/>
      <w:bookmarkStart w:id="60" w:name="_Toc39468345"/>
      <w:bookmarkStart w:id="61" w:name="_Toc281485684"/>
      <w:r>
        <w:rPr>
          <w:rStyle w:val="CharSectno"/>
        </w:rPr>
        <w:t>18</w:t>
      </w:r>
      <w:r>
        <w:rPr>
          <w:snapToGrid w:val="0"/>
        </w:rPr>
        <w:t>.</w:t>
      </w:r>
      <w:r>
        <w:rPr>
          <w:snapToGrid w:val="0"/>
        </w:rPr>
        <w:tab/>
        <w:t>Notice of proposed cancellation</w:t>
      </w:r>
      <w:bookmarkEnd w:id="59"/>
      <w:bookmarkEnd w:id="60"/>
      <w:bookmarkEnd w:id="61"/>
    </w:p>
    <w:p>
      <w:pPr>
        <w:pStyle w:val="Subsection"/>
        <w:rPr>
          <w:snapToGrid w:val="0"/>
        </w:rPr>
      </w:pPr>
      <w:r>
        <w:rPr>
          <w:snapToGrid w:val="0"/>
        </w:rPr>
        <w:tab/>
        <w:t>(1)</w:t>
      </w:r>
      <w:r>
        <w:rPr>
          <w:snapToGrid w:val="0"/>
        </w:rPr>
        <w:tab/>
        <w:t>Where the Commissioner has reasonable cause to believe that a person or persons, in relation to whom a business name is registered under this Act, is not or are not carrying on business in the State under that name, he may send by post a notice addressed to the person or persons at the place shown in the register as the place where business is carried on under that name —</w:t>
      </w:r>
    </w:p>
    <w:p>
      <w:pPr>
        <w:pStyle w:val="Indenta"/>
        <w:spacing w:before="120"/>
        <w:rPr>
          <w:snapToGrid w:val="0"/>
        </w:rPr>
      </w:pPr>
      <w:r>
        <w:rPr>
          <w:snapToGrid w:val="0"/>
        </w:rPr>
        <w:tab/>
        <w:t>(a)</w:t>
      </w:r>
      <w:r>
        <w:rPr>
          <w:snapToGrid w:val="0"/>
        </w:rPr>
        <w:tab/>
        <w:t>enquiring whether the person is or the persons are carrying on business under the name; and</w:t>
      </w:r>
    </w:p>
    <w:p>
      <w:pPr>
        <w:pStyle w:val="Indenta"/>
        <w:spacing w:before="12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rPr>
          <w:snapToGrid w:val="0"/>
        </w:rPr>
      </w:pPr>
      <w:r>
        <w:rPr>
          <w:snapToGrid w:val="0"/>
        </w:rPr>
        <w:tab/>
      </w:r>
      <w:r>
        <w:rPr>
          <w:snapToGrid w:val="0"/>
        </w:rPr>
        <w:tab/>
        <w:t>the registration of the business name may be cancelled.</w:t>
      </w:r>
    </w:p>
    <w:p>
      <w:pPr>
        <w:pStyle w:val="Subsection"/>
        <w:rPr>
          <w:snapToGrid w:val="0"/>
        </w:rPr>
      </w:pPr>
      <w:r>
        <w:rPr>
          <w:snapToGrid w:val="0"/>
        </w:rPr>
        <w:tab/>
        <w:t>(2)</w:t>
      </w:r>
      <w:r>
        <w:rPr>
          <w:snapToGrid w:val="0"/>
        </w:rPr>
        <w:tab/>
      </w:r>
      <w:r>
        <w:rPr>
          <w:snapToGrid w:val="0"/>
          <w:spacing w:val="-4"/>
        </w:rPr>
        <w:t>Where the Commissioner has reasonable cause to believe that any provision of section 12 that is required to be complied with by or on behalf of the person or persons in relation to whom a business name is registered under this Act has not been complied with, he may send by post a notice addressed to the person or persons at the place shown in the register as the place where business is carried on under that name stating that unless —</w:t>
      </w:r>
    </w:p>
    <w:p>
      <w:pPr>
        <w:pStyle w:val="Indenta"/>
        <w:spacing w:before="12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by No. 40 of 1976 s. 12.]</w:t>
      </w:r>
    </w:p>
    <w:p>
      <w:pPr>
        <w:pStyle w:val="Heading5"/>
        <w:rPr>
          <w:snapToGrid w:val="0"/>
        </w:rPr>
      </w:pPr>
      <w:bookmarkStart w:id="62" w:name="_Toc455635884"/>
      <w:bookmarkStart w:id="63" w:name="_Toc39468346"/>
      <w:bookmarkStart w:id="64" w:name="_Toc281485685"/>
      <w:r>
        <w:rPr>
          <w:rStyle w:val="CharSectno"/>
        </w:rPr>
        <w:t>19</w:t>
      </w:r>
      <w:r>
        <w:rPr>
          <w:snapToGrid w:val="0"/>
        </w:rPr>
        <w:t>.</w:t>
      </w:r>
      <w:r>
        <w:rPr>
          <w:snapToGrid w:val="0"/>
        </w:rPr>
        <w:tab/>
        <w:t>Cancellation of registration</w:t>
      </w:r>
      <w:bookmarkEnd w:id="62"/>
      <w:bookmarkEnd w:id="63"/>
      <w:bookmarkEnd w:id="64"/>
    </w:p>
    <w:p>
      <w:pPr>
        <w:pStyle w:val="Subsection"/>
        <w:rPr>
          <w:snapToGrid w:val="0"/>
        </w:rPr>
      </w:pPr>
      <w:r>
        <w:rPr>
          <w:snapToGrid w:val="0"/>
        </w:rPr>
        <w:tab/>
        <w:t>(1)</w:t>
      </w:r>
      <w:r>
        <w:rPr>
          <w:snapToGrid w:val="0"/>
        </w:rPr>
        <w:tab/>
        <w:t>The Commissioner may cancel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rPr>
          <w:snapToGrid w:val="0"/>
        </w:rPr>
      </w:pPr>
      <w:r>
        <w:rPr>
          <w:snapToGrid w:val="0"/>
        </w:rPr>
        <w:tab/>
        <w:t>(2)</w:t>
      </w:r>
      <w:r>
        <w:rPr>
          <w:snapToGrid w:val="0"/>
        </w:rPr>
        <w:tab/>
        <w:t>The Commissioner may on any grounds that he thinks sufficient revoke any cancellation by him 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Where the registration of a business name has been cancelled under this section, a person in relation to whom the business name was registered immediately before the cancellation may apply to the</w:t>
      </w:r>
      <w:r>
        <w:t xml:space="preserve"> State</w:t>
      </w:r>
      <w:r>
        <w:rPr>
          <w:snapToGrid w:val="0"/>
        </w:rPr>
        <w:t xml:space="preserve"> Administrative Tribunal for a review of the Commissioner’s decision to cancel the registration of the business name.</w:t>
      </w:r>
    </w:p>
    <w:p>
      <w:pPr>
        <w:pStyle w:val="Subsection"/>
        <w:rPr>
          <w:snapToGrid w:val="0"/>
        </w:rPr>
      </w:pPr>
      <w:r>
        <w:rPr>
          <w:snapToGrid w:val="0"/>
        </w:rPr>
        <w:tab/>
        <w:t>(4)</w:t>
      </w:r>
      <w:r>
        <w:rPr>
          <w:snapToGrid w:val="0"/>
        </w:rPr>
        <w:tab/>
        <w:t>The time within which the application may be made is unlimited.</w:t>
      </w:r>
    </w:p>
    <w:p>
      <w:pPr>
        <w:pStyle w:val="Subsection"/>
        <w:rPr>
          <w:snapToGrid w:val="0"/>
        </w:rPr>
      </w:pPr>
      <w:r>
        <w:rPr>
          <w:snapToGrid w:val="0"/>
        </w:rPr>
        <w:tab/>
        <w:t>(5)</w:t>
      </w:r>
      <w:r>
        <w:rPr>
          <w:snapToGrid w:val="0"/>
        </w:rPr>
        <w:tab/>
        <w:t>If the State Administrative Tribunal sets aside the Commissioner’s decision to cancel the registration of the business name, the business name shall be deemed to have continued to be registered as if the registration has not been cancelled and the Commissioner, upon the lodging with him of an office copy of the order, shall make such entries and alterations in the register as he considers necessary for the purposes of the order.</w:t>
      </w:r>
    </w:p>
    <w:p>
      <w:pPr>
        <w:pStyle w:val="Footnotesection"/>
        <w:keepNext/>
      </w:pPr>
      <w:r>
        <w:tab/>
        <w:t>[Section 19 amended by No. 40 of 1976 s. 12; No. 10 of 1982 s. 28; No. 20 of 2003 s. 9; No. 55 of 2004 s. 91.]</w:t>
      </w:r>
    </w:p>
    <w:p>
      <w:pPr>
        <w:pStyle w:val="Heading5"/>
        <w:spacing w:before="180"/>
        <w:rPr>
          <w:snapToGrid w:val="0"/>
        </w:rPr>
      </w:pPr>
      <w:bookmarkStart w:id="65" w:name="_Toc455635885"/>
      <w:bookmarkStart w:id="66" w:name="_Toc39468347"/>
      <w:bookmarkStart w:id="67" w:name="_Toc281485686"/>
      <w:r>
        <w:rPr>
          <w:rStyle w:val="CharSectno"/>
        </w:rPr>
        <w:t>20</w:t>
      </w:r>
      <w:r>
        <w:rPr>
          <w:snapToGrid w:val="0"/>
        </w:rPr>
        <w:t>.</w:t>
      </w:r>
      <w:r>
        <w:rPr>
          <w:snapToGrid w:val="0"/>
        </w:rPr>
        <w:tab/>
        <w:t>Use and exhibition of business name</w:t>
      </w:r>
      <w:bookmarkEnd w:id="65"/>
      <w:bookmarkEnd w:id="66"/>
      <w:bookmarkEnd w:id="67"/>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by No. 113 of 1965 s. 8.]</w:t>
      </w:r>
    </w:p>
    <w:p>
      <w:pPr>
        <w:pStyle w:val="Heading5"/>
        <w:rPr>
          <w:snapToGrid w:val="0"/>
        </w:rPr>
      </w:pPr>
      <w:bookmarkStart w:id="68" w:name="_Toc455635886"/>
      <w:bookmarkStart w:id="69" w:name="_Toc39468348"/>
      <w:bookmarkStart w:id="70" w:name="_Toc281485687"/>
      <w:r>
        <w:rPr>
          <w:rStyle w:val="CharSectno"/>
        </w:rPr>
        <w:t>21</w:t>
      </w:r>
      <w:r>
        <w:rPr>
          <w:snapToGrid w:val="0"/>
        </w:rPr>
        <w:t>.</w:t>
      </w:r>
      <w:r>
        <w:rPr>
          <w:snapToGrid w:val="0"/>
        </w:rPr>
        <w:tab/>
        <w:t>Commissioner may correct errors in register, etc.</w:t>
      </w:r>
      <w:bookmarkEnd w:id="68"/>
      <w:bookmarkEnd w:id="69"/>
      <w:bookmarkEnd w:id="70"/>
    </w:p>
    <w:p>
      <w:pPr>
        <w:pStyle w:val="Subsection"/>
        <w:rPr>
          <w:snapToGrid w:val="0"/>
        </w:rPr>
      </w:pPr>
      <w:r>
        <w:rPr>
          <w:snapToGrid w:val="0"/>
        </w:rPr>
        <w:tab/>
        <w:t>(1)</w:t>
      </w:r>
      <w:r>
        <w:rPr>
          <w:snapToGrid w:val="0"/>
        </w:rPr>
        <w:tab/>
        <w:t>The Commissioner may 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The Commissioner may 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by No. 40 of 1976 s. 12.]</w:t>
      </w:r>
    </w:p>
    <w:p>
      <w:pPr>
        <w:pStyle w:val="Heading5"/>
        <w:rPr>
          <w:snapToGrid w:val="0"/>
        </w:rPr>
      </w:pPr>
      <w:bookmarkStart w:id="71" w:name="_Toc455635887"/>
      <w:bookmarkStart w:id="72" w:name="_Toc39468349"/>
      <w:bookmarkStart w:id="73" w:name="_Toc281485688"/>
      <w:r>
        <w:rPr>
          <w:rStyle w:val="CharSectno"/>
        </w:rPr>
        <w:t>22</w:t>
      </w:r>
      <w:r>
        <w:rPr>
          <w:snapToGrid w:val="0"/>
        </w:rPr>
        <w:t>.</w:t>
      </w:r>
      <w:r>
        <w:rPr>
          <w:snapToGrid w:val="0"/>
        </w:rPr>
        <w:tab/>
        <w:t>Inspection of statements</w:t>
      </w:r>
      <w:bookmarkEnd w:id="71"/>
      <w:bookmarkEnd w:id="72"/>
      <w:bookmarkEnd w:id="73"/>
    </w:p>
    <w:p>
      <w:pPr>
        <w:pStyle w:val="Subsection"/>
        <w:rPr>
          <w:snapToGrid w:val="0"/>
        </w:rPr>
      </w:pPr>
      <w:r>
        <w:rPr>
          <w:snapToGrid w:val="0"/>
        </w:rPr>
        <w:tab/>
      </w:r>
      <w:r>
        <w:rPr>
          <w:snapToGrid w:val="0"/>
        </w:rPr>
        <w:tab/>
        <w:t>A person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by No. 40 of 1976 s. 6.]</w:t>
      </w:r>
    </w:p>
    <w:p>
      <w:pPr>
        <w:pStyle w:val="Heading5"/>
        <w:rPr>
          <w:snapToGrid w:val="0"/>
        </w:rPr>
      </w:pPr>
      <w:bookmarkStart w:id="74" w:name="_Toc455635888"/>
      <w:bookmarkStart w:id="75" w:name="_Toc39468350"/>
      <w:bookmarkStart w:id="76" w:name="_Toc281485689"/>
      <w:r>
        <w:rPr>
          <w:rStyle w:val="CharSectno"/>
        </w:rPr>
        <w:t>23</w:t>
      </w:r>
      <w:r>
        <w:rPr>
          <w:snapToGrid w:val="0"/>
        </w:rPr>
        <w:t>.</w:t>
      </w:r>
      <w:r>
        <w:rPr>
          <w:snapToGrid w:val="0"/>
        </w:rPr>
        <w:tab/>
        <w:t>Certificate of registration or non</w:t>
      </w:r>
      <w:r>
        <w:rPr>
          <w:snapToGrid w:val="0"/>
        </w:rPr>
        <w:noBreakHyphen/>
        <w:t>registration</w:t>
      </w:r>
      <w:bookmarkEnd w:id="74"/>
      <w:bookmarkEnd w:id="75"/>
      <w:bookmarkEnd w:id="76"/>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by No. 40 of 1976 s. 12.]</w:t>
      </w:r>
    </w:p>
    <w:p>
      <w:pPr>
        <w:pStyle w:val="Heading5"/>
        <w:rPr>
          <w:snapToGrid w:val="0"/>
        </w:rPr>
      </w:pPr>
      <w:bookmarkStart w:id="77" w:name="_Toc455635889"/>
      <w:bookmarkStart w:id="78" w:name="_Toc39468351"/>
      <w:bookmarkStart w:id="79" w:name="_Toc281485690"/>
      <w:r>
        <w:rPr>
          <w:rStyle w:val="CharSectno"/>
        </w:rPr>
        <w:t>24</w:t>
      </w:r>
      <w:r>
        <w:rPr>
          <w:snapToGrid w:val="0"/>
        </w:rPr>
        <w:t>.</w:t>
      </w:r>
      <w:r>
        <w:rPr>
          <w:snapToGrid w:val="0"/>
        </w:rPr>
        <w:tab/>
        <w:t>Evidence of registration or non</w:t>
      </w:r>
      <w:r>
        <w:rPr>
          <w:snapToGrid w:val="0"/>
        </w:rPr>
        <w:noBreakHyphen/>
        <w:t>registration</w:t>
      </w:r>
      <w:bookmarkEnd w:id="77"/>
      <w:bookmarkEnd w:id="78"/>
      <w:bookmarkEnd w:id="79"/>
    </w:p>
    <w:p>
      <w:pPr>
        <w:pStyle w:val="Subsection"/>
        <w:rPr>
          <w:snapToGrid w:val="0"/>
        </w:rPr>
      </w:pPr>
      <w:r>
        <w:rPr>
          <w:snapToGrid w:val="0"/>
        </w:rPr>
        <w:tab/>
      </w:r>
      <w:r>
        <w:rPr>
          <w:snapToGrid w:val="0"/>
        </w:rPr>
        <w:tab/>
        <w:t>A document purporting to be —</w:t>
      </w:r>
    </w:p>
    <w:p>
      <w:pPr>
        <w:pStyle w:val="Indenta"/>
        <w:rPr>
          <w:snapToGrid w:val="0"/>
        </w:rPr>
      </w:pPr>
      <w:r>
        <w:rPr>
          <w:snapToGrid w:val="0"/>
        </w:rPr>
        <w:tab/>
        <w:t>(a)</w:t>
      </w:r>
      <w:r>
        <w:rPr>
          <w:snapToGrid w:val="0"/>
        </w:rPr>
        <w:tab/>
        <w:t>a certificate of registration issued under this Act;</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Heading5"/>
        <w:rPr>
          <w:snapToGrid w:val="0"/>
        </w:rPr>
      </w:pPr>
      <w:bookmarkStart w:id="80" w:name="_Toc455635890"/>
      <w:bookmarkStart w:id="81" w:name="_Toc39468352"/>
      <w:bookmarkStart w:id="82" w:name="_Toc281485691"/>
      <w:r>
        <w:rPr>
          <w:rStyle w:val="CharSectno"/>
        </w:rPr>
        <w:t>25</w:t>
      </w:r>
      <w:r>
        <w:rPr>
          <w:snapToGrid w:val="0"/>
        </w:rPr>
        <w:t>.</w:t>
      </w:r>
      <w:r>
        <w:rPr>
          <w:snapToGrid w:val="0"/>
        </w:rPr>
        <w:tab/>
        <w:t>Authority of Commissioner to destroy documents and validation</w:t>
      </w:r>
      <w:bookmarkEnd w:id="80"/>
      <w:bookmarkEnd w:id="81"/>
      <w:bookmarkEnd w:id="82"/>
    </w:p>
    <w:p>
      <w:pPr>
        <w:pStyle w:val="Subsection"/>
        <w:rPr>
          <w:snapToGrid w:val="0"/>
        </w:rPr>
      </w:pPr>
      <w:r>
        <w:rPr>
          <w:snapToGrid w:val="0"/>
        </w:rPr>
        <w:tab/>
      </w:r>
      <w:r>
        <w:rPr>
          <w:snapToGrid w:val="0"/>
        </w:rPr>
        <w:tab/>
        <w:t>The Commissioner may, if in his opinion it is no longer necessary or desirable to retain them, destroy or give to the State Library of Western Australia any statement or notice lodged, filed, received or registered under this Act or under any corresponding previous enactment where the registration of the business name or of the firm, individual or corporation, as the case may be, in respect of which the statement or notice was lodged, filed, received or registered has not been in force at any time during the preceding 12 years or which in any case has been lodged for a period of 21 years or more.</w:t>
      </w:r>
    </w:p>
    <w:p>
      <w:pPr>
        <w:pStyle w:val="Footnotesection"/>
      </w:pPr>
      <w:r>
        <w:tab/>
        <w:t>[Section 25 amended by No. 40 of 1976 s. 8 and 12.]</w:t>
      </w:r>
    </w:p>
    <w:p>
      <w:pPr>
        <w:pStyle w:val="Heading5"/>
        <w:spacing w:before="180"/>
        <w:rPr>
          <w:snapToGrid w:val="0"/>
        </w:rPr>
      </w:pPr>
      <w:bookmarkStart w:id="83" w:name="_Toc455635891"/>
      <w:bookmarkStart w:id="84" w:name="_Toc39468353"/>
      <w:bookmarkStart w:id="85" w:name="_Toc281485692"/>
      <w:r>
        <w:rPr>
          <w:rStyle w:val="CharSectno"/>
        </w:rPr>
        <w:t>26</w:t>
      </w:r>
      <w:r>
        <w:rPr>
          <w:snapToGrid w:val="0"/>
        </w:rPr>
        <w:t>.</w:t>
      </w:r>
      <w:r>
        <w:rPr>
          <w:snapToGrid w:val="0"/>
        </w:rPr>
        <w:tab/>
        <w:t>Invitations to the public to make deposits or loans</w:t>
      </w:r>
      <w:bookmarkEnd w:id="83"/>
      <w:bookmarkEnd w:id="84"/>
      <w:bookmarkEnd w:id="85"/>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by No. 113 of 1965 s. 8; No. 40 of 1976 s. 9; No. 10 of 1982 s. 28; No. 48 of 1983 s. 2; No. 20 of 2003 s. 10.]</w:t>
      </w:r>
    </w:p>
    <w:p>
      <w:pPr>
        <w:pStyle w:val="Heading5"/>
        <w:spacing w:before="180"/>
        <w:rPr>
          <w:snapToGrid w:val="0"/>
        </w:rPr>
      </w:pPr>
      <w:bookmarkStart w:id="86" w:name="_Toc455635892"/>
      <w:bookmarkStart w:id="87" w:name="_Toc39468354"/>
      <w:bookmarkStart w:id="88" w:name="_Toc281485693"/>
      <w:r>
        <w:rPr>
          <w:rStyle w:val="CharSectno"/>
        </w:rPr>
        <w:t>27</w:t>
      </w:r>
      <w:r>
        <w:rPr>
          <w:snapToGrid w:val="0"/>
        </w:rPr>
        <w:t>.</w:t>
      </w:r>
      <w:r>
        <w:rPr>
          <w:snapToGrid w:val="0"/>
        </w:rPr>
        <w:tab/>
        <w:t>General penalty provisions</w:t>
      </w:r>
      <w:bookmarkEnd w:id="86"/>
      <w:bookmarkEnd w:id="87"/>
      <w:bookmarkEnd w:id="8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does that which by or under this Act he is forbidden to do;</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89" w:name="_Toc455635893"/>
      <w:bookmarkStart w:id="90" w:name="_Toc39468355"/>
      <w:bookmarkStart w:id="91" w:name="_Toc281485694"/>
      <w:r>
        <w:rPr>
          <w:rStyle w:val="CharSectno"/>
        </w:rPr>
        <w:t>28</w:t>
      </w:r>
      <w:r>
        <w:rPr>
          <w:snapToGrid w:val="0"/>
        </w:rPr>
        <w:t>.</w:t>
      </w:r>
      <w:r>
        <w:rPr>
          <w:snapToGrid w:val="0"/>
        </w:rPr>
        <w:tab/>
        <w:t>Default penalty</w:t>
      </w:r>
      <w:bookmarkEnd w:id="89"/>
      <w:bookmarkEnd w:id="90"/>
      <w:bookmarkEnd w:id="91"/>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Notwithstanding anything contained in any Act, proceedings for any offence against this Act may be brought within the period of 3 years after the commission of the alleged offence or, with the consent of the Minister, at any later time.</w:t>
      </w:r>
    </w:p>
    <w:p>
      <w:pPr>
        <w:pStyle w:val="Footnotesection"/>
      </w:pPr>
      <w:r>
        <w:tab/>
        <w:t>[Section 28 amended by No. 113 of 1965 s. 8; No. 40 of 1976 s. 10.]</w:t>
      </w:r>
    </w:p>
    <w:p>
      <w:pPr>
        <w:pStyle w:val="Heading5"/>
        <w:rPr>
          <w:snapToGrid w:val="0"/>
        </w:rPr>
      </w:pPr>
      <w:bookmarkStart w:id="92" w:name="_Toc455635894"/>
      <w:bookmarkStart w:id="93" w:name="_Toc39468356"/>
      <w:bookmarkStart w:id="94" w:name="_Toc281485695"/>
      <w:r>
        <w:rPr>
          <w:rStyle w:val="CharSectno"/>
        </w:rPr>
        <w:t>29</w:t>
      </w:r>
      <w:r>
        <w:rPr>
          <w:snapToGrid w:val="0"/>
        </w:rPr>
        <w:t>.</w:t>
      </w:r>
      <w:r>
        <w:rPr>
          <w:snapToGrid w:val="0"/>
        </w:rPr>
        <w:tab/>
        <w:t>Offences committed by corporations</w:t>
      </w:r>
      <w:bookmarkEnd w:id="92"/>
      <w:bookmarkEnd w:id="93"/>
      <w:bookmarkEnd w:id="94"/>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95" w:name="_Toc455635895"/>
      <w:bookmarkStart w:id="96" w:name="_Toc39468357"/>
      <w:bookmarkStart w:id="97" w:name="_Toc281485696"/>
      <w:r>
        <w:rPr>
          <w:rStyle w:val="CharSectno"/>
        </w:rPr>
        <w:t>30</w:t>
      </w:r>
      <w:r>
        <w:rPr>
          <w:snapToGrid w:val="0"/>
        </w:rPr>
        <w:t>.</w:t>
      </w:r>
      <w:r>
        <w:rPr>
          <w:snapToGrid w:val="0"/>
        </w:rPr>
        <w:tab/>
        <w:t>Evidentiary provisions</w:t>
      </w:r>
      <w:bookmarkEnd w:id="95"/>
      <w:bookmarkEnd w:id="96"/>
      <w:bookmarkEnd w:id="97"/>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98" w:name="_Toc455635896"/>
      <w:bookmarkStart w:id="99" w:name="_Toc39468358"/>
      <w:bookmarkStart w:id="100" w:name="_Toc281485697"/>
      <w:r>
        <w:rPr>
          <w:rStyle w:val="CharSectno"/>
        </w:rPr>
        <w:t>31</w:t>
      </w:r>
      <w:r>
        <w:rPr>
          <w:snapToGrid w:val="0"/>
        </w:rPr>
        <w:t>.</w:t>
      </w:r>
      <w:r>
        <w:rPr>
          <w:snapToGrid w:val="0"/>
        </w:rPr>
        <w:tab/>
        <w:t>As to service of notices</w:t>
      </w:r>
      <w:bookmarkEnd w:id="98"/>
      <w:bookmarkEnd w:id="99"/>
      <w:bookmarkEnd w:id="100"/>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by No. 40 of 1976 s. 12; No. 74 of 2003 s. 31(10).]</w:t>
      </w:r>
    </w:p>
    <w:p>
      <w:pPr>
        <w:pStyle w:val="Heading5"/>
      </w:pPr>
      <w:bookmarkStart w:id="101" w:name="_Toc138750724"/>
      <w:bookmarkStart w:id="102" w:name="_Toc139166465"/>
      <w:bookmarkStart w:id="103" w:name="_Toc139266185"/>
      <w:bookmarkStart w:id="104" w:name="_Toc281485698"/>
      <w:bookmarkStart w:id="105" w:name="_Toc455635897"/>
      <w:bookmarkStart w:id="106" w:name="_Toc39468359"/>
      <w:r>
        <w:rPr>
          <w:rStyle w:val="CharSectno"/>
        </w:rPr>
        <w:t>31A</w:t>
      </w:r>
      <w:r>
        <w:t>.</w:t>
      </w:r>
      <w:r>
        <w:tab/>
        <w:t>Delegation by Commissioner</w:t>
      </w:r>
      <w:bookmarkEnd w:id="101"/>
      <w:bookmarkEnd w:id="102"/>
      <w:bookmarkEnd w:id="103"/>
      <w:bookmarkEnd w:id="104"/>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107" w:name="_Toc138750725"/>
      <w:bookmarkStart w:id="108" w:name="_Toc139166466"/>
      <w:bookmarkStart w:id="109" w:name="_Toc139266186"/>
      <w:r>
        <w:tab/>
        <w:t>[Section 31A inserted by No. 28 of 2006 s. 57.]</w:t>
      </w:r>
    </w:p>
    <w:p>
      <w:pPr>
        <w:pStyle w:val="Heading5"/>
      </w:pPr>
      <w:bookmarkStart w:id="110" w:name="_Toc281485699"/>
      <w:r>
        <w:rPr>
          <w:rStyle w:val="CharSectno"/>
        </w:rPr>
        <w:t>31B</w:t>
      </w:r>
      <w:r>
        <w:t>.</w:t>
      </w:r>
      <w:r>
        <w:tab/>
        <w:t>Information officially obtained to be confidential</w:t>
      </w:r>
      <w:bookmarkEnd w:id="107"/>
      <w:bookmarkEnd w:id="108"/>
      <w:bookmarkEnd w:id="109"/>
      <w:bookmarkEnd w:id="11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11" w:name="_Toc138750726"/>
      <w:bookmarkStart w:id="112" w:name="_Toc139166467"/>
      <w:bookmarkStart w:id="113" w:name="_Toc139266187"/>
      <w:r>
        <w:tab/>
        <w:t>[Section 31B inserted by No. 28 of 2006 s. 57.]</w:t>
      </w:r>
    </w:p>
    <w:p>
      <w:pPr>
        <w:pStyle w:val="Heading5"/>
      </w:pPr>
      <w:bookmarkStart w:id="114" w:name="_Toc281485700"/>
      <w:r>
        <w:rPr>
          <w:rStyle w:val="CharSectno"/>
        </w:rPr>
        <w:t>31C</w:t>
      </w:r>
      <w:r>
        <w:t>.</w:t>
      </w:r>
      <w:r>
        <w:tab/>
        <w:t>Protection from liability for wrongdoing</w:t>
      </w:r>
      <w:bookmarkEnd w:id="111"/>
      <w:bookmarkEnd w:id="112"/>
      <w:bookmarkEnd w:id="113"/>
      <w:bookmarkEnd w:id="11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5" w:name="_Toc138750727"/>
      <w:bookmarkStart w:id="116" w:name="_Toc139166468"/>
      <w:bookmarkStart w:id="117" w:name="_Toc139266188"/>
      <w:r>
        <w:tab/>
        <w:t>[Section 31C inserted by No. 28 of 2006 s. 57.]</w:t>
      </w:r>
    </w:p>
    <w:p>
      <w:pPr>
        <w:pStyle w:val="Heading5"/>
      </w:pPr>
      <w:bookmarkStart w:id="118" w:name="_Toc281466476"/>
      <w:bookmarkStart w:id="119" w:name="_Toc281485701"/>
      <w:bookmarkEnd w:id="115"/>
      <w:bookmarkEnd w:id="116"/>
      <w:bookmarkEnd w:id="117"/>
      <w:r>
        <w:rPr>
          <w:rStyle w:val="CharSectno"/>
        </w:rPr>
        <w:t>31D</w:t>
      </w:r>
      <w:r>
        <w:t>.</w:t>
      </w:r>
      <w:r>
        <w:tab/>
        <w:t>Powers of investigation</w:t>
      </w:r>
      <w:bookmarkEnd w:id="118"/>
      <w:bookmarkEnd w:id="119"/>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31D inserted by No. 58 of 2010 s. 185.]</w:t>
      </w:r>
    </w:p>
    <w:p>
      <w:pPr>
        <w:pStyle w:val="Heading5"/>
        <w:spacing w:before="180"/>
        <w:rPr>
          <w:snapToGrid w:val="0"/>
        </w:rPr>
      </w:pPr>
      <w:bookmarkStart w:id="120" w:name="_Toc281485702"/>
      <w:r>
        <w:rPr>
          <w:rStyle w:val="CharSectno"/>
        </w:rPr>
        <w:t>32</w:t>
      </w:r>
      <w:r>
        <w:rPr>
          <w:snapToGrid w:val="0"/>
        </w:rPr>
        <w:t>.</w:t>
      </w:r>
      <w:r>
        <w:rPr>
          <w:snapToGrid w:val="0"/>
        </w:rPr>
        <w:tab/>
        <w:t>Regulations</w:t>
      </w:r>
      <w:bookmarkEnd w:id="105"/>
      <w:bookmarkEnd w:id="106"/>
      <w:bookmarkEnd w:id="120"/>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w:t>
      </w:r>
    </w:p>
    <w:p>
      <w:pPr>
        <w:pStyle w:val="Indenta"/>
        <w:rPr>
          <w:snapToGrid w:val="0"/>
        </w:rPr>
      </w:pPr>
      <w:r>
        <w:rPr>
          <w:snapToGrid w:val="0"/>
        </w:rPr>
        <w:tab/>
        <w:t>(b)</w:t>
      </w:r>
      <w:r>
        <w:rPr>
          <w:snapToGrid w:val="0"/>
        </w:rPr>
        <w:tab/>
        <w:t>the conditions under and subject to which fees may be waived by the Commissioner or the Minister;</w:t>
      </w:r>
    </w:p>
    <w:p>
      <w:pPr>
        <w:pStyle w:val="Indenta"/>
        <w:rPr>
          <w:snapToGrid w:val="0"/>
        </w:rPr>
      </w:pPr>
      <w:r>
        <w:rPr>
          <w:snapToGrid w:val="0"/>
        </w:rPr>
        <w:tab/>
        <w:t>(c)</w:t>
      </w:r>
      <w:r>
        <w:rPr>
          <w:snapToGrid w:val="0"/>
        </w:rPr>
        <w:tab/>
        <w:t>the imposition of additional fees on the late lodgment of documents;</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tab/>
        <w:t>[Section 32 amended by No. 113 of 1965 s. 8; No. 40 of 1976 s. 11 and 12; No. 48 of 1983 s. 3.]</w:t>
      </w:r>
    </w:p>
    <w:p>
      <w:pPr>
        <w:pStyle w:val="yScheduleHeading"/>
      </w:pPr>
      <w:bookmarkStart w:id="121" w:name="_Toc117059024"/>
      <w:bookmarkStart w:id="122" w:name="_Toc117300649"/>
      <w:bookmarkStart w:id="123" w:name="_Toc117660403"/>
      <w:bookmarkStart w:id="124" w:name="_Toc139343201"/>
      <w:bookmarkStart w:id="125" w:name="_Toc139441604"/>
      <w:bookmarkStart w:id="126" w:name="_Toc268178104"/>
      <w:bookmarkStart w:id="127" w:name="_Toc272046720"/>
      <w:bookmarkStart w:id="128" w:name="_Toc280091873"/>
      <w:bookmarkStart w:id="129" w:name="_Toc281485703"/>
      <w:r>
        <w:rPr>
          <w:rStyle w:val="CharSchNo"/>
        </w:rPr>
        <w:t>Schedule</w:t>
      </w:r>
      <w:bookmarkEnd w:id="121"/>
      <w:bookmarkEnd w:id="122"/>
      <w:bookmarkEnd w:id="123"/>
      <w:bookmarkEnd w:id="124"/>
      <w:bookmarkEnd w:id="125"/>
      <w:r>
        <w:t> — </w:t>
      </w:r>
      <w:r>
        <w:rPr>
          <w:rStyle w:val="CharSchText"/>
        </w:rPr>
        <w:t>Acts repealed</w:t>
      </w:r>
      <w:bookmarkEnd w:id="126"/>
      <w:bookmarkEnd w:id="127"/>
      <w:bookmarkEnd w:id="128"/>
      <w:bookmarkEnd w:id="129"/>
    </w:p>
    <w:p>
      <w:pPr>
        <w:pStyle w:val="yShoulderClause"/>
      </w:pPr>
      <w:r>
        <w:t>[s. 3(1)]</w:t>
      </w:r>
    </w:p>
    <w:p>
      <w:pPr>
        <w:pStyle w:val="yFootnoteheading"/>
      </w:pPr>
      <w:r>
        <w:tab/>
        <w:t>[Heading amended by No. 19 of 2010 s. 4.]</w:t>
      </w:r>
    </w:p>
    <w:tbl>
      <w:tblPr>
        <w:tblW w:w="0" w:type="auto"/>
        <w:tblInd w:w="425"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1226"/>
        <w:gridCol w:w="3685"/>
        <w:gridCol w:w="1681"/>
      </w:tblGrid>
      <w:tr>
        <w:tc>
          <w:tcPr>
            <w:tcW w:w="1226" w:type="dxa"/>
          </w:tcPr>
          <w:p>
            <w:pPr>
              <w:pStyle w:val="YTable"/>
              <w:spacing w:after="60"/>
              <w:rPr>
                <w:b/>
                <w:sz w:val="20"/>
              </w:rPr>
            </w:pPr>
            <w:r>
              <w:rPr>
                <w:b/>
                <w:sz w:val="20"/>
              </w:rPr>
              <w:t>Number of Act</w:t>
            </w:r>
          </w:p>
        </w:tc>
        <w:tc>
          <w:tcPr>
            <w:tcW w:w="3685" w:type="dxa"/>
          </w:tcPr>
          <w:p>
            <w:pPr>
              <w:pStyle w:val="YTable"/>
              <w:spacing w:after="60"/>
              <w:rPr>
                <w:b/>
                <w:sz w:val="20"/>
              </w:rPr>
            </w:pPr>
            <w:r>
              <w:rPr>
                <w:b/>
                <w:sz w:val="20"/>
              </w:rPr>
              <w:t>Title of Act</w:t>
            </w:r>
          </w:p>
        </w:tc>
        <w:tc>
          <w:tcPr>
            <w:tcW w:w="1681" w:type="dxa"/>
          </w:tcPr>
          <w:p>
            <w:pPr>
              <w:pStyle w:val="YTable"/>
              <w:spacing w:after="60"/>
              <w:rPr>
                <w:b/>
                <w:sz w:val="20"/>
              </w:rPr>
            </w:pPr>
            <w:r>
              <w:rPr>
                <w:b/>
                <w:sz w:val="20"/>
              </w:rPr>
              <w:t>Extent of Repeal</w:t>
            </w:r>
          </w:p>
        </w:tc>
      </w:tr>
      <w:tr>
        <w:trPr>
          <w:cantSplit/>
          <w:trHeight w:val="614"/>
        </w:trPr>
        <w:tc>
          <w:tcPr>
            <w:tcW w:w="1226" w:type="dxa"/>
          </w:tcPr>
          <w:p>
            <w:pPr>
              <w:pStyle w:val="YTable"/>
              <w:rPr>
                <w:sz w:val="20"/>
              </w:rPr>
            </w:pPr>
            <w:r>
              <w:rPr>
                <w:sz w:val="20"/>
              </w:rPr>
              <w:t>2 of 1943</w:t>
            </w:r>
          </w:p>
          <w:p>
            <w:pPr>
              <w:pStyle w:val="YTable"/>
              <w:rPr>
                <w:sz w:val="20"/>
              </w:rPr>
            </w:pPr>
            <w:r>
              <w:rPr>
                <w:sz w:val="20"/>
              </w:rPr>
              <w:t>11 of 1946</w:t>
            </w:r>
          </w:p>
        </w:tc>
        <w:tc>
          <w:tcPr>
            <w:tcW w:w="3685" w:type="dxa"/>
          </w:tcPr>
          <w:p>
            <w:pPr>
              <w:pStyle w:val="YTable"/>
              <w:rPr>
                <w:sz w:val="20"/>
              </w:rPr>
            </w:pPr>
            <w:r>
              <w:rPr>
                <w:i/>
                <w:sz w:val="20"/>
              </w:rPr>
              <w:t>Business Names Act 1942</w:t>
            </w:r>
          </w:p>
          <w:p>
            <w:pPr>
              <w:pStyle w:val="YTable"/>
              <w:rPr>
                <w:sz w:val="20"/>
              </w:rPr>
            </w:pPr>
            <w:r>
              <w:rPr>
                <w:i/>
                <w:sz w:val="20"/>
              </w:rPr>
              <w:t>Business Names Act Amendment Act 1946</w:t>
            </w:r>
          </w:p>
        </w:tc>
        <w:tc>
          <w:tcPr>
            <w:tcW w:w="1681" w:type="dxa"/>
          </w:tcPr>
          <w:p>
            <w:pPr>
              <w:pStyle w:val="YTable"/>
              <w:rPr>
                <w:sz w:val="20"/>
              </w:rPr>
            </w:pPr>
            <w:r>
              <w:rPr>
                <w:sz w:val="20"/>
              </w:rPr>
              <w:t>The whole.</w:t>
            </w:r>
          </w:p>
          <w:p>
            <w:pPr>
              <w:pStyle w:val="YTable"/>
              <w:rPr>
                <w:sz w:val="20"/>
              </w:rPr>
            </w:pPr>
            <w:r>
              <w:rPr>
                <w:sz w:val="20"/>
              </w:rPr>
              <w:t>The whole.</w:t>
            </w:r>
          </w:p>
        </w:tc>
      </w:tr>
    </w:tbl>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30" w:name="_Toc72570557"/>
      <w:bookmarkStart w:id="131" w:name="_Toc89236281"/>
      <w:bookmarkStart w:id="132" w:name="_Toc92443787"/>
      <w:bookmarkStart w:id="133" w:name="_Toc101930291"/>
      <w:bookmarkStart w:id="134" w:name="_Toc116795841"/>
      <w:bookmarkStart w:id="135" w:name="_Toc117059025"/>
      <w:bookmarkStart w:id="136" w:name="_Toc117300650"/>
      <w:bookmarkStart w:id="137" w:name="_Toc117660404"/>
      <w:bookmarkStart w:id="138" w:name="_Toc139343202"/>
      <w:bookmarkStart w:id="139" w:name="_Toc139441605"/>
      <w:bookmarkStart w:id="140" w:name="_Toc268178105"/>
      <w:bookmarkStart w:id="141" w:name="_Toc272046721"/>
      <w:bookmarkStart w:id="142" w:name="_Toc280091874"/>
      <w:bookmarkStart w:id="143" w:name="_Toc281485704"/>
      <w:r>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 w:name="UpToHere"/>
      <w:bookmarkStart w:id="145" w:name="_Toc281485705"/>
      <w:bookmarkEnd w:id="144"/>
      <w:r>
        <w:rPr>
          <w:snapToGrid w:val="0"/>
        </w:rPr>
        <w:t>Compilation table</w:t>
      </w:r>
      <w:bookmarkEnd w:id="14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Business Names Act 1962</w:t>
            </w:r>
          </w:p>
        </w:tc>
        <w:tc>
          <w:tcPr>
            <w:tcW w:w="1139" w:type="dxa"/>
            <w:tcBorders>
              <w:top w:val="single" w:sz="8" w:space="0" w:color="auto"/>
            </w:tcBorders>
          </w:tcPr>
          <w:p>
            <w:pPr>
              <w:pStyle w:val="nTable"/>
              <w:spacing w:after="40"/>
              <w:rPr>
                <w:sz w:val="19"/>
              </w:rPr>
            </w:pPr>
            <w:r>
              <w:rPr>
                <w:sz w:val="19"/>
              </w:rPr>
              <w:t>8 of 1962</w:t>
            </w:r>
          </w:p>
        </w:tc>
        <w:tc>
          <w:tcPr>
            <w:tcW w:w="1136" w:type="dxa"/>
            <w:tcBorders>
              <w:top w:val="single" w:sz="8" w:space="0" w:color="auto"/>
            </w:tcBorders>
          </w:tcPr>
          <w:p>
            <w:pPr>
              <w:pStyle w:val="nTable"/>
              <w:spacing w:after="40"/>
              <w:rPr>
                <w:sz w:val="19"/>
              </w:rPr>
            </w:pPr>
            <w:r>
              <w:rPr>
                <w:sz w:val="19"/>
              </w:rPr>
              <w:t>27 Sep 1962</w:t>
            </w:r>
          </w:p>
        </w:tc>
        <w:tc>
          <w:tcPr>
            <w:tcW w:w="2572" w:type="dxa"/>
            <w:tcBorders>
              <w:top w:val="single" w:sz="8" w:space="0" w:color="auto"/>
            </w:tcBorders>
          </w:tcPr>
          <w:p>
            <w:pPr>
              <w:pStyle w:val="nTable"/>
              <w:spacing w:after="40"/>
              <w:rPr>
                <w:sz w:val="19"/>
              </w:rPr>
            </w:pPr>
            <w:r>
              <w:rPr>
                <w:sz w:val="19"/>
              </w:rPr>
              <w:t xml:space="preserve">12 Oct 1962 (see s. 2 and </w:t>
            </w:r>
            <w:r>
              <w:rPr>
                <w:i/>
                <w:sz w:val="19"/>
              </w:rPr>
              <w:t>Gazette</w:t>
            </w:r>
            <w:r>
              <w:rPr>
                <w:sz w:val="19"/>
              </w:rPr>
              <w:t xml:space="preserve"> 12 Oct 1962 p. 3366)</w:t>
            </w:r>
          </w:p>
        </w:tc>
      </w:tr>
      <w:tr>
        <w:trPr>
          <w:cantSplit/>
        </w:trPr>
        <w:tc>
          <w:tcPr>
            <w:tcW w:w="2278" w:type="dxa"/>
          </w:tcPr>
          <w:p>
            <w:pPr>
              <w:pStyle w:val="nTable"/>
              <w:spacing w:after="40"/>
              <w:ind w:right="113"/>
              <w:rPr>
                <w:i/>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2" w:type="dxa"/>
          </w:tcPr>
          <w:p>
            <w:pPr>
              <w:pStyle w:val="nTable"/>
              <w:spacing w:after="40"/>
              <w:rPr>
                <w:sz w:val="19"/>
              </w:rPr>
            </w:pPr>
            <w:r>
              <w:rPr>
                <w:sz w:val="19"/>
              </w:rPr>
              <w:t>Act other than s. 4-9: 21 Dec 1965 (see s. 2(1));</w:t>
            </w:r>
            <w:r>
              <w:rPr>
                <w:sz w:val="19"/>
              </w:rPr>
              <w:br/>
              <w:t>s. 4-9: 14 Feb 1966 (see s. 2(2))</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authorised 17 Mar 1971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Business Names Act Amendment Act 1976</w:t>
            </w:r>
          </w:p>
        </w:tc>
        <w:tc>
          <w:tcPr>
            <w:tcW w:w="1139" w:type="dxa"/>
          </w:tcPr>
          <w:p>
            <w:pPr>
              <w:pStyle w:val="nTable"/>
              <w:spacing w:after="40"/>
              <w:rPr>
                <w:sz w:val="19"/>
              </w:rPr>
            </w:pPr>
            <w:r>
              <w:rPr>
                <w:sz w:val="19"/>
              </w:rPr>
              <w:t>40 of 1976</w:t>
            </w:r>
          </w:p>
        </w:tc>
        <w:tc>
          <w:tcPr>
            <w:tcW w:w="1136" w:type="dxa"/>
          </w:tcPr>
          <w:p>
            <w:pPr>
              <w:pStyle w:val="nTable"/>
              <w:spacing w:after="40"/>
              <w:rPr>
                <w:sz w:val="19"/>
              </w:rPr>
            </w:pPr>
            <w:r>
              <w:rPr>
                <w:sz w:val="19"/>
              </w:rPr>
              <w:t>9 Jun 1976</w:t>
            </w:r>
          </w:p>
        </w:tc>
        <w:tc>
          <w:tcPr>
            <w:tcW w:w="2572" w:type="dxa"/>
          </w:tcPr>
          <w:p>
            <w:pPr>
              <w:pStyle w:val="nTable"/>
              <w:spacing w:after="40"/>
              <w:rPr>
                <w:sz w:val="19"/>
              </w:rPr>
            </w:pPr>
            <w:r>
              <w:rPr>
                <w:sz w:val="19"/>
              </w:rPr>
              <w:t xml:space="preserve">6 Aug 1976 (see s. 2 and </w:t>
            </w:r>
            <w:r>
              <w:rPr>
                <w:i/>
                <w:sz w:val="19"/>
              </w:rPr>
              <w:t>Gazette</w:t>
            </w:r>
            <w:r>
              <w:rPr>
                <w:sz w:val="19"/>
              </w:rPr>
              <w:t xml:space="preserve"> 6 Aug 1976 p. 2657)</w:t>
            </w:r>
          </w:p>
        </w:tc>
      </w:tr>
      <w:tr>
        <w:trPr>
          <w:cantSplit/>
        </w:trPr>
        <w:tc>
          <w:tcPr>
            <w:tcW w:w="2278" w:type="dxa"/>
          </w:tcPr>
          <w:p>
            <w:pPr>
              <w:pStyle w:val="nTable"/>
              <w:spacing w:after="40"/>
              <w:ind w:right="113"/>
              <w:rPr>
                <w:sz w:val="19"/>
              </w:rPr>
            </w:pPr>
            <w:r>
              <w:rPr>
                <w:i/>
                <w:sz w:val="19"/>
              </w:rPr>
              <w:t>Companies (Consequential Amendments) Act 1982</w:t>
            </w:r>
            <w:r>
              <w:rPr>
                <w:sz w:val="19"/>
              </w:rPr>
              <w:t xml:space="preserve"> s. 28</w:t>
            </w:r>
          </w:p>
        </w:tc>
        <w:tc>
          <w:tcPr>
            <w:tcW w:w="1139" w:type="dxa"/>
          </w:tcPr>
          <w:p>
            <w:pPr>
              <w:pStyle w:val="nTable"/>
              <w:spacing w:after="40"/>
              <w:rPr>
                <w:sz w:val="19"/>
              </w:rPr>
            </w:pPr>
            <w:r>
              <w:rPr>
                <w:sz w:val="19"/>
              </w:rPr>
              <w:t>10 of 1982</w:t>
            </w:r>
          </w:p>
        </w:tc>
        <w:tc>
          <w:tcPr>
            <w:tcW w:w="1136" w:type="dxa"/>
          </w:tcPr>
          <w:p>
            <w:pPr>
              <w:pStyle w:val="nTable"/>
              <w:spacing w:after="40"/>
              <w:rPr>
                <w:sz w:val="19"/>
              </w:rPr>
            </w:pPr>
            <w:r>
              <w:rPr>
                <w:sz w:val="19"/>
              </w:rPr>
              <w:t>14 May 1982</w:t>
            </w:r>
          </w:p>
        </w:tc>
        <w:tc>
          <w:tcPr>
            <w:tcW w:w="257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8" w:type="dxa"/>
          </w:tcPr>
          <w:p>
            <w:pPr>
              <w:pStyle w:val="nTable"/>
              <w:spacing w:after="40"/>
              <w:ind w:right="113"/>
              <w:rPr>
                <w:i/>
                <w:sz w:val="19"/>
              </w:rPr>
            </w:pPr>
            <w:r>
              <w:rPr>
                <w:i/>
                <w:sz w:val="19"/>
              </w:rPr>
              <w:t>Business Names Amendment Act 1983</w:t>
            </w:r>
          </w:p>
        </w:tc>
        <w:tc>
          <w:tcPr>
            <w:tcW w:w="1139" w:type="dxa"/>
          </w:tcPr>
          <w:p>
            <w:pPr>
              <w:pStyle w:val="nTable"/>
              <w:spacing w:after="40"/>
              <w:rPr>
                <w:sz w:val="19"/>
              </w:rPr>
            </w:pPr>
            <w:r>
              <w:rPr>
                <w:sz w:val="19"/>
              </w:rPr>
              <w:t>48 of 1983</w:t>
            </w:r>
          </w:p>
        </w:tc>
        <w:tc>
          <w:tcPr>
            <w:tcW w:w="1136" w:type="dxa"/>
          </w:tcPr>
          <w:p>
            <w:pPr>
              <w:pStyle w:val="nTable"/>
              <w:spacing w:after="40"/>
              <w:rPr>
                <w:sz w:val="19"/>
              </w:rPr>
            </w:pPr>
            <w:r>
              <w:rPr>
                <w:sz w:val="19"/>
              </w:rPr>
              <w:t>5 Dec 1983</w:t>
            </w:r>
          </w:p>
        </w:tc>
        <w:tc>
          <w:tcPr>
            <w:tcW w:w="2572" w:type="dxa"/>
          </w:tcPr>
          <w:p>
            <w:pPr>
              <w:pStyle w:val="nTable"/>
              <w:spacing w:after="40"/>
              <w:rPr>
                <w:sz w:val="19"/>
              </w:rPr>
            </w:pPr>
            <w:r>
              <w:rPr>
                <w:sz w:val="19"/>
              </w:rPr>
              <w:t>5 Dec 1983</w:t>
            </w:r>
          </w:p>
        </w:tc>
      </w:tr>
      <w:tr>
        <w:trPr>
          <w:cantSplit/>
        </w:trPr>
        <w:tc>
          <w:tcPr>
            <w:tcW w:w="2278" w:type="dxa"/>
          </w:tcPr>
          <w:p>
            <w:pPr>
              <w:pStyle w:val="nTable"/>
              <w:spacing w:after="40"/>
              <w:ind w:right="113"/>
              <w:rPr>
                <w:sz w:val="19"/>
              </w:rPr>
            </w:pPr>
            <w:r>
              <w:rPr>
                <w:i/>
                <w:sz w:val="19"/>
              </w:rPr>
              <w:t>Corporations (Western Australia) Act 1990</w:t>
            </w:r>
            <w:r>
              <w:rPr>
                <w:sz w:val="19"/>
              </w:rPr>
              <w:t xml:space="preserve"> s. 98</w:t>
            </w:r>
          </w:p>
        </w:tc>
        <w:tc>
          <w:tcPr>
            <w:tcW w:w="1139" w:type="dxa"/>
          </w:tcPr>
          <w:p>
            <w:pPr>
              <w:pStyle w:val="nTable"/>
              <w:spacing w:after="40"/>
              <w:rPr>
                <w:sz w:val="19"/>
              </w:rPr>
            </w:pPr>
            <w:r>
              <w:rPr>
                <w:sz w:val="19"/>
              </w:rPr>
              <w:t>105 of 1990</w:t>
            </w:r>
          </w:p>
        </w:tc>
        <w:tc>
          <w:tcPr>
            <w:tcW w:w="1136" w:type="dxa"/>
          </w:tcPr>
          <w:p>
            <w:pPr>
              <w:pStyle w:val="nTable"/>
              <w:spacing w:after="40"/>
              <w:rPr>
                <w:sz w:val="19"/>
              </w:rPr>
            </w:pPr>
            <w:r>
              <w:rPr>
                <w:sz w:val="19"/>
              </w:rPr>
              <w:t>2 Jan 1991</w:t>
            </w:r>
          </w:p>
        </w:tc>
        <w:tc>
          <w:tcPr>
            <w:tcW w:w="2572" w:type="dxa"/>
          </w:tcPr>
          <w:p>
            <w:pPr>
              <w:pStyle w:val="nTable"/>
              <w:spacing w:after="40"/>
              <w:rPr>
                <w:sz w:val="19"/>
              </w:rPr>
            </w:pPr>
            <w:r>
              <w:rPr>
                <w:sz w:val="19"/>
              </w:rPr>
              <w:t>1 Jan 1991 (see s. 2)</w:t>
            </w:r>
          </w:p>
        </w:tc>
      </w:tr>
      <w:tr>
        <w:trPr>
          <w:cantSplit/>
        </w:trPr>
        <w:tc>
          <w:tcPr>
            <w:tcW w:w="2278"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Statutes (Repeals and Minor Amendments) Act (No. 2) 1998</w:t>
            </w:r>
            <w:r>
              <w:rPr>
                <w:sz w:val="19"/>
              </w:rPr>
              <w:t xml:space="preserve"> s. 21</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72"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sz w:val="19"/>
              </w:rPr>
            </w:pPr>
            <w:r>
              <w:rPr>
                <w:i/>
                <w:sz w:val="19"/>
              </w:rPr>
              <w:t>Acts Amendment and Repeal (Financial Sector Reform) Act 1999</w:t>
            </w:r>
            <w:r>
              <w:rPr>
                <w:sz w:val="19"/>
              </w:rPr>
              <w:t xml:space="preserve"> s. 64</w:t>
            </w:r>
          </w:p>
        </w:tc>
        <w:tc>
          <w:tcPr>
            <w:tcW w:w="1139" w:type="dxa"/>
          </w:tcPr>
          <w:p>
            <w:pPr>
              <w:pStyle w:val="nTable"/>
              <w:spacing w:after="40"/>
              <w:rPr>
                <w:sz w:val="19"/>
              </w:rPr>
            </w:pPr>
            <w:r>
              <w:rPr>
                <w:sz w:val="19"/>
              </w:rPr>
              <w:t>26 of 1999</w:t>
            </w:r>
          </w:p>
        </w:tc>
        <w:tc>
          <w:tcPr>
            <w:tcW w:w="1136" w:type="dxa"/>
          </w:tcPr>
          <w:p>
            <w:pPr>
              <w:pStyle w:val="nTable"/>
              <w:spacing w:after="40"/>
              <w:rPr>
                <w:sz w:val="19"/>
              </w:rPr>
            </w:pPr>
            <w:r>
              <w:rPr>
                <w:sz w:val="19"/>
              </w:rPr>
              <w:t>29 Jun 1999</w:t>
            </w:r>
          </w:p>
        </w:tc>
        <w:tc>
          <w:tcPr>
            <w:tcW w:w="257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25" w:type="dxa"/>
            <w:gridSpan w:val="4"/>
          </w:tcPr>
          <w:p>
            <w:pPr>
              <w:pStyle w:val="nTable"/>
              <w:spacing w:after="40"/>
              <w:rPr>
                <w:sz w:val="19"/>
              </w:rPr>
            </w:pPr>
            <w:r>
              <w:rPr>
                <w:b/>
                <w:bCs/>
                <w:sz w:val="19"/>
              </w:rPr>
              <w:t xml:space="preserve">Reprint of the </w:t>
            </w:r>
            <w:r>
              <w:rPr>
                <w:b/>
                <w:bCs/>
                <w:i/>
                <w:sz w:val="19"/>
              </w:rPr>
              <w:t>Business Names Act 1962</w:t>
            </w:r>
            <w:r>
              <w:rPr>
                <w:b/>
                <w:bCs/>
                <w:sz w:val="19"/>
              </w:rPr>
              <w:t xml:space="preserve"> as at 16 Feb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Corporations (Consequential Amendments) Act (No. 2) 2003</w:t>
            </w:r>
            <w:r>
              <w:rPr>
                <w:sz w:val="19"/>
              </w:rPr>
              <w:t xml:space="preserve"> Pt. 3</w:t>
            </w:r>
          </w:p>
        </w:tc>
        <w:tc>
          <w:tcPr>
            <w:tcW w:w="1139" w:type="dxa"/>
          </w:tcPr>
          <w:p>
            <w:pPr>
              <w:pStyle w:val="nTable"/>
              <w:spacing w:after="40"/>
              <w:rPr>
                <w:sz w:val="19"/>
              </w:rPr>
            </w:pPr>
            <w:r>
              <w:rPr>
                <w:sz w:val="19"/>
              </w:rPr>
              <w:t>20 of 2003</w:t>
            </w:r>
          </w:p>
        </w:tc>
        <w:tc>
          <w:tcPr>
            <w:tcW w:w="1136" w:type="dxa"/>
          </w:tcPr>
          <w:p>
            <w:pPr>
              <w:pStyle w:val="nTable"/>
              <w:spacing w:after="40"/>
              <w:rPr>
                <w:sz w:val="19"/>
              </w:rPr>
            </w:pPr>
            <w:r>
              <w:rPr>
                <w:sz w:val="19"/>
              </w:rPr>
              <w:t>23 Apr 2003</w:t>
            </w:r>
          </w:p>
        </w:tc>
        <w:tc>
          <w:tcPr>
            <w:tcW w:w="257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41</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78" w:type="dxa"/>
          </w:tcPr>
          <w:p>
            <w:pPr>
              <w:pStyle w:val="nTable"/>
              <w:spacing w:after="40"/>
              <w:ind w:right="113"/>
              <w:rPr>
                <w:i/>
                <w:sz w:val="19"/>
              </w:rPr>
            </w:pPr>
            <w:r>
              <w:rPr>
                <w:i/>
                <w:sz w:val="19"/>
              </w:rPr>
              <w:t>Business Names Amendment Act 2003</w:t>
            </w:r>
          </w:p>
        </w:tc>
        <w:tc>
          <w:tcPr>
            <w:tcW w:w="1139" w:type="dxa"/>
          </w:tcPr>
          <w:p>
            <w:pPr>
              <w:pStyle w:val="nTable"/>
              <w:spacing w:after="40"/>
              <w:rPr>
                <w:sz w:val="19"/>
              </w:rPr>
            </w:pPr>
            <w:r>
              <w:rPr>
                <w:sz w:val="19"/>
              </w:rPr>
              <w:t>63 of 2003</w:t>
            </w:r>
          </w:p>
        </w:tc>
        <w:tc>
          <w:tcPr>
            <w:tcW w:w="1136" w:type="dxa"/>
          </w:tcPr>
          <w:p>
            <w:pPr>
              <w:pStyle w:val="nTable"/>
              <w:spacing w:after="40"/>
              <w:rPr>
                <w:sz w:val="19"/>
              </w:rPr>
            </w:pPr>
            <w:r>
              <w:rPr>
                <w:sz w:val="19"/>
              </w:rPr>
              <w:t>26 Nov 2003</w:t>
            </w:r>
          </w:p>
        </w:tc>
        <w:tc>
          <w:tcPr>
            <w:tcW w:w="2572" w:type="dxa"/>
          </w:tcPr>
          <w:p>
            <w:pPr>
              <w:pStyle w:val="nTable"/>
              <w:spacing w:after="40"/>
              <w:rPr>
                <w:sz w:val="19"/>
              </w:rPr>
            </w:pPr>
            <w:r>
              <w:rPr>
                <w:sz w:val="19"/>
              </w:rPr>
              <w:t>26 Nov 2003 (see s. 2)</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31</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2" w:type="dxa"/>
          </w:tcPr>
          <w:p>
            <w:pPr>
              <w:pStyle w:val="nTable"/>
              <w:spacing w:after="40"/>
              <w:rPr>
                <w:spacing w:val="-2"/>
                <w:sz w:val="19"/>
              </w:rPr>
            </w:pPr>
            <w:r>
              <w:rPr>
                <w:sz w:val="19"/>
              </w:rPr>
              <w:t xml:space="preserve">1 May 2005 (see s. 2 and </w:t>
            </w:r>
            <w:r>
              <w:rPr>
                <w:i/>
                <w:iCs/>
                <w:sz w:val="19"/>
              </w:rPr>
              <w:t>Gazette</w:t>
            </w:r>
            <w:r>
              <w:rPr>
                <w:sz w:val="19"/>
              </w:rPr>
              <w:t xml:space="preserve"> 31 Dec 2004 p. 7128)</w:t>
            </w:r>
          </w:p>
        </w:tc>
      </w:tr>
      <w:tr>
        <w:trPr>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15</w:t>
            </w:r>
            <w:r>
              <w:rPr>
                <w:iCs/>
                <w:sz w:val="19"/>
                <w:vertAlign w:val="superscript"/>
              </w:rPr>
              <w:t>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125" w:type="dxa"/>
            <w:gridSpan w:val="4"/>
          </w:tcPr>
          <w:p>
            <w:pPr>
              <w:pStyle w:val="nTable"/>
              <w:spacing w:after="40"/>
              <w:rPr>
                <w:spacing w:val="-2"/>
                <w:sz w:val="19"/>
              </w:rPr>
            </w:pPr>
            <w:r>
              <w:rPr>
                <w:b/>
                <w:bCs/>
                <w:sz w:val="19"/>
              </w:rPr>
              <w:t xml:space="preserve">Reprint 3: The </w:t>
            </w:r>
            <w:r>
              <w:rPr>
                <w:b/>
                <w:bCs/>
                <w:i/>
                <w:sz w:val="19"/>
              </w:rPr>
              <w:t>Business Names Act 1962</w:t>
            </w:r>
            <w:r>
              <w:rPr>
                <w:b/>
                <w:bCs/>
                <w:sz w:val="19"/>
              </w:rPr>
              <w:t xml:space="preserve"> as at 28 Oct 2005</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3 </w:t>
            </w:r>
            <w:r>
              <w:rPr>
                <w:sz w:val="19"/>
                <w:vertAlign w:val="superscript"/>
              </w:rPr>
              <w:t>4</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2"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185</w:t>
            </w:r>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pPr>
      <w:r>
        <w:rPr>
          <w:vertAlign w:val="superscript"/>
        </w:rPr>
        <w:t>2</w:t>
      </w:r>
      <w:r>
        <w:tab/>
        <w:t xml:space="preserve">Repealed by the </w:t>
      </w:r>
      <w:r>
        <w:rPr>
          <w:i/>
        </w:rPr>
        <w:t>Interpretation Act 1984</w:t>
      </w:r>
      <w:r>
        <w:t xml:space="preserve"> s. 77(1).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MiscOpen"/>
      </w:pPr>
      <w:r>
        <w:t>“</w:t>
      </w:r>
    </w:p>
    <w:p>
      <w:pPr>
        <w:pStyle w:val="nzHeading3"/>
      </w:pPr>
      <w:bookmarkStart w:id="146" w:name="_Toc101066971"/>
      <w:bookmarkStart w:id="147" w:name="_Toc101067787"/>
      <w:bookmarkStart w:id="148" w:name="_Toc101068421"/>
      <w:bookmarkStart w:id="149" w:name="_Toc101068938"/>
      <w:bookmarkStart w:id="150" w:name="_Toc101070533"/>
      <w:bookmarkStart w:id="151" w:name="_Toc101073117"/>
      <w:bookmarkStart w:id="152" w:name="_Toc101080300"/>
      <w:bookmarkStart w:id="153" w:name="_Toc101080963"/>
      <w:bookmarkStart w:id="154" w:name="_Toc101173925"/>
      <w:bookmarkStart w:id="155" w:name="_Toc101256601"/>
      <w:bookmarkStart w:id="156" w:name="_Toc101260653"/>
      <w:bookmarkStart w:id="157" w:name="_Toc101329434"/>
      <w:bookmarkStart w:id="158" w:name="_Toc101350875"/>
      <w:bookmarkStart w:id="159" w:name="_Toc101578755"/>
      <w:bookmarkStart w:id="160" w:name="_Toc101599730"/>
      <w:bookmarkStart w:id="161" w:name="_Toc101666562"/>
      <w:bookmarkStart w:id="162" w:name="_Toc101672524"/>
      <w:bookmarkStart w:id="163" w:name="_Toc101675034"/>
      <w:bookmarkStart w:id="164" w:name="_Toc101682760"/>
      <w:bookmarkStart w:id="165" w:name="_Toc101690030"/>
      <w:bookmarkStart w:id="166" w:name="_Toc101769362"/>
      <w:bookmarkStart w:id="167" w:name="_Toc101770648"/>
      <w:bookmarkStart w:id="168" w:name="_Toc101774105"/>
      <w:bookmarkStart w:id="169" w:name="_Toc101845072"/>
      <w:bookmarkStart w:id="170" w:name="_Toc102981725"/>
      <w:bookmarkStart w:id="171" w:name="_Toc103569831"/>
      <w:bookmarkStart w:id="172" w:name="_Toc106089067"/>
      <w:bookmarkStart w:id="173" w:name="_Toc106097122"/>
      <w:bookmarkStart w:id="174" w:name="_Toc136050276"/>
      <w:bookmarkStart w:id="175" w:name="_Toc138660655"/>
      <w:bookmarkStart w:id="176" w:name="_Toc138661234"/>
      <w:bookmarkStart w:id="177" w:name="_Toc138750210"/>
      <w:bookmarkStart w:id="178" w:name="_Toc138750895"/>
      <w:bookmarkStart w:id="179" w:name="_Toc139166636"/>
      <w:bookmarkStart w:id="180" w:name="_Toc139266356"/>
      <w:r>
        <w:rPr>
          <w:rStyle w:val="CharDivNo"/>
        </w:rPr>
        <w:t>Division 23</w:t>
      </w:r>
      <w:r>
        <w:t> — </w:t>
      </w:r>
      <w:r>
        <w:rPr>
          <w:rStyle w:val="CharDivText"/>
        </w:rPr>
        <w:t>Transitional provisions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nEdnotesection"/>
        <w:tabs>
          <w:tab w:val="clear" w:pos="893"/>
          <w:tab w:val="left" w:pos="600"/>
        </w:tabs>
      </w:pPr>
      <w:r>
        <w:tab/>
        <w:t>[</w:t>
      </w:r>
      <w:r>
        <w:rPr>
          <w:b/>
          <w:bCs/>
        </w:rPr>
        <w:t>151.</w:t>
      </w:r>
      <w:r>
        <w:tab/>
        <w:t>Deleted by No. 58 of 2010 s. 184.]</w:t>
      </w:r>
    </w:p>
    <w:p>
      <w:pPr>
        <w:pStyle w:val="nzHeading5"/>
      </w:pPr>
      <w:bookmarkStart w:id="181" w:name="_Toc45504368"/>
      <w:bookmarkStart w:id="182" w:name="_Toc46642258"/>
      <w:bookmarkStart w:id="183" w:name="_Toc100544433"/>
      <w:bookmarkStart w:id="184" w:name="_Toc138661236"/>
      <w:bookmarkStart w:id="185" w:name="_Toc138750897"/>
      <w:bookmarkStart w:id="186" w:name="_Toc139166638"/>
      <w:bookmarkStart w:id="187" w:name="_Toc139266358"/>
      <w:r>
        <w:rPr>
          <w:rStyle w:val="CharSectno"/>
        </w:rPr>
        <w:t>152</w:t>
      </w:r>
      <w:r>
        <w:t>.</w:t>
      </w:r>
      <w:r>
        <w:tab/>
        <w:t>Commissioner for Corporate Affairs and Registrar of Co</w:t>
      </w:r>
      <w:r>
        <w:noBreakHyphen/>
        <w:t>operative and Financial Institutions</w:t>
      </w:r>
      <w:bookmarkEnd w:id="181"/>
      <w:bookmarkEnd w:id="182"/>
      <w:bookmarkEnd w:id="183"/>
      <w:bookmarkEnd w:id="184"/>
      <w:bookmarkEnd w:id="185"/>
      <w:bookmarkEnd w:id="186"/>
      <w:bookmarkEnd w:id="187"/>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188" w:name="_Toc45504369"/>
      <w:bookmarkStart w:id="189" w:name="_Toc46642259"/>
      <w:bookmarkStart w:id="190" w:name="_Toc100544434"/>
      <w:bookmarkStart w:id="191" w:name="_Toc138661237"/>
      <w:bookmarkStart w:id="192" w:name="_Toc138750898"/>
      <w:bookmarkStart w:id="193" w:name="_Toc139166639"/>
      <w:bookmarkStart w:id="194" w:name="_Toc139266359"/>
      <w:r>
        <w:rPr>
          <w:rStyle w:val="CharSectno"/>
        </w:rPr>
        <w:t>153</w:t>
      </w:r>
      <w:r>
        <w:t>.</w:t>
      </w:r>
      <w:r>
        <w:tab/>
      </w:r>
      <w:r>
        <w:rPr>
          <w:i/>
        </w:rPr>
        <w:t>Consumer Affairs Act 1971</w:t>
      </w:r>
      <w:bookmarkEnd w:id="188"/>
      <w:bookmarkEnd w:id="189"/>
      <w:bookmarkEnd w:id="190"/>
      <w:bookmarkEnd w:id="191"/>
      <w:bookmarkEnd w:id="192"/>
      <w:bookmarkEnd w:id="193"/>
      <w:bookmarkEnd w:id="194"/>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195" w:name="_Toc2055351"/>
      <w:bookmarkStart w:id="196" w:name="_Toc45504370"/>
      <w:bookmarkStart w:id="197" w:name="_Toc46642260"/>
      <w:bookmarkStart w:id="198" w:name="_Toc100544435"/>
      <w:bookmarkStart w:id="199" w:name="_Toc138661238"/>
      <w:bookmarkStart w:id="200" w:name="_Toc138750899"/>
      <w:bookmarkStart w:id="201" w:name="_Toc139166640"/>
      <w:bookmarkStart w:id="202" w:name="_Toc139266360"/>
      <w:r>
        <w:rPr>
          <w:rStyle w:val="CharSectno"/>
        </w:rPr>
        <w:t>154</w:t>
      </w:r>
      <w:r>
        <w:t>.</w:t>
      </w:r>
      <w:r>
        <w:tab/>
      </w:r>
      <w:r>
        <w:rPr>
          <w:i/>
        </w:rPr>
        <w:t>Petroleum Products Pricing Act 1983</w:t>
      </w:r>
      <w:bookmarkEnd w:id="195"/>
      <w:bookmarkEnd w:id="196"/>
      <w:bookmarkEnd w:id="197"/>
      <w:bookmarkEnd w:id="198"/>
      <w:bookmarkEnd w:id="199"/>
      <w:bookmarkEnd w:id="200"/>
      <w:bookmarkEnd w:id="201"/>
      <w:bookmarkEnd w:id="202"/>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203" w:name="_Hlt20546863"/>
      <w:bookmarkStart w:id="204" w:name="_Toc2055353"/>
      <w:bookmarkStart w:id="205" w:name="_Toc45504371"/>
      <w:bookmarkStart w:id="206" w:name="_Toc46642261"/>
      <w:bookmarkStart w:id="207" w:name="_Toc100544436"/>
      <w:bookmarkStart w:id="208" w:name="_Toc138661239"/>
      <w:bookmarkStart w:id="209" w:name="_Toc138750900"/>
      <w:bookmarkStart w:id="210" w:name="_Toc139166641"/>
      <w:bookmarkStart w:id="211" w:name="_Toc139266361"/>
      <w:bookmarkEnd w:id="203"/>
      <w:r>
        <w:rPr>
          <w:rStyle w:val="CharSectno"/>
        </w:rPr>
        <w:t>155</w:t>
      </w:r>
      <w:r>
        <w:t>.</w:t>
      </w:r>
      <w:r>
        <w:tab/>
        <w:t>Interpretation</w:t>
      </w:r>
      <w:bookmarkEnd w:id="204"/>
      <w:bookmarkEnd w:id="205"/>
      <w:bookmarkEnd w:id="206"/>
      <w:bookmarkEnd w:id="207"/>
      <w:bookmarkEnd w:id="208"/>
      <w:bookmarkEnd w:id="209"/>
      <w:bookmarkEnd w:id="210"/>
      <w:bookmarkEnd w:id="211"/>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Business Names Act 1962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Business Names Act 1962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Business Names Act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Business Names Act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Business Names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BA83C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35CD4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76A1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D09B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D25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9FAB6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778F1B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56"/>
    <w:docVar w:name="WAFER_20151207125056" w:val="RemoveTrackChanges"/>
    <w:docVar w:name="WAFER_20151207125056_GUID" w:val="c4e81d97-bac2-4b75-b186-33c267f4cc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10351</Words>
  <Characters>48239</Characters>
  <Application>Microsoft Office Word</Application>
  <DocSecurity>0</DocSecurity>
  <Lines>1303</Lines>
  <Paragraphs>610</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57980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1962 - 03-f0-02</dc:title>
  <dc:subject/>
  <dc:creator/>
  <cp:keywords/>
  <dc:description/>
  <cp:lastModifiedBy>svcMRProcess</cp:lastModifiedBy>
  <cp:revision>4</cp:revision>
  <cp:lastPrinted>2005-10-21T04:18:00Z</cp:lastPrinted>
  <dcterms:created xsi:type="dcterms:W3CDTF">2015-12-08T16:08:00Z</dcterms:created>
  <dcterms:modified xsi:type="dcterms:W3CDTF">2015-12-08T16:08:00Z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97</vt:i4>
  </property>
  <property fmtid="{D5CDD505-2E9C-101B-9397-08002B2CF9AE}" pid="6" name="ReprintNo">
    <vt:lpwstr>3</vt:lpwstr>
  </property>
  <property fmtid="{D5CDD505-2E9C-101B-9397-08002B2CF9AE}" pid="7" name="AsAtDate">
    <vt:lpwstr>01 Jan 2011</vt:lpwstr>
  </property>
  <property fmtid="{D5CDD505-2E9C-101B-9397-08002B2CF9AE}" pid="8" name="Suffix">
    <vt:lpwstr>03-f0-02</vt:lpwstr>
  </property>
</Properties>
</file>