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Code of Practice) Regulations 2007</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Fair Trading (Fitness Industry Code of Practice) Regulations 2010</w:t>
      </w:r>
      <w:r>
        <w:rPr>
          <w:color w:val="000000"/>
          <w:sz w:val="22"/>
          <w:szCs w:val="22"/>
        </w:rPr>
        <w:t xml:space="preserve"> r. 3(3) as at 31 Dec 2010 (see </w:t>
      </w:r>
      <w:r>
        <w:rPr>
          <w:i/>
          <w:iCs/>
          <w:color w:val="000000"/>
          <w:sz w:val="22"/>
          <w:szCs w:val="22"/>
        </w:rPr>
        <w:t>Gazette</w:t>
      </w:r>
      <w:r>
        <w:rPr>
          <w:color w:val="000000"/>
          <w:sz w:val="22"/>
          <w:szCs w:val="22"/>
        </w:rPr>
        <w:t xml:space="preserve"> 10 Dec 2010 p. 6247-58).</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_Toc426019444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_Toc426019445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Code of Practice prescribed</w:t>
      </w:r>
      <w:r>
        <w:tab/>
      </w:r>
      <w:r>
        <w:fldChar w:fldCharType="begin"/>
      </w:r>
      <w:r>
        <w:instrText xml:space="preserve"> PAGEREF _Toc426019446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iCs/>
        </w:rPr>
        <w:t>Fitness Industry Code of Practice 2007</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_Toc426019449 \h </w:instrText>
      </w:r>
      <w:r>
        <w:fldChar w:fldCharType="separate"/>
      </w:r>
      <w:r>
        <w:t>2</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_Toc426019450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“fitness service”</w:t>
      </w:r>
      <w:r>
        <w:tab/>
      </w:r>
      <w:r>
        <w:fldChar w:fldCharType="begin"/>
      </w:r>
      <w:r>
        <w:instrText xml:space="preserve"> PAGEREF _Toc426019451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_Toc426019452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_Toc426019454 \h </w:instrText>
      </w:r>
      <w:r>
        <w:fldChar w:fldCharType="separate"/>
      </w:r>
      <w:r>
        <w:t>4</w:t>
      </w:r>
      <w:r>
        <w:fldChar w:fldCharType="end"/>
      </w:r>
    </w:p>
    <w:p>
      <w:pPr>
        <w:pStyle w:val="TOC8"/>
        <w:rPr>
          <w:rFonts w:asciiTheme="minorHAnsi" w:eastAsiaTheme="minorEastAsia" w:hAnsiTheme="minorHAnsi" w:cstheme="minorBidi"/>
          <w:szCs w:val="22"/>
        </w:rPr>
      </w:pPr>
      <w:r>
        <w:t>6.</w:t>
      </w:r>
      <w:r>
        <w:tab/>
        <w:t>Qualifications and employment of staff</w:t>
      </w:r>
      <w:r>
        <w:tab/>
      </w:r>
      <w:r>
        <w:fldChar w:fldCharType="begin"/>
      </w:r>
      <w:r>
        <w:instrText xml:space="preserve"> PAGEREF _Toc426019455 \h </w:instrText>
      </w:r>
      <w:r>
        <w:fldChar w:fldCharType="separate"/>
      </w:r>
      <w:r>
        <w:t>4</w:t>
      </w:r>
      <w:r>
        <w:fldChar w:fldCharType="end"/>
      </w:r>
    </w:p>
    <w:p>
      <w:pPr>
        <w:pStyle w:val="TOC8"/>
        <w:rPr>
          <w:rFonts w:asciiTheme="minorHAnsi" w:eastAsiaTheme="minorEastAsia" w:hAnsiTheme="minorHAnsi" w:cstheme="minorBidi"/>
          <w:szCs w:val="22"/>
        </w:rPr>
      </w:pPr>
      <w:r>
        <w:t>7.</w:t>
      </w:r>
      <w:r>
        <w:tab/>
        <w:t>High</w:t>
      </w:r>
      <w:r>
        <w:noBreakHyphen/>
        <w:t>pressure selling techniques, harassment or unconscionable conduct</w:t>
      </w:r>
      <w:r>
        <w:tab/>
      </w:r>
      <w:r>
        <w:fldChar w:fldCharType="begin"/>
      </w:r>
      <w:r>
        <w:instrText xml:space="preserve"> PAGEREF _Toc426019456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_Toc426019457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_Toc426019458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_Toc426019459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_Toc426019461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_Toc426019462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Meaning of “cooling</w:t>
      </w:r>
      <w:r>
        <w:noBreakHyphen/>
        <w:t>off period”</w:t>
      </w:r>
      <w:r>
        <w:tab/>
      </w:r>
      <w:r>
        <w:fldChar w:fldCharType="begin"/>
      </w:r>
      <w:r>
        <w:instrText xml:space="preserve"> PAGEREF _Toc426019464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_Toc426019465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_Toc426019466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_Toc426019467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w:t>
      </w:r>
      <w:r>
        <w:noBreakHyphen/>
        <w:t>paid membership agreements</w:t>
      </w:r>
      <w:r>
        <w:tab/>
      </w:r>
      <w:r>
        <w:fldChar w:fldCharType="begin"/>
      </w:r>
      <w:r>
        <w:instrText xml:space="preserve"> PAGEREF _Toc426019468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_Toc426019469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w:t>
      </w:r>
      <w:r>
        <w:noBreakHyphen/>
        <w:t>off period</w:t>
      </w:r>
      <w:r>
        <w:tab/>
      </w:r>
      <w:r>
        <w:fldChar w:fldCharType="begin"/>
      </w:r>
      <w:r>
        <w:instrText xml:space="preserve"> PAGEREF _Toc426019470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_Toc426019471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_Toc426019473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_Toc426019475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ind w:right="140"/>
      </w:pPr>
      <w:r>
        <w:t>Fair Trading (Fitness Industry Code of Practice) Regulations 2007</w:t>
      </w:r>
    </w:p>
    <w:p>
      <w:pPr>
        <w:pStyle w:val="Heading5"/>
      </w:pPr>
      <w:bookmarkStart w:id="3" w:name="_Toc378248096"/>
      <w:bookmarkStart w:id="4" w:name="_Toc42601944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Fair Trading (Fitness Industry Code of Practice) Regulations 2007</w:t>
      </w:r>
      <w:r>
        <w:t>.</w:t>
      </w:r>
    </w:p>
    <w:p>
      <w:pPr>
        <w:pStyle w:val="Heading5"/>
        <w:rPr>
          <w:spacing w:val="-2"/>
        </w:rPr>
      </w:pPr>
      <w:bookmarkStart w:id="5" w:name="_Toc378248097"/>
      <w:bookmarkStart w:id="6" w:name="_Toc42601944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January 2008.</w:t>
      </w:r>
    </w:p>
    <w:p>
      <w:pPr>
        <w:pStyle w:val="Heading5"/>
      </w:pPr>
      <w:bookmarkStart w:id="7" w:name="_Toc378248098"/>
      <w:bookmarkStart w:id="8" w:name="_Toc426019446"/>
      <w:r>
        <w:rPr>
          <w:rStyle w:val="CharSectno"/>
        </w:rPr>
        <w:t>3</w:t>
      </w:r>
      <w:r>
        <w:rPr>
          <w:spacing w:val="-2"/>
        </w:rPr>
        <w:t>.</w:t>
      </w:r>
      <w:r>
        <w:rPr>
          <w:spacing w:val="-2"/>
        </w:rPr>
        <w:tab/>
      </w:r>
      <w:r>
        <w:t>Code of Practice prescribed</w:t>
      </w:r>
      <w:bookmarkEnd w:id="7"/>
      <w:bookmarkEnd w:id="8"/>
    </w:p>
    <w:p>
      <w:pPr>
        <w:pStyle w:val="Subsection"/>
      </w:pPr>
      <w:r>
        <w:tab/>
        <w:t>(1)</w:t>
      </w:r>
      <w:r>
        <w:tab/>
        <w:t xml:space="preserve">In this regulation — </w:t>
      </w:r>
    </w:p>
    <w:p>
      <w:pPr>
        <w:pStyle w:val="Defstart"/>
      </w:pPr>
      <w:r>
        <w:rPr>
          <w:b/>
        </w:rPr>
        <w:tab/>
      </w:r>
      <w:r>
        <w:rPr>
          <w:rStyle w:val="CharDefText"/>
        </w:rPr>
        <w:t>client”</w:t>
      </w:r>
      <w:r>
        <w:rPr>
          <w:rStyle w:val="CharDefText"/>
          <w:b w:val="0"/>
          <w:bCs/>
        </w:rPr>
        <w:t xml:space="preserve">, </w:t>
      </w:r>
      <w:r>
        <w:rPr>
          <w:rStyle w:val="CharDefText"/>
        </w:rPr>
        <w:t>“supplier”</w:t>
      </w:r>
      <w:r>
        <w:rPr>
          <w:rStyle w:val="CharDefText"/>
          <w:b w:val="0"/>
          <w:bCs/>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rPr>
        <w:t>Fitness Industry Code of Practice 2007</w:t>
      </w:r>
      <w:r>
        <w:t xml:space="preserve"> is prescribed under the </w:t>
      </w:r>
      <w:r>
        <w:rPr>
          <w:i/>
        </w:rPr>
        <w:t>Fair Trading Act 1987</w:t>
      </w:r>
      <w:r>
        <w:t xml:space="preserve"> section 43(1) as a code of practice that applies in relation to clients and suppliers of fitness services.</w:t>
      </w:r>
    </w:p>
    <w:p>
      <w:pPr>
        <w:pStyle w:val="Subsection"/>
      </w:pPr>
      <w:r>
        <w:tab/>
        <w:t>(3)</w:t>
      </w:r>
      <w:r>
        <w:tab/>
        <w:t>The </w:t>
      </w:r>
      <w:r>
        <w:rPr>
          <w:i/>
          <w:iCs/>
        </w:rPr>
        <w:t>Fair Trading (Fitness Industry Code of Practice) Regulations 2004</w:t>
      </w:r>
      <w: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 w:name="_Toc378248099"/>
      <w:bookmarkStart w:id="10" w:name="_Toc426019407"/>
      <w:bookmarkStart w:id="11" w:name="_Toc426019447"/>
      <w:r>
        <w:rPr>
          <w:rStyle w:val="CharSchNo"/>
        </w:rPr>
        <w:t>Schedule 1</w:t>
      </w:r>
      <w:r>
        <w:t> — </w:t>
      </w:r>
      <w:r>
        <w:rPr>
          <w:rStyle w:val="CharSchText"/>
          <w:i/>
          <w:iCs/>
        </w:rPr>
        <w:t>Fitness Industry Code of Practice 2007</w:t>
      </w:r>
      <w:bookmarkEnd w:id="9"/>
      <w:bookmarkEnd w:id="10"/>
      <w:bookmarkEnd w:id="11"/>
    </w:p>
    <w:p>
      <w:pPr>
        <w:pStyle w:val="yShoulderClause"/>
      </w:pPr>
      <w:r>
        <w:t>[r. 3]</w:t>
      </w:r>
    </w:p>
    <w:p>
      <w:pPr>
        <w:pStyle w:val="yMiscellaneousBody"/>
        <w:tabs>
          <w:tab w:val="left" w:pos="567"/>
        </w:tabs>
        <w:ind w:left="567" w:hanging="567"/>
        <w:rPr>
          <w:rFonts w:ascii="Arial" w:hAnsi="Arial" w:cs="Arial"/>
          <w:sz w:val="18"/>
          <w:szCs w:val="18"/>
        </w:rPr>
      </w:pPr>
      <w:r>
        <w:rPr>
          <w:rFonts w:ascii="Arial" w:hAnsi="Arial" w:cs="Arial"/>
          <w:sz w:val="18"/>
          <w:szCs w:val="18"/>
        </w:rPr>
        <w:t>Note:</w:t>
      </w:r>
      <w:r>
        <w:rPr>
          <w:rFonts w:ascii="Arial" w:hAnsi="Arial" w:cs="Arial"/>
          <w:sz w:val="18"/>
          <w:szCs w:val="18"/>
        </w:rP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2" w:name="_Toc378248100"/>
      <w:bookmarkStart w:id="13" w:name="_Toc426019408"/>
      <w:bookmarkStart w:id="14" w:name="_Toc426019448"/>
      <w:r>
        <w:rPr>
          <w:rStyle w:val="CharSDivNo"/>
        </w:rPr>
        <w:t>Division 1</w:t>
      </w:r>
      <w:r>
        <w:t> — </w:t>
      </w:r>
      <w:r>
        <w:rPr>
          <w:rStyle w:val="CharSDivText"/>
        </w:rPr>
        <w:t>Introduction</w:t>
      </w:r>
      <w:bookmarkEnd w:id="12"/>
      <w:bookmarkEnd w:id="13"/>
      <w:bookmarkEnd w:id="14"/>
    </w:p>
    <w:p>
      <w:pPr>
        <w:pStyle w:val="yHeading5"/>
      </w:pPr>
      <w:bookmarkStart w:id="15" w:name="_Toc378248101"/>
      <w:bookmarkStart w:id="16" w:name="_Toc426019449"/>
      <w:r>
        <w:rPr>
          <w:rStyle w:val="CharSClsNo"/>
        </w:rPr>
        <w:t>1</w:t>
      </w:r>
      <w:r>
        <w:t>.</w:t>
      </w:r>
      <w:r>
        <w:tab/>
        <w:t>Objectives</w:t>
      </w:r>
      <w:bookmarkEnd w:id="15"/>
      <w:bookmarkEnd w:id="1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7" w:name="_Toc378248102"/>
      <w:bookmarkStart w:id="18" w:name="_Toc426019450"/>
      <w:r>
        <w:rPr>
          <w:rStyle w:val="CharSClsNo"/>
        </w:rPr>
        <w:t>2</w:t>
      </w:r>
      <w:r>
        <w:t>.</w:t>
      </w:r>
      <w:r>
        <w:tab/>
        <w:t>Interpretation</w:t>
      </w:r>
      <w:bookmarkEnd w:id="17"/>
      <w:bookmarkEnd w:id="18"/>
    </w:p>
    <w:p>
      <w:pPr>
        <w:pStyle w:val="ySubsection"/>
      </w:pPr>
      <w:r>
        <w:tab/>
      </w:r>
      <w:r>
        <w:tab/>
        <w:t xml:space="preserve">In this Code — </w:t>
      </w:r>
    </w:p>
    <w:p>
      <w:pPr>
        <w:pStyle w:val="yDefstart"/>
      </w:pPr>
      <w:r>
        <w:rPr>
          <w:b/>
        </w:rP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rPr>
          <w:b/>
        </w:rPr>
        <w:tab/>
      </w:r>
      <w:r>
        <w:rPr>
          <w:rStyle w:val="CharDefText"/>
        </w:rPr>
        <w:t>cooling</w:t>
      </w:r>
      <w:r>
        <w:rPr>
          <w:rStyle w:val="CharDefText"/>
        </w:rPr>
        <w:noBreakHyphen/>
        <w:t>off period</w:t>
      </w:r>
      <w:r>
        <w:t xml:space="preserve"> has the meaning given to that phrase in clause 13;</w:t>
      </w:r>
    </w:p>
    <w:p>
      <w:pPr>
        <w:pStyle w:val="yDefstart"/>
      </w:pPr>
      <w:r>
        <w:rPr>
          <w:b/>
        </w:rPr>
        <w:tab/>
      </w:r>
      <w:r>
        <w:rPr>
          <w:rStyle w:val="CharDefText"/>
        </w:rPr>
        <w:t>exercise screening</w:t>
      </w:r>
      <w:r>
        <w:rPr>
          <w:bCs/>
        </w:rPr>
        <w:t>,</w:t>
      </w:r>
      <w:r>
        <w:t xml:space="preserve"> for a client, means a completed questionnaire or fitness appraisal or assessment;</w:t>
      </w:r>
    </w:p>
    <w:p>
      <w:pPr>
        <w:pStyle w:val="yDefstart"/>
      </w:pPr>
      <w:r>
        <w:rPr>
          <w:b/>
        </w:rPr>
        <w:tab/>
      </w:r>
      <w:r>
        <w:rPr>
          <w:rStyle w:val="CharDefText"/>
        </w:rPr>
        <w:t>fitness centre</w:t>
      </w:r>
      <w:r>
        <w:t xml:space="preserve"> means an indoor facility primarily used for providing fitness services;</w:t>
      </w:r>
    </w:p>
    <w:p>
      <w:pPr>
        <w:pStyle w:val="yDefstart"/>
      </w:pPr>
      <w:r>
        <w:rPr>
          <w:b/>
        </w:rP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rPr>
          <w:b/>
        </w:rPr>
        <w:tab/>
      </w:r>
      <w:r>
        <w:rPr>
          <w:rStyle w:val="CharDefText"/>
        </w:rPr>
        <w:t>fitness service</w:t>
      </w:r>
      <w:r>
        <w:t xml:space="preserve"> has the meaning given to that phrase in clause 3;</w:t>
      </w:r>
    </w:p>
    <w:p>
      <w:pPr>
        <w:pStyle w:val="yDefstart"/>
      </w:pPr>
      <w:r>
        <w:rPr>
          <w:b/>
        </w:rPr>
        <w:tab/>
      </w:r>
      <w:r>
        <w:rPr>
          <w:rStyle w:val="CharDefText"/>
        </w:rPr>
        <w:t>martial arts</w:t>
      </w:r>
      <w:r>
        <w:t xml:space="preserve"> include judo, karate, ju</w:t>
      </w:r>
      <w:r>
        <w:noBreakHyphen/>
        <w:t>jitsu and similar disciplines;</w:t>
      </w:r>
    </w:p>
    <w:p>
      <w:pPr>
        <w:pStyle w:val="yDefstart"/>
      </w:pPr>
      <w:r>
        <w:rPr>
          <w:b/>
        </w:rP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rPr>
          <w:b/>
        </w:rPr>
        <w:tab/>
      </w:r>
      <w:r>
        <w:rPr>
          <w:rStyle w:val="CharDefText"/>
        </w:rPr>
        <w:t>ongoing agreement</w:t>
      </w:r>
      <w:r>
        <w:t xml:space="preserve"> has the meaning given to that phrase in clause 15(2);</w:t>
      </w:r>
    </w:p>
    <w:p>
      <w:pPr>
        <w:pStyle w:val="yDefstart"/>
      </w:pPr>
      <w:r>
        <w:rPr>
          <w:b/>
        </w:rPr>
        <w:tab/>
      </w:r>
      <w:r>
        <w:rPr>
          <w:rStyle w:val="CharDefText"/>
        </w:rPr>
        <w:t>person</w:t>
      </w:r>
      <w:r>
        <w:t xml:space="preserve"> means a natural person, public body, company, an association or body of persons whether corporate or unincorporated;</w:t>
      </w:r>
    </w:p>
    <w:p>
      <w:pPr>
        <w:pStyle w:val="yDefstart"/>
      </w:pPr>
      <w:r>
        <w:rPr>
          <w:b/>
        </w:rP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9" w:name="_Toc378248103"/>
      <w:bookmarkStart w:id="20" w:name="_Toc426019451"/>
      <w:r>
        <w:rPr>
          <w:rStyle w:val="CharSClsNo"/>
        </w:rPr>
        <w:t>3</w:t>
      </w:r>
      <w:r>
        <w:t>.</w:t>
      </w:r>
      <w:r>
        <w:tab/>
        <w:t>Meaning of “fitness service”</w:t>
      </w:r>
      <w:bookmarkEnd w:id="19"/>
      <w:bookmarkEnd w:id="20"/>
    </w:p>
    <w:p>
      <w:pPr>
        <w:pStyle w:val="ySubsection"/>
      </w:pPr>
      <w:r>
        <w:tab/>
        <w:t>(1)</w:t>
      </w:r>
      <w:r>
        <w:tab/>
      </w:r>
      <w:r>
        <w:rPr>
          <w:bCs/>
        </w:rPr>
        <w:t>A fitness service includes</w:t>
      </w:r>
      <w:r>
        <w:t xml:space="preserve"> — </w:t>
      </w:r>
    </w:p>
    <w:p>
      <w:pPr>
        <w:pStyle w:val="yIndenta"/>
      </w:pPr>
      <w:r>
        <w:tab/>
        <w:t>(a)</w:t>
      </w:r>
      <w:r>
        <w:tab/>
        <w:t>exercise screening; or</w:t>
      </w:r>
    </w:p>
    <w:p>
      <w:pPr>
        <w:pStyle w:val="yIndenta"/>
      </w:pPr>
      <w:r>
        <w:tab/>
        <w:t>(b)</w:t>
      </w:r>
      <w:r>
        <w:tab/>
        <w:t>an individual exercise program; or</w:t>
      </w:r>
    </w:p>
    <w:p>
      <w:pPr>
        <w:pStyle w:val="yIndenta"/>
      </w:pPr>
      <w:r>
        <w:tab/>
        <w:t>(c)</w:t>
      </w:r>
      <w:r>
        <w:tab/>
        <w:t>a group exercise program; or</w:t>
      </w:r>
    </w:p>
    <w:p>
      <w:pPr>
        <w:pStyle w:val="yIndenta"/>
      </w:pPr>
      <w:r>
        <w:tab/>
        <w:t>(d)</w:t>
      </w:r>
      <w:r>
        <w:tab/>
        <w:t>provision of fitness equipment at a fitness centre for use by clients.</w:t>
      </w:r>
    </w:p>
    <w:p>
      <w:pPr>
        <w:pStyle w:val="ySubsection"/>
      </w:pPr>
      <w:r>
        <w:tab/>
        <w:t>(2)</w:t>
      </w:r>
      <w:r>
        <w:tab/>
      </w:r>
      <w:r>
        <w:rPr>
          <w:bCs/>
        </w:rPr>
        <w:t>A fitness service does not include</w:t>
      </w:r>
      <w:r>
        <w:t xml:space="preserve"> — </w:t>
      </w:r>
    </w:p>
    <w:p>
      <w:pPr>
        <w:pStyle w:val="yIndenta"/>
      </w:pPr>
      <w:r>
        <w:tab/>
        <w:t>(a)</w:t>
      </w:r>
      <w:r>
        <w:tab/>
        <w:t xml:space="preserve">a fitness service supplied by — </w:t>
      </w:r>
    </w:p>
    <w:p>
      <w:pPr>
        <w:pStyle w:val="yIndenti0"/>
      </w:pPr>
      <w:r>
        <w:tab/>
        <w:t>(i)</w:t>
      </w:r>
      <w:r>
        <w:tab/>
        <w:t xml:space="preserve">a doctor registered as a medical practitioner under the </w:t>
      </w:r>
      <w:r>
        <w:rPr>
          <w:i/>
        </w:rPr>
        <w:t>Medical Act 1894</w:t>
      </w:r>
      <w:r>
        <w:t>; or</w:t>
      </w:r>
    </w:p>
    <w:p>
      <w:pPr>
        <w:pStyle w:val="yIndenti0"/>
      </w:pPr>
      <w:r>
        <w:tab/>
        <w:t>(ii)</w:t>
      </w:r>
      <w:r>
        <w:tab/>
        <w:t xml:space="preserve">a physiotherapist registered under the </w:t>
      </w:r>
      <w:r>
        <w:rPr>
          <w:i/>
        </w:rPr>
        <w:t>Physiotherapists Act 2005</w:t>
      </w:r>
      <w:r>
        <w:t>;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1" w:name="_Toc378248104"/>
      <w:bookmarkStart w:id="22" w:name="_Toc426019452"/>
      <w:r>
        <w:rPr>
          <w:rStyle w:val="CharSClsNo"/>
        </w:rPr>
        <w:t>4</w:t>
      </w:r>
      <w:r>
        <w:t>.</w:t>
      </w:r>
      <w:r>
        <w:tab/>
        <w:t>Compliance with the Code</w:t>
      </w:r>
      <w:bookmarkEnd w:id="21"/>
      <w:bookmarkEnd w:id="22"/>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section:</w:t>
      </w:r>
    </w:p>
    <w:p>
      <w:pPr>
        <w:pStyle w:val="PermNoteText"/>
      </w:pPr>
      <w:r>
        <w:tab/>
      </w:r>
      <w:r>
        <w:tab/>
        <w:t>Contravention of this Code is a ground for —</w:t>
      </w:r>
    </w:p>
    <w:p>
      <w:pPr>
        <w:pStyle w:val="PermNotePara"/>
        <w:numPr>
          <w:ilvl w:val="0"/>
          <w:numId w:val="15"/>
        </w:numPr>
        <w:ind w:left="1843"/>
      </w:pPr>
      <w:r>
        <w:t xml:space="preserve">seeking an enforceable undertaking under the </w:t>
      </w:r>
      <w:r>
        <w:rPr>
          <w:i/>
          <w:iCs/>
        </w:rPr>
        <w:t xml:space="preserve">Fair Trading Act 1987 </w:t>
      </w:r>
      <w:r>
        <w:t>section 44;</w:t>
      </w:r>
    </w:p>
    <w:p>
      <w:pPr>
        <w:pStyle w:val="PermNotePara"/>
        <w:numPr>
          <w:ilvl w:val="0"/>
          <w:numId w:val="15"/>
        </w:numPr>
        <w:ind w:left="1843"/>
      </w:pPr>
      <w:r>
        <w:t xml:space="preserve">obtaining an injunction under the </w:t>
      </w:r>
      <w:r>
        <w:rPr>
          <w:i/>
          <w:iCs/>
        </w:rPr>
        <w:t xml:space="preserve">Fair Trading Act 1987 </w:t>
      </w:r>
      <w:r>
        <w:t>section 75;</w:t>
      </w:r>
    </w:p>
    <w:p>
      <w:pPr>
        <w:pStyle w:val="PermNotePara"/>
        <w:numPr>
          <w:ilvl w:val="0"/>
          <w:numId w:val="15"/>
        </w:numPr>
        <w:ind w:left="1843"/>
      </w:pPr>
      <w:r>
        <w:t xml:space="preserve">seeking an order for compensation or another remedial order under the </w:t>
      </w:r>
      <w:r>
        <w:rPr>
          <w:i/>
          <w:iCs/>
        </w:rPr>
        <w:t>Fair Trading Act 1987</w:t>
      </w:r>
      <w:r>
        <w:t xml:space="preserve"> section 77.</w:t>
      </w:r>
    </w:p>
    <w:p>
      <w:pPr>
        <w:pStyle w:val="yHeading3"/>
      </w:pPr>
      <w:bookmarkStart w:id="23" w:name="_Toc378248105"/>
      <w:bookmarkStart w:id="24" w:name="_Toc426019413"/>
      <w:bookmarkStart w:id="25" w:name="_Toc426019453"/>
      <w:r>
        <w:rPr>
          <w:rStyle w:val="CharSDivNo"/>
        </w:rPr>
        <w:t>Division 2</w:t>
      </w:r>
      <w:r>
        <w:t> — </w:t>
      </w:r>
      <w:r>
        <w:rPr>
          <w:rStyle w:val="CharSDivText"/>
        </w:rPr>
        <w:t>General Rules of Conduct</w:t>
      </w:r>
      <w:bookmarkEnd w:id="23"/>
      <w:bookmarkEnd w:id="24"/>
      <w:bookmarkEnd w:id="25"/>
    </w:p>
    <w:p>
      <w:pPr>
        <w:pStyle w:val="yHeading5"/>
      </w:pPr>
      <w:bookmarkStart w:id="26" w:name="_Toc378248106"/>
      <w:bookmarkStart w:id="27" w:name="_Toc426019454"/>
      <w:r>
        <w:rPr>
          <w:rStyle w:val="CharSClsNo"/>
        </w:rPr>
        <w:t>5</w:t>
      </w:r>
      <w:r>
        <w:t>.</w:t>
      </w:r>
      <w:r>
        <w:tab/>
        <w:t>Claiming membership or endorsement</w:t>
      </w:r>
      <w:bookmarkEnd w:id="26"/>
      <w:bookmarkEnd w:id="27"/>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8" w:name="_Toc378248107"/>
      <w:bookmarkStart w:id="29" w:name="_Toc426019455"/>
      <w:r>
        <w:rPr>
          <w:rStyle w:val="CharSClsNo"/>
        </w:rPr>
        <w:t>6</w:t>
      </w:r>
      <w:r>
        <w:t>.</w:t>
      </w:r>
      <w:r>
        <w:tab/>
        <w:t>Qualifications and employment of staff</w:t>
      </w:r>
      <w:bookmarkEnd w:id="28"/>
      <w:bookmarkEnd w:id="2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30" w:name="_Toc378248108"/>
      <w:bookmarkStart w:id="31" w:name="_Toc426019456"/>
      <w:r>
        <w:rPr>
          <w:rStyle w:val="CharSClsNo"/>
        </w:rPr>
        <w:t>7</w:t>
      </w:r>
      <w:r>
        <w:t>.</w:t>
      </w:r>
      <w:r>
        <w:tab/>
        <w:t>High</w:t>
      </w:r>
      <w:r>
        <w:noBreakHyphen/>
        <w:t>pressure selling techniques, harassment or unconscionable conduct</w:t>
      </w:r>
      <w:bookmarkEnd w:id="30"/>
      <w:bookmarkEnd w:id="31"/>
    </w:p>
    <w:p>
      <w:pPr>
        <w:pStyle w:val="ySubsection"/>
      </w:pPr>
      <w:r>
        <w:tab/>
        <w:t>(1)</w:t>
      </w:r>
      <w:r>
        <w:tab/>
        <w:t>A supplier must not engage in high</w:t>
      </w:r>
      <w:r>
        <w:noBreakHyphen/>
        <w:t>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w:t>
      </w:r>
      <w:r>
        <w:noBreakHyphen/>
        <w:t>pressure tactics, harassment or unconscionable conduct for the purpose of entering into a membership agreement with a client.</w:t>
      </w:r>
    </w:p>
    <w:p>
      <w:pPr>
        <w:pStyle w:val="yHeading5"/>
      </w:pPr>
      <w:bookmarkStart w:id="32" w:name="_Toc378248109"/>
      <w:bookmarkStart w:id="33" w:name="_Toc426019457"/>
      <w:r>
        <w:rPr>
          <w:rStyle w:val="CharSClsNo"/>
        </w:rPr>
        <w:t>8</w:t>
      </w:r>
      <w:r>
        <w:t>.</w:t>
      </w:r>
      <w:r>
        <w:tab/>
        <w:t>Soliciting through false or misleading advertisements or representations</w:t>
      </w:r>
      <w:bookmarkEnd w:id="32"/>
      <w:bookmarkEnd w:id="33"/>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34" w:name="_Toc378248110"/>
      <w:bookmarkStart w:id="35" w:name="_Toc426019458"/>
      <w:r>
        <w:rPr>
          <w:rStyle w:val="CharSClsNo"/>
        </w:rPr>
        <w:t>9</w:t>
      </w:r>
      <w:r>
        <w:t>.</w:t>
      </w:r>
      <w:r>
        <w:tab/>
        <w:t>Confidentiality</w:t>
      </w:r>
      <w:bookmarkEnd w:id="34"/>
      <w:bookmarkEnd w:id="35"/>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36" w:name="_Toc378248111"/>
      <w:bookmarkStart w:id="37" w:name="_Toc426019459"/>
      <w:r>
        <w:rPr>
          <w:rStyle w:val="CharSClsNo"/>
        </w:rPr>
        <w:t>10</w:t>
      </w:r>
      <w:r>
        <w:t>.</w:t>
      </w:r>
      <w:r>
        <w:tab/>
        <w:t>Free or discounted services</w:t>
      </w:r>
      <w:bookmarkEnd w:id="36"/>
      <w:bookmarkEnd w:id="37"/>
    </w:p>
    <w:p>
      <w:pPr>
        <w:pStyle w:val="ySubsection"/>
      </w:pPr>
      <w:r>
        <w:tab/>
      </w:r>
      <w:r>
        <w:tab/>
        <w:t>A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38" w:name="_Toc378248112"/>
      <w:bookmarkStart w:id="39" w:name="_Toc426019420"/>
      <w:bookmarkStart w:id="40" w:name="_Toc426019460"/>
      <w:r>
        <w:rPr>
          <w:rStyle w:val="CharSDivNo"/>
        </w:rPr>
        <w:t>Division 3</w:t>
      </w:r>
      <w:r>
        <w:t> — </w:t>
      </w:r>
      <w:r>
        <w:rPr>
          <w:rStyle w:val="CharSDivText"/>
        </w:rPr>
        <w:t>Disclosure</w:t>
      </w:r>
      <w:bookmarkEnd w:id="38"/>
      <w:bookmarkEnd w:id="39"/>
      <w:bookmarkEnd w:id="40"/>
    </w:p>
    <w:p>
      <w:pPr>
        <w:pStyle w:val="yHeading5"/>
      </w:pPr>
      <w:bookmarkStart w:id="41" w:name="_Toc378248113"/>
      <w:bookmarkStart w:id="42" w:name="_Toc426019461"/>
      <w:r>
        <w:rPr>
          <w:rStyle w:val="CharSClsNo"/>
        </w:rPr>
        <w:t>11</w:t>
      </w:r>
      <w:r>
        <w:t>.</w:t>
      </w:r>
      <w:r>
        <w:tab/>
        <w:t>Disclosure of information about fitness services</w:t>
      </w:r>
      <w:bookmarkEnd w:id="41"/>
      <w:bookmarkEnd w:id="42"/>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43" w:name="_Toc378248114"/>
      <w:bookmarkStart w:id="44" w:name="_Toc426019462"/>
      <w:r>
        <w:rPr>
          <w:rStyle w:val="CharSClsNo"/>
        </w:rPr>
        <w:t>12</w:t>
      </w:r>
      <w:r>
        <w:t>.</w:t>
      </w:r>
      <w:r>
        <w:tab/>
        <w:t>Disclosure of information</w:t>
      </w:r>
      <w:bookmarkEnd w:id="43"/>
      <w:bookmarkEnd w:id="44"/>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45" w:name="_Toc378248115"/>
      <w:bookmarkStart w:id="46" w:name="_Toc426019423"/>
      <w:bookmarkStart w:id="47" w:name="_Toc426019463"/>
      <w:r>
        <w:rPr>
          <w:rStyle w:val="CharSDivNo"/>
        </w:rPr>
        <w:t>Division 4</w:t>
      </w:r>
      <w:r>
        <w:t> — </w:t>
      </w:r>
      <w:r>
        <w:rPr>
          <w:rStyle w:val="CharSDivText"/>
        </w:rPr>
        <w:t>Membership Agreements</w:t>
      </w:r>
      <w:bookmarkEnd w:id="45"/>
      <w:bookmarkEnd w:id="46"/>
      <w:bookmarkEnd w:id="47"/>
    </w:p>
    <w:p>
      <w:pPr>
        <w:pStyle w:val="yHeading5"/>
      </w:pPr>
      <w:bookmarkStart w:id="48" w:name="_Toc378248116"/>
      <w:bookmarkStart w:id="49" w:name="_Toc426019464"/>
      <w:r>
        <w:rPr>
          <w:rStyle w:val="CharSClsNo"/>
        </w:rPr>
        <w:t>13</w:t>
      </w:r>
      <w:r>
        <w:t>.</w:t>
      </w:r>
      <w:r>
        <w:tab/>
        <w:t>Meaning of “cooling</w:t>
      </w:r>
      <w:r>
        <w:noBreakHyphen/>
        <w:t>off period”</w:t>
      </w:r>
      <w:bookmarkEnd w:id="48"/>
      <w:bookmarkEnd w:id="49"/>
    </w:p>
    <w:p>
      <w:pPr>
        <w:pStyle w:val="ySubsection"/>
      </w:pPr>
      <w:r>
        <w:tab/>
        <w:t>(1)</w:t>
      </w:r>
      <w:r>
        <w:tab/>
        <w:t>The cooling</w:t>
      </w:r>
      <w:r>
        <w:noBreakHyphen/>
        <w:t xml:space="preserve">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 xml:space="preserve">The </w:t>
      </w:r>
      <w:r>
        <w:rPr>
          <w:bCs/>
        </w:rPr>
        <w:t>cooling</w:t>
      </w:r>
      <w:r>
        <w:rPr>
          <w:bCs/>
        </w:rPr>
        <w:noBreakHyphen/>
        <w:t>off period</w:t>
      </w:r>
      <w:r>
        <w:rPr>
          <w:b/>
        </w:rPr>
        <w:t xml:space="preserve"> </w:t>
      </w:r>
      <w:r>
        <w:t>ends 48 hours after the cooling</w:t>
      </w:r>
      <w:r>
        <w:noBreakHyphen/>
        <w:t>off period starts.</w:t>
      </w:r>
    </w:p>
    <w:p>
      <w:pPr>
        <w:pStyle w:val="yHeading5"/>
      </w:pPr>
      <w:bookmarkStart w:id="50" w:name="_Toc378248117"/>
      <w:bookmarkStart w:id="51" w:name="_Toc426019465"/>
      <w:r>
        <w:rPr>
          <w:rStyle w:val="CharSClsNo"/>
        </w:rPr>
        <w:t>14</w:t>
      </w:r>
      <w:r>
        <w:t>.</w:t>
      </w:r>
      <w:r>
        <w:tab/>
        <w:t>Membership agreement to be signed</w:t>
      </w:r>
      <w:bookmarkEnd w:id="50"/>
      <w:bookmarkEnd w:id="5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52" w:name="_Toc378248118"/>
      <w:bookmarkStart w:id="53" w:name="_Toc426019466"/>
      <w:r>
        <w:rPr>
          <w:rStyle w:val="CharSClsNo"/>
        </w:rPr>
        <w:t>15</w:t>
      </w:r>
      <w:r>
        <w:t>.</w:t>
      </w:r>
      <w:r>
        <w:tab/>
        <w:t>What a membership agreement must state</w:t>
      </w:r>
      <w:bookmarkEnd w:id="52"/>
      <w:bookmarkEnd w:id="53"/>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w:t>
      </w:r>
      <w:r>
        <w:noBreakHyphen/>
        <w:t>point type that the agreement is subject to a 48 hour cooling</w:t>
      </w:r>
      <w:r>
        <w:noBreakHyphen/>
        <w:t>off period;</w:t>
      </w:r>
    </w:p>
    <w:p>
      <w:pPr>
        <w:pStyle w:val="yIndenta"/>
      </w:pPr>
      <w:r>
        <w:tab/>
        <w:t>(f)</w:t>
      </w:r>
      <w:r>
        <w:tab/>
        <w:t>the procedure set out in clause 19 for terminating the agreement during the cooling</w:t>
      </w:r>
      <w:r>
        <w:noBreakHyphen/>
        <w:t>off period;</w:t>
      </w:r>
    </w:p>
    <w:p>
      <w:pPr>
        <w:pStyle w:val="yIndenta"/>
      </w:pPr>
      <w:r>
        <w:tab/>
        <w:t>(g)</w:t>
      </w:r>
      <w:r>
        <w:tab/>
        <w:t>the date and time at which the cooling</w:t>
      </w:r>
      <w:r>
        <w:noBreakHyphen/>
        <w:t>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w:t>
      </w:r>
      <w:r>
        <w:noBreakHyphen/>
        <w:t>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rPr>
      </w:pPr>
      <w:r>
        <w:rPr>
          <w:b/>
          <w:bCs/>
        </w:rPr>
        <w:tab/>
      </w:r>
      <w:r>
        <w:rPr>
          <w:b/>
          <w:bCs/>
        </w:rPr>
        <w:tab/>
        <w:t>This is an ongoing membership agreement. The agreement will continue until either you or the supplier terminate it in the way described in the agreement.</w:t>
      </w:r>
    </w:p>
    <w:p>
      <w:pPr>
        <w:pStyle w:val="zyIndenta"/>
        <w:rPr>
          <w:b/>
          <w:bCs/>
        </w:rPr>
      </w:pPr>
      <w:r>
        <w:rPr>
          <w:b/>
          <w:bCs/>
        </w:rPr>
        <w:tab/>
      </w: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MiscClose"/>
      </w:pPr>
      <w:r>
        <w:t xml:space="preserve">    ”.</w:t>
      </w: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54" w:name="_Toc378248119"/>
      <w:bookmarkStart w:id="55" w:name="_Toc426019467"/>
      <w:r>
        <w:rPr>
          <w:rStyle w:val="CharSClsNo"/>
        </w:rPr>
        <w:t>16</w:t>
      </w:r>
      <w:r>
        <w:t>.</w:t>
      </w:r>
      <w:r>
        <w:tab/>
        <w:t>Signed membership agreement</w:t>
      </w:r>
      <w:bookmarkEnd w:id="54"/>
      <w:bookmarkEnd w:id="55"/>
    </w:p>
    <w:p>
      <w:pPr>
        <w:pStyle w:val="ySubsection"/>
      </w:pPr>
      <w:r>
        <w:tab/>
      </w:r>
      <w:r>
        <w:tab/>
        <w:t>The supplier must provide a client with a true copy of the signed membership agreement immediately after it has been signed.</w:t>
      </w:r>
    </w:p>
    <w:p>
      <w:pPr>
        <w:pStyle w:val="yHeading5"/>
      </w:pPr>
      <w:bookmarkStart w:id="56" w:name="_Toc378248120"/>
      <w:bookmarkStart w:id="57" w:name="_Toc426019468"/>
      <w:r>
        <w:rPr>
          <w:rStyle w:val="CharSClsNo"/>
        </w:rPr>
        <w:t>17</w:t>
      </w:r>
      <w:r>
        <w:t>.</w:t>
      </w:r>
      <w:r>
        <w:tab/>
        <w:t>12 month limit on term of pre</w:t>
      </w:r>
      <w:r>
        <w:noBreakHyphen/>
        <w:t>paid membership agreements</w:t>
      </w:r>
      <w:bookmarkEnd w:id="56"/>
      <w:bookmarkEnd w:id="57"/>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58" w:name="_Toc378248121"/>
      <w:bookmarkStart w:id="59" w:name="_Toc426019469"/>
      <w:r>
        <w:rPr>
          <w:rStyle w:val="CharSClsNo"/>
        </w:rPr>
        <w:t>18</w:t>
      </w:r>
      <w:r>
        <w:t>.</w:t>
      </w:r>
      <w:r>
        <w:tab/>
        <w:t>Prepayment of fees where a fitness centre is leased</w:t>
      </w:r>
      <w:bookmarkEnd w:id="58"/>
      <w:bookmarkEnd w:id="59"/>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60" w:name="_Toc378248122"/>
      <w:bookmarkStart w:id="61" w:name="_Toc426019470"/>
      <w:r>
        <w:rPr>
          <w:rStyle w:val="CharSClsNo"/>
        </w:rPr>
        <w:t>19</w:t>
      </w:r>
      <w:r>
        <w:t>.</w:t>
      </w:r>
      <w:r>
        <w:tab/>
        <w:t>Termination of membership agreements during cooling</w:t>
      </w:r>
      <w:r>
        <w:noBreakHyphen/>
        <w:t>off period</w:t>
      </w:r>
      <w:bookmarkEnd w:id="60"/>
      <w:bookmarkEnd w:id="61"/>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62" w:name="_Toc378248123"/>
      <w:bookmarkStart w:id="63" w:name="_Toc426019471"/>
      <w:r>
        <w:rPr>
          <w:rStyle w:val="CharSClsNo"/>
        </w:rPr>
        <w:t>20</w:t>
      </w:r>
      <w:r>
        <w:t>.</w:t>
      </w:r>
      <w:r>
        <w:tab/>
        <w:t>Request to terminate a membership agreement</w:t>
      </w:r>
      <w:bookmarkEnd w:id="62"/>
      <w:bookmarkEnd w:id="63"/>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64" w:name="_Toc378248124"/>
      <w:bookmarkStart w:id="65" w:name="_Toc426019432"/>
      <w:bookmarkStart w:id="66" w:name="_Toc426019472"/>
      <w:r>
        <w:rPr>
          <w:rStyle w:val="CharSDivNo"/>
        </w:rPr>
        <w:t>Division 5</w:t>
      </w:r>
      <w:r>
        <w:t> — </w:t>
      </w:r>
      <w:r>
        <w:rPr>
          <w:rStyle w:val="CharSDivText"/>
        </w:rPr>
        <w:t>Complaint handling procedures</w:t>
      </w:r>
      <w:bookmarkEnd w:id="64"/>
      <w:bookmarkEnd w:id="65"/>
      <w:bookmarkEnd w:id="66"/>
    </w:p>
    <w:p>
      <w:pPr>
        <w:pStyle w:val="yHeading5"/>
      </w:pPr>
      <w:bookmarkStart w:id="67" w:name="_Toc378248125"/>
      <w:bookmarkStart w:id="68" w:name="_Toc426019473"/>
      <w:r>
        <w:rPr>
          <w:rStyle w:val="CharSClsNo"/>
        </w:rPr>
        <w:t>21</w:t>
      </w:r>
      <w:r>
        <w:t>.</w:t>
      </w:r>
      <w:r>
        <w:tab/>
        <w:t>Complaints by clients</w:t>
      </w:r>
      <w:bookmarkEnd w:id="67"/>
      <w:bookmarkEnd w:id="68"/>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70" w:name="_Toc378248126"/>
      <w:bookmarkStart w:id="71" w:name="_Toc426019434"/>
      <w:bookmarkStart w:id="72" w:name="_Toc426019474"/>
      <w:r>
        <w:t>Notes</w:t>
      </w:r>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2007.</w:t>
      </w:r>
      <w:r>
        <w:t xml:space="preserve">  </w:t>
      </w:r>
      <w:r>
        <w:rPr>
          <w:snapToGrid w:val="0"/>
        </w:rPr>
        <w:t>The following table contains information about those regulations.</w:t>
      </w:r>
    </w:p>
    <w:p>
      <w:pPr>
        <w:pStyle w:val="nHeading3"/>
      </w:pPr>
      <w:bookmarkStart w:id="73" w:name="_Toc378248127"/>
      <w:bookmarkStart w:id="74" w:name="_Toc426019475"/>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Fair Trading (Fitness Industry Code of Practice) Regulations 2007</w:t>
            </w:r>
          </w:p>
        </w:tc>
        <w:tc>
          <w:tcPr>
            <w:tcW w:w="1276" w:type="dxa"/>
            <w:tcBorders>
              <w:top w:val="single" w:sz="8" w:space="0" w:color="auto"/>
              <w:bottom w:val="nil"/>
            </w:tcBorders>
          </w:tcPr>
          <w:p>
            <w:pPr>
              <w:pStyle w:val="nTable"/>
              <w:spacing w:after="40"/>
            </w:pPr>
            <w:r>
              <w:t>28 Dec 2007 p. 6387-98</w:t>
            </w:r>
          </w:p>
        </w:tc>
        <w:tc>
          <w:tcPr>
            <w:tcW w:w="2693" w:type="dxa"/>
            <w:tcBorders>
              <w:top w:val="single" w:sz="8" w:space="0" w:color="auto"/>
              <w:bottom w:val="nil"/>
            </w:tcBorders>
          </w:tcPr>
          <w:p>
            <w:pPr>
              <w:pStyle w:val="nTable"/>
              <w:spacing w:after="40"/>
            </w:pPr>
            <w:r>
              <w:t>r. 1 and 2: 28 Dec 2007 (see r. 2(a));</w:t>
            </w:r>
          </w:p>
          <w:p>
            <w:pPr>
              <w:pStyle w:val="nTable"/>
              <w:spacing w:after="40"/>
            </w:pPr>
            <w:r>
              <w:t>Regulations other than r. 1 and 2: 1 Jan 2008 (see r. 2(b))</w:t>
            </w:r>
          </w:p>
        </w:tc>
      </w:tr>
      <w:tr>
        <w:trPr>
          <w:cantSplit/>
        </w:trPr>
        <w:tc>
          <w:tcPr>
            <w:tcW w:w="7087" w:type="dxa"/>
            <w:gridSpan w:val="3"/>
            <w:tcBorders>
              <w:top w:val="nil"/>
              <w:bottom w:val="single" w:sz="8" w:space="0" w:color="auto"/>
            </w:tcBorders>
          </w:tcPr>
          <w:p>
            <w:pPr>
              <w:spacing w:before="40" w:after="40"/>
              <w:rPr>
                <w:b/>
                <w:bCs/>
                <w:color w:val="FF0000"/>
                <w:sz w:val="19"/>
              </w:rPr>
            </w:pPr>
            <w:r>
              <w:rPr>
                <w:b/>
                <w:bCs/>
                <w:color w:val="FF0000"/>
                <w:sz w:val="19"/>
              </w:rPr>
              <w:t xml:space="preserve">These regulations were repealed by the </w:t>
            </w:r>
            <w:r>
              <w:rPr>
                <w:b/>
                <w:bCs/>
                <w:i/>
                <w:iCs/>
                <w:color w:val="FF0000"/>
                <w:sz w:val="19"/>
              </w:rPr>
              <w:t>Fair Trading (Fitness Industry Code of Practice) Regulations 2010</w:t>
            </w:r>
            <w:r>
              <w:rPr>
                <w:b/>
                <w:bCs/>
                <w:color w:val="FF0000"/>
                <w:sz w:val="19"/>
              </w:rPr>
              <w:t xml:space="preserve"> r. 3(3) as at 31 Dec 2010 (see </w:t>
            </w:r>
            <w:r>
              <w:rPr>
                <w:b/>
                <w:bCs/>
                <w:i/>
                <w:iCs/>
                <w:color w:val="FF0000"/>
                <w:sz w:val="19"/>
              </w:rPr>
              <w:t>Gazette</w:t>
            </w:r>
            <w:r>
              <w:rPr>
                <w:b/>
                <w:bCs/>
                <w:color w:val="FF0000"/>
                <w:sz w:val="19"/>
              </w:rPr>
              <w:t xml:space="preserve"> 10 Dec 2010 p. 6247</w:t>
            </w:r>
            <w:r>
              <w:rPr>
                <w:b/>
                <w:bCs/>
                <w:color w:val="FF0000"/>
                <w:sz w:val="19"/>
              </w:rPr>
              <w:noBreakHyphen/>
              <w:t>58</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6" w:name="_Toc426019476"/>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 and “fitness service</w:t>
      </w:r>
      <w:r>
        <w:tab/>
        <w:t>3(1)</w:t>
      </w:r>
    </w:p>
    <w:p>
      <w:pPr>
        <w:pStyle w:val="DefinedTerms"/>
      </w:pPr>
      <w:r>
        <w:t>cooling</w:t>
      </w:r>
      <w:r>
        <w:noBreakHyphen/>
        <w:t>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 Sch. 1 cl. 15(2)</w:t>
      </w:r>
    </w:p>
    <w:p>
      <w:pPr>
        <w:pStyle w:val="DefinedTerms"/>
      </w:pPr>
      <w:r>
        <w:t>person</w:t>
      </w:r>
      <w:r>
        <w:tab/>
        <w:t>Sch. 1 cl. 2</w:t>
      </w:r>
    </w:p>
    <w:p>
      <w:pPr>
        <w:pStyle w:val="DefinedTerms"/>
      </w:pPr>
      <w:r>
        <w:t>supplier</w:t>
      </w:r>
      <w:r>
        <w:tab/>
        <w:t>Sch. 1 cl. 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1644A1"/>
    <w:multiLevelType w:val="hybridMultilevel"/>
    <w:tmpl w:val="4A283214"/>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B4C704C"/>
    <w:multiLevelType w:val="hybridMultilevel"/>
    <w:tmpl w:val="A3EC3CC2"/>
    <w:lvl w:ilvl="0" w:tplc="0C090001">
      <w:start w:val="1"/>
      <w:numFmt w:val="bullet"/>
      <w:lvlText w:val=""/>
      <w:lvlJc w:val="left"/>
      <w:pPr>
        <w:ind w:left="2730" w:hanging="360"/>
      </w:pPr>
      <w:rPr>
        <w:rFonts w:ascii="Symbol" w:hAnsi="Symbol" w:hint="default"/>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554"/>
    <w:docVar w:name="WAFER_20140123132537" w:val="RemoveTocBookmarks,RemoveUnusedBookmarks,RemoveLanguageTags,UsedStyles,ResetPageSize,UpdateArrangement"/>
    <w:docVar w:name="WAFER_20140123132537_GUID" w:val="3f8dc38a-32a7-48a3-9948-0e30e94da21a"/>
    <w:docVar w:name="WAFER_20140123133125" w:val="RemoveTocBookmarks,RunningHeaders"/>
    <w:docVar w:name="WAFER_20140123133125_GUID" w:val="162c3bac-1868-492f-aa37-8890a61cb730"/>
    <w:docVar w:name="WAFER_20150729180519" w:val="ResetPageSize,UpdateArrangement,UpdateNTable"/>
    <w:docVar w:name="WAFER_20150729180519_GUID" w:val="aded683a-2e35-4400-9a71-704dff86f401"/>
    <w:docVar w:name="WAFER_20151127145455" w:val="UpdateStyles"/>
    <w:docVar w:name="WAFER_20151127145455_GUID" w:val="4c27e7dc-6e4a-4577-85a7-98ab23e21c02"/>
    <w:docVar w:name="WAFER_20151127150554" w:val="UsedStyles"/>
    <w:docVar w:name="WAFER_20151127150554_GUID" w:val="1ddc1c55-3e94-4431-b6d4-11e937e3ef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2995</Words>
  <Characters>15248</Characters>
  <Application>Microsoft Office Word</Application>
  <DocSecurity>0</DocSecurity>
  <Lines>423</Lines>
  <Paragraphs>289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2007</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2007 - 00-b0-04</dc:title>
  <dc:subject/>
  <dc:creator/>
  <cp:keywords/>
  <dc:description/>
  <cp:lastModifiedBy>svcMRProcess</cp:lastModifiedBy>
  <cp:revision>4</cp:revision>
  <cp:lastPrinted>2007-11-27T07:41:00Z</cp:lastPrinted>
  <dcterms:created xsi:type="dcterms:W3CDTF">2018-09-17T08:32:00Z</dcterms:created>
  <dcterms:modified xsi:type="dcterms:W3CDTF">2018-09-17T08:32:00Z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 2007 p 6387-98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40335</vt:i4>
  </property>
  <property fmtid="{D5CDD505-2E9C-101B-9397-08002B2CF9AE}" pid="6" name="AsAtDate">
    <vt:lpwstr>31 Dec 2010</vt:lpwstr>
  </property>
  <property fmtid="{D5CDD505-2E9C-101B-9397-08002B2CF9AE}" pid="7" name="Suffix">
    <vt:lpwstr>00-b0-04</vt:lpwstr>
  </property>
  <property fmtid="{D5CDD505-2E9C-101B-9397-08002B2CF9AE}" pid="8" name="Status">
    <vt:lpwstr>NIF</vt:lpwstr>
  </property>
</Properties>
</file>