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Door to Door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_Toc378170463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_Toc378170464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_Toc378170465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_Toc378170466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_Toc378170467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the commencement day</w:t>
      </w:r>
      <w:r>
        <w:tab/>
      </w:r>
      <w:r>
        <w:fldChar w:fldCharType="begin"/>
      </w:r>
      <w:r>
        <w:instrText xml:space="preserve"> PAGEREF _Toc378170468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_Toc378170469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Contracts to which this Act applies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Contracts generally</w:t>
      </w:r>
    </w:p>
    <w:p>
      <w:pPr>
        <w:pStyle w:val="TOC8"/>
        <w:rPr>
          <w:rFonts w:asciiTheme="minorHAnsi" w:eastAsiaTheme="minorEastAsia" w:hAnsiTheme="minorHAnsi" w:cstheme="minorBidi"/>
          <w:szCs w:val="22"/>
        </w:rPr>
      </w:pPr>
      <w:r>
        <w:t>4</w:t>
      </w:r>
      <w:r>
        <w:rPr>
          <w:snapToGrid w:val="0"/>
        </w:rPr>
        <w:t>.</w:t>
      </w:r>
      <w:r>
        <w:rPr>
          <w:snapToGrid w:val="0"/>
        </w:rPr>
        <w:tab/>
        <w:t>Criteria for determining whether contract is one to which this Act applies</w:t>
      </w:r>
      <w:r>
        <w:tab/>
      </w:r>
      <w:r>
        <w:fldChar w:fldCharType="begin"/>
      </w:r>
      <w:r>
        <w:instrText xml:space="preserve"> PAGEREF _Toc378170472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contractual terms prohibited</w:t>
      </w:r>
      <w:r>
        <w:tab/>
      </w:r>
      <w:r>
        <w:fldChar w:fldCharType="begin"/>
      </w:r>
      <w:r>
        <w:instrText xml:space="preserve"> PAGEREF _Toc378170473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Prescribed contracts</w:t>
      </w:r>
    </w:p>
    <w:p>
      <w:pPr>
        <w:pStyle w:val="TOC8"/>
        <w:rPr>
          <w:rFonts w:asciiTheme="minorHAnsi" w:eastAsiaTheme="minorEastAsia" w:hAnsiTheme="minorHAnsi" w:cstheme="minorBidi"/>
          <w:szCs w:val="22"/>
        </w:rPr>
      </w:pPr>
      <w:r>
        <w:t>6</w:t>
      </w:r>
      <w:r>
        <w:rPr>
          <w:snapToGrid w:val="0"/>
        </w:rPr>
        <w:t>.</w:t>
      </w:r>
      <w:r>
        <w:rPr>
          <w:snapToGrid w:val="0"/>
        </w:rPr>
        <w:tab/>
        <w:t>Definition of prescribed contract</w:t>
      </w:r>
      <w:r>
        <w:tab/>
      </w:r>
      <w:r>
        <w:fldChar w:fldCharType="begin"/>
      </w:r>
      <w:r>
        <w:instrText xml:space="preserve"> PAGEREF _Toc378170475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in relation to prescribed contracts</w:t>
      </w:r>
      <w:r>
        <w:tab/>
      </w:r>
      <w:r>
        <w:fldChar w:fldCharType="begin"/>
      </w:r>
      <w:r>
        <w:instrText xml:space="preserve"> PAGEREF _Toc378170476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Consideration not to be accepted from consumer nor services supplied before expiration of cooling</w:t>
      </w:r>
      <w:r>
        <w:rPr>
          <w:snapToGrid w:val="0"/>
        </w:rPr>
        <w:noBreakHyphen/>
        <w:t>off period</w:t>
      </w:r>
      <w:r>
        <w:tab/>
      </w:r>
      <w:r>
        <w:fldChar w:fldCharType="begin"/>
      </w:r>
      <w:r>
        <w:instrText xml:space="preserve"> PAGEREF _Toc378170477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III — Regulation of door to door trading practices</w:t>
      </w:r>
    </w:p>
    <w:p>
      <w:pPr>
        <w:pStyle w:val="TOC8"/>
        <w:rPr>
          <w:rFonts w:asciiTheme="minorHAnsi" w:eastAsiaTheme="minorEastAsia" w:hAnsiTheme="minorHAnsi" w:cstheme="minorBidi"/>
          <w:szCs w:val="22"/>
        </w:rPr>
      </w:pPr>
      <w:r>
        <w:t>9</w:t>
      </w:r>
      <w:r>
        <w:rPr>
          <w:snapToGrid w:val="0"/>
        </w:rPr>
        <w:t>.</w:t>
      </w:r>
      <w:r>
        <w:rPr>
          <w:snapToGrid w:val="0"/>
        </w:rPr>
        <w:tab/>
        <w:t>Dealers not to call during certain hours</w:t>
      </w:r>
      <w:r>
        <w:tab/>
      </w:r>
      <w:r>
        <w:fldChar w:fldCharType="begin"/>
      </w:r>
      <w:r>
        <w:instrText xml:space="preserve"> PAGEREF _Toc378170479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Dealers to leave premises when so requested</w:t>
      </w:r>
      <w:r>
        <w:tab/>
      </w:r>
      <w:r>
        <w:fldChar w:fldCharType="begin"/>
      </w:r>
      <w:r>
        <w:instrText xml:space="preserve"> PAGEREF _Toc378170480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Dealers to indicate their purpose for making calls</w:t>
      </w:r>
      <w:r>
        <w:tab/>
      </w:r>
      <w:r>
        <w:fldChar w:fldCharType="begin"/>
      </w:r>
      <w:r>
        <w:instrText xml:space="preserve"> PAGEREF _Toc378170481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 to harass or coerce</w:t>
      </w:r>
      <w:r>
        <w:tab/>
      </w:r>
      <w:r>
        <w:fldChar w:fldCharType="begin"/>
      </w:r>
      <w:r>
        <w:instrText xml:space="preserve"> PAGEREF _Toc378170482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IV — Rescission of contracts to which this Act applies</w:t>
      </w:r>
    </w:p>
    <w:p>
      <w:pPr>
        <w:pStyle w:val="TOC8"/>
        <w:rPr>
          <w:rFonts w:asciiTheme="minorHAnsi" w:eastAsiaTheme="minorEastAsia" w:hAnsiTheme="minorHAnsi" w:cstheme="minorBidi"/>
          <w:szCs w:val="22"/>
        </w:rPr>
      </w:pPr>
      <w:r>
        <w:t>13</w:t>
      </w:r>
      <w:r>
        <w:rPr>
          <w:snapToGrid w:val="0"/>
        </w:rPr>
        <w:t>.</w:t>
      </w:r>
      <w:r>
        <w:rPr>
          <w:snapToGrid w:val="0"/>
        </w:rPr>
        <w:tab/>
        <w:t>Right of consumer to rescind contracts to which this Act applies</w:t>
      </w:r>
      <w:r>
        <w:tab/>
      </w:r>
      <w:r>
        <w:fldChar w:fldCharType="begin"/>
      </w:r>
      <w:r>
        <w:instrText xml:space="preserve"> PAGEREF _Toc378170484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right of rescission</w:t>
      </w:r>
      <w:r>
        <w:tab/>
      </w:r>
      <w:r>
        <w:fldChar w:fldCharType="begin"/>
      </w:r>
      <w:r>
        <w:instrText xml:space="preserve"> PAGEREF _Toc378170485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Restitution following rescission</w:t>
      </w:r>
      <w:r>
        <w:tab/>
      </w:r>
      <w:r>
        <w:fldChar w:fldCharType="begin"/>
      </w:r>
      <w:r>
        <w:instrText xml:space="preserve"> PAGEREF _Toc378170486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Related contract or instrument also void</w:t>
      </w:r>
      <w:r>
        <w:tab/>
      </w:r>
      <w:r>
        <w:fldChar w:fldCharType="begin"/>
      </w:r>
      <w:r>
        <w:instrText xml:space="preserve"> PAGEREF _Toc378170487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Consumers not competent to waive rights</w:t>
      </w:r>
      <w:r>
        <w:tab/>
      </w:r>
      <w:r>
        <w:fldChar w:fldCharType="begin"/>
      </w:r>
      <w:r>
        <w:instrText xml:space="preserve"> PAGEREF _Toc378170488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Prohibition of action to recover amount under contract in certain circumstances</w:t>
      </w:r>
      <w:r>
        <w:tab/>
      </w:r>
      <w:r>
        <w:fldChar w:fldCharType="begin"/>
      </w:r>
      <w:r>
        <w:instrText xml:space="preserve"> PAGEREF _Toc378170489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19</w:t>
      </w:r>
      <w:r>
        <w:rPr>
          <w:snapToGrid w:val="0"/>
        </w:rPr>
        <w:t>.</w:t>
      </w:r>
      <w:r>
        <w:rPr>
          <w:snapToGrid w:val="0"/>
        </w:rPr>
        <w:tab/>
        <w:t>Prohibition on securities hawking unaffected by this Act</w:t>
      </w:r>
      <w:r>
        <w:tab/>
      </w:r>
      <w:r>
        <w:fldChar w:fldCharType="begin"/>
      </w:r>
      <w:r>
        <w:instrText xml:space="preserve"> PAGEREF _Toc378170491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Vicarious liability</w:t>
      </w:r>
      <w:r>
        <w:tab/>
      </w:r>
      <w:r>
        <w:fldChar w:fldCharType="begin"/>
      </w:r>
      <w:r>
        <w:instrText xml:space="preserve"> PAGEREF _Toc378170492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Evidentiary provision</w:t>
      </w:r>
      <w:r>
        <w:tab/>
      </w:r>
      <w:r>
        <w:fldChar w:fldCharType="begin"/>
      </w:r>
      <w:r>
        <w:instrText xml:space="preserve"> PAGEREF _Toc378170493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_Toc378170494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Repeal and saving provision</w:t>
      </w:r>
      <w:r>
        <w:tab/>
      </w:r>
      <w:r>
        <w:fldChar w:fldCharType="begin"/>
      </w:r>
      <w:r>
        <w:instrText xml:space="preserve"> PAGEREF _Toc378170495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_Toc378170497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2"/>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37817046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17046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3" w:name="_Toc37817046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4" w:name="_Toc378170465"/>
      <w:r>
        <w:rPr>
          <w:rStyle w:val="CharSectno"/>
        </w:rPr>
        <w:t>3A</w:t>
      </w:r>
      <w:r>
        <w:t>.</w:t>
      </w:r>
      <w:r>
        <w:tab/>
        <w:t>Application of Act limited</w:t>
      </w:r>
      <w:bookmarkEnd w:id="4"/>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 xml:space="preserve">[Section 3A inserted by No. 57 of 2010 s. 125.] </w:t>
      </w:r>
    </w:p>
    <w:p>
      <w:pPr>
        <w:pStyle w:val="Heading5"/>
      </w:pPr>
      <w:bookmarkStart w:id="5" w:name="_Toc378170466"/>
      <w:r>
        <w:rPr>
          <w:rStyle w:val="CharSectno"/>
        </w:rPr>
        <w:t>3B</w:t>
      </w:r>
      <w:r>
        <w:t>.</w:t>
      </w:r>
      <w:r>
        <w:tab/>
        <w:t>Expiry of Act</w:t>
      </w:r>
      <w:bookmarkEnd w:id="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 xml:space="preserve">[Section 3B inserted by No. 57 of 2010 s. 125.] </w:t>
      </w:r>
    </w:p>
    <w:p>
      <w:pPr>
        <w:pStyle w:val="Heading5"/>
      </w:pPr>
      <w:bookmarkStart w:id="6" w:name="_Toc378170467"/>
      <w:r>
        <w:rPr>
          <w:rStyle w:val="CharSectno"/>
        </w:rPr>
        <w:t>3C</w:t>
      </w:r>
      <w:r>
        <w:t>.</w:t>
      </w:r>
      <w:r>
        <w:tab/>
        <w:t>Act continues to apply for certain purposes</w:t>
      </w:r>
      <w:bookmarkEnd w:id="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This Act continues to apply on and after the commencement day to contracts made before the commencement day.</w:t>
      </w:r>
    </w:p>
    <w:p>
      <w:pPr>
        <w:pStyle w:val="Subsection"/>
      </w:pPr>
      <w:r>
        <w:tab/>
        <w:t>(3)</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Footnotesection"/>
      </w:pPr>
      <w:r>
        <w:tab/>
        <w:t xml:space="preserve">[Section 3C inserted by No. 57 of 2010 s. 125.] </w:t>
      </w:r>
    </w:p>
    <w:p>
      <w:pPr>
        <w:pStyle w:val="Heading5"/>
      </w:pPr>
      <w:bookmarkStart w:id="7" w:name="_Toc378170468"/>
      <w:r>
        <w:rPr>
          <w:rStyle w:val="CharSectno"/>
        </w:rPr>
        <w:t>3D</w:t>
      </w:r>
      <w:r>
        <w:t>.</w:t>
      </w:r>
      <w:r>
        <w:tab/>
        <w:t>Acts or omissions that occurred before the commencement day</w:t>
      </w:r>
      <w:bookmarkEnd w:id="7"/>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 xml:space="preserve">[Section 3D inserted by No. 57 of 2010 s. 125.] </w:t>
      </w:r>
    </w:p>
    <w:p>
      <w:pPr>
        <w:pStyle w:val="Heading5"/>
        <w:rPr>
          <w:snapToGrid w:val="0"/>
        </w:rPr>
      </w:pPr>
      <w:bookmarkStart w:id="8" w:name="_Toc378170469"/>
      <w:r>
        <w:rPr>
          <w:rStyle w:val="CharSectno"/>
        </w:rPr>
        <w:t>3</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9" w:name="_Toc378170470"/>
      <w:r>
        <w:rPr>
          <w:rStyle w:val="CharPartNo"/>
        </w:rPr>
        <w:t>Part II</w:t>
      </w:r>
      <w:r>
        <w:t> — </w:t>
      </w:r>
      <w:r>
        <w:rPr>
          <w:rStyle w:val="CharPartText"/>
        </w:rPr>
        <w:t>Contracts to which this Act applies</w:t>
      </w:r>
      <w:bookmarkEnd w:id="9"/>
      <w:r>
        <w:rPr>
          <w:rStyle w:val="CharPartText"/>
        </w:rPr>
        <w:t xml:space="preserve"> </w:t>
      </w:r>
    </w:p>
    <w:p>
      <w:pPr>
        <w:pStyle w:val="Heading3"/>
        <w:rPr>
          <w:snapToGrid w:val="0"/>
        </w:rPr>
      </w:pPr>
      <w:bookmarkStart w:id="10" w:name="_Toc378170471"/>
      <w:r>
        <w:rPr>
          <w:rStyle w:val="CharDivNo"/>
        </w:rPr>
        <w:t>Division 1</w:t>
      </w:r>
      <w:r>
        <w:rPr>
          <w:snapToGrid w:val="0"/>
        </w:rPr>
        <w:t> — </w:t>
      </w:r>
      <w:r>
        <w:rPr>
          <w:rStyle w:val="CharDivText"/>
        </w:rPr>
        <w:t>Contracts generally</w:t>
      </w:r>
      <w:bookmarkEnd w:id="10"/>
      <w:r>
        <w:rPr>
          <w:rStyle w:val="CharDivText"/>
        </w:rPr>
        <w:t xml:space="preserve"> </w:t>
      </w:r>
    </w:p>
    <w:p>
      <w:pPr>
        <w:pStyle w:val="Heading5"/>
        <w:rPr>
          <w:snapToGrid w:val="0"/>
        </w:rPr>
      </w:pPr>
      <w:bookmarkStart w:id="11" w:name="_Toc378170472"/>
      <w:r>
        <w:rPr>
          <w:rStyle w:val="CharSectno"/>
        </w:rPr>
        <w:t>4</w:t>
      </w:r>
      <w:r>
        <w:rPr>
          <w:snapToGrid w:val="0"/>
        </w:rPr>
        <w:t>.</w:t>
      </w:r>
      <w:r>
        <w:rPr>
          <w:snapToGrid w:val="0"/>
        </w:rPr>
        <w:tab/>
        <w:t>Criteria for determining whether contract is one to which this Act applies</w:t>
      </w:r>
      <w:bookmarkEnd w:id="11"/>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12" w:name="_Toc378170473"/>
      <w:r>
        <w:rPr>
          <w:rStyle w:val="CharSectno"/>
        </w:rPr>
        <w:t>5</w:t>
      </w:r>
      <w:r>
        <w:rPr>
          <w:snapToGrid w:val="0"/>
        </w:rPr>
        <w:t>.</w:t>
      </w:r>
      <w:r>
        <w:rPr>
          <w:snapToGrid w:val="0"/>
        </w:rPr>
        <w:tab/>
        <w:t>Certain contractual terms prohibited</w:t>
      </w:r>
      <w:bookmarkEnd w:id="12"/>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13" w:name="_Toc378170474"/>
      <w:r>
        <w:rPr>
          <w:rStyle w:val="CharDivNo"/>
        </w:rPr>
        <w:t>Division 2</w:t>
      </w:r>
      <w:r>
        <w:rPr>
          <w:snapToGrid w:val="0"/>
        </w:rPr>
        <w:t> — </w:t>
      </w:r>
      <w:r>
        <w:rPr>
          <w:rStyle w:val="CharDivText"/>
        </w:rPr>
        <w:t>Prescribed contracts</w:t>
      </w:r>
      <w:bookmarkEnd w:id="13"/>
      <w:r>
        <w:rPr>
          <w:rStyle w:val="CharDivText"/>
        </w:rPr>
        <w:t xml:space="preserve"> </w:t>
      </w:r>
    </w:p>
    <w:p>
      <w:pPr>
        <w:pStyle w:val="Heading5"/>
        <w:rPr>
          <w:snapToGrid w:val="0"/>
        </w:rPr>
      </w:pPr>
      <w:bookmarkStart w:id="14" w:name="_Toc378170475"/>
      <w:r>
        <w:rPr>
          <w:rStyle w:val="CharSectno"/>
        </w:rPr>
        <w:t>6</w:t>
      </w:r>
      <w:r>
        <w:rPr>
          <w:snapToGrid w:val="0"/>
        </w:rPr>
        <w:t>.</w:t>
      </w:r>
      <w:r>
        <w:rPr>
          <w:snapToGrid w:val="0"/>
        </w:rPr>
        <w:tab/>
        <w:t>Definition of prescribed contract</w:t>
      </w:r>
      <w:bookmarkEnd w:id="14"/>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15" w:name="endcomma"/>
      <w:bookmarkEnd w:id="15"/>
      <w:r>
        <w:rPr>
          <w:rStyle w:val="CharDefText"/>
        </w:rPr>
        <w:t>the prescribed amount</w:t>
      </w:r>
      <w:r>
        <w:t xml:space="preserve"> </w:t>
      </w:r>
      <w:bookmarkStart w:id="16" w:name="comma"/>
      <w:bookmarkEnd w:id="16"/>
      <w:r>
        <w:t>means $50 or such other amount as may be prescribed.</w:t>
      </w:r>
    </w:p>
    <w:p>
      <w:pPr>
        <w:pStyle w:val="Heading5"/>
        <w:rPr>
          <w:snapToGrid w:val="0"/>
        </w:rPr>
      </w:pPr>
      <w:bookmarkStart w:id="17" w:name="_Toc378170476"/>
      <w:r>
        <w:rPr>
          <w:rStyle w:val="CharSectno"/>
        </w:rPr>
        <w:t>7</w:t>
      </w:r>
      <w:r>
        <w:rPr>
          <w:snapToGrid w:val="0"/>
        </w:rPr>
        <w:t>.</w:t>
      </w:r>
      <w:r>
        <w:rPr>
          <w:snapToGrid w:val="0"/>
        </w:rPr>
        <w:tab/>
        <w:t>Requirements in relation to prescribed contracts</w:t>
      </w:r>
      <w:bookmarkEnd w:id="17"/>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18" w:name="_Toc378170477"/>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1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19" w:name="_Toc378170478"/>
      <w:r>
        <w:rPr>
          <w:rStyle w:val="CharPartNo"/>
        </w:rPr>
        <w:t>Part III</w:t>
      </w:r>
      <w:r>
        <w:rPr>
          <w:rStyle w:val="CharDivNo"/>
        </w:rPr>
        <w:t> </w:t>
      </w:r>
      <w:r>
        <w:t>—</w:t>
      </w:r>
      <w:r>
        <w:rPr>
          <w:rStyle w:val="CharDivText"/>
        </w:rPr>
        <w:t> </w:t>
      </w:r>
      <w:r>
        <w:rPr>
          <w:rStyle w:val="CharPartText"/>
        </w:rPr>
        <w:t>Regulation of door to door trading practices</w:t>
      </w:r>
      <w:bookmarkEnd w:id="19"/>
      <w:r>
        <w:rPr>
          <w:rStyle w:val="CharPartText"/>
        </w:rPr>
        <w:t xml:space="preserve"> </w:t>
      </w:r>
    </w:p>
    <w:p>
      <w:pPr>
        <w:pStyle w:val="Heading5"/>
        <w:rPr>
          <w:snapToGrid w:val="0"/>
        </w:rPr>
      </w:pPr>
      <w:bookmarkStart w:id="20" w:name="_Toc378170479"/>
      <w:r>
        <w:rPr>
          <w:rStyle w:val="CharSectno"/>
        </w:rPr>
        <w:t>9</w:t>
      </w:r>
      <w:r>
        <w:rPr>
          <w:snapToGrid w:val="0"/>
        </w:rPr>
        <w:t>.</w:t>
      </w:r>
      <w:r>
        <w:rPr>
          <w:snapToGrid w:val="0"/>
        </w:rPr>
        <w:tab/>
        <w:t>Dealers not to call during certain hours</w:t>
      </w:r>
      <w:bookmarkEnd w:id="20"/>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21" w:name="_Toc378170480"/>
      <w:r>
        <w:rPr>
          <w:rStyle w:val="CharSectno"/>
        </w:rPr>
        <w:t>10</w:t>
      </w:r>
      <w:r>
        <w:rPr>
          <w:snapToGrid w:val="0"/>
        </w:rPr>
        <w:t>.</w:t>
      </w:r>
      <w:r>
        <w:rPr>
          <w:snapToGrid w:val="0"/>
        </w:rPr>
        <w:tab/>
        <w:t>Dealers to leave premises when so requested</w:t>
      </w:r>
      <w:bookmarkEnd w:id="21"/>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22" w:name="_Toc378170481"/>
      <w:r>
        <w:rPr>
          <w:rStyle w:val="CharSectno"/>
        </w:rPr>
        <w:t>11</w:t>
      </w:r>
      <w:r>
        <w:rPr>
          <w:snapToGrid w:val="0"/>
        </w:rPr>
        <w:t>.</w:t>
      </w:r>
      <w:r>
        <w:rPr>
          <w:snapToGrid w:val="0"/>
        </w:rPr>
        <w:tab/>
        <w:t>Dealers to indicate their purpose for making calls</w:t>
      </w:r>
      <w:bookmarkEnd w:id="22"/>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23" w:name="_Toc378170482"/>
      <w:r>
        <w:rPr>
          <w:rStyle w:val="CharSectno"/>
        </w:rPr>
        <w:t>12</w:t>
      </w:r>
      <w:r>
        <w:rPr>
          <w:snapToGrid w:val="0"/>
        </w:rPr>
        <w:t>.</w:t>
      </w:r>
      <w:r>
        <w:rPr>
          <w:snapToGrid w:val="0"/>
        </w:rPr>
        <w:tab/>
        <w:t>Offence to harass or coerce</w:t>
      </w:r>
      <w:bookmarkEnd w:id="23"/>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24" w:name="_Toc378170483"/>
      <w:r>
        <w:rPr>
          <w:rStyle w:val="CharPartNo"/>
        </w:rPr>
        <w:t>Part IV</w:t>
      </w:r>
      <w:r>
        <w:rPr>
          <w:rStyle w:val="CharDivNo"/>
        </w:rPr>
        <w:t> </w:t>
      </w:r>
      <w:r>
        <w:t>—</w:t>
      </w:r>
      <w:r>
        <w:rPr>
          <w:rStyle w:val="CharDivText"/>
        </w:rPr>
        <w:t> </w:t>
      </w:r>
      <w:r>
        <w:rPr>
          <w:rStyle w:val="CharPartText"/>
        </w:rPr>
        <w:t>Rescission of contracts to which this Act applies</w:t>
      </w:r>
      <w:bookmarkEnd w:id="24"/>
      <w:r>
        <w:rPr>
          <w:rStyle w:val="CharPartText"/>
        </w:rPr>
        <w:t xml:space="preserve"> </w:t>
      </w:r>
    </w:p>
    <w:p>
      <w:pPr>
        <w:pStyle w:val="Heading5"/>
        <w:rPr>
          <w:snapToGrid w:val="0"/>
        </w:rPr>
      </w:pPr>
      <w:bookmarkStart w:id="25" w:name="_Toc378170484"/>
      <w:r>
        <w:rPr>
          <w:rStyle w:val="CharSectno"/>
        </w:rPr>
        <w:t>13</w:t>
      </w:r>
      <w:r>
        <w:rPr>
          <w:snapToGrid w:val="0"/>
        </w:rPr>
        <w:t>.</w:t>
      </w:r>
      <w:r>
        <w:rPr>
          <w:snapToGrid w:val="0"/>
        </w:rPr>
        <w:tab/>
        <w:t>Right of consumer to rescind contracts to which this Act applies</w:t>
      </w:r>
      <w:bookmarkEnd w:id="25"/>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26" w:name="_Toc378170485"/>
      <w:r>
        <w:rPr>
          <w:rStyle w:val="CharSectno"/>
        </w:rPr>
        <w:t>14</w:t>
      </w:r>
      <w:r>
        <w:rPr>
          <w:snapToGrid w:val="0"/>
        </w:rPr>
        <w:t>.</w:t>
      </w:r>
      <w:r>
        <w:rPr>
          <w:snapToGrid w:val="0"/>
        </w:rPr>
        <w:tab/>
        <w:t>Exercise of right of rescission</w:t>
      </w:r>
      <w:bookmarkEnd w:id="2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27" w:name="_Toc378170486"/>
      <w:r>
        <w:rPr>
          <w:rStyle w:val="CharSectno"/>
        </w:rPr>
        <w:t>15</w:t>
      </w:r>
      <w:r>
        <w:rPr>
          <w:snapToGrid w:val="0"/>
        </w:rPr>
        <w:t>.</w:t>
      </w:r>
      <w:r>
        <w:rPr>
          <w:snapToGrid w:val="0"/>
        </w:rPr>
        <w:tab/>
        <w:t>Restitution following rescission</w:t>
      </w:r>
      <w:bookmarkEnd w:id="27"/>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28" w:name="_Toc378170487"/>
      <w:r>
        <w:rPr>
          <w:rStyle w:val="CharSectno"/>
        </w:rPr>
        <w:t>16</w:t>
      </w:r>
      <w:r>
        <w:rPr>
          <w:snapToGrid w:val="0"/>
        </w:rPr>
        <w:t>.</w:t>
      </w:r>
      <w:r>
        <w:rPr>
          <w:snapToGrid w:val="0"/>
        </w:rPr>
        <w:tab/>
        <w:t>Related contract or instrument also void</w:t>
      </w:r>
      <w:bookmarkEnd w:id="28"/>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keepNext/>
        <w:keepLines/>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pPr>
      <w:r>
        <w:tab/>
        <w:t xml:space="preserve">[Section 16 amended by No. 30 of 1996 s. 13; No. 14 of 2010 s. 10.] </w:t>
      </w:r>
    </w:p>
    <w:p>
      <w:pPr>
        <w:pStyle w:val="Heading5"/>
        <w:rPr>
          <w:snapToGrid w:val="0"/>
        </w:rPr>
      </w:pPr>
      <w:bookmarkStart w:id="29" w:name="_Toc378170488"/>
      <w:r>
        <w:rPr>
          <w:rStyle w:val="CharSectno"/>
        </w:rPr>
        <w:t>17</w:t>
      </w:r>
      <w:r>
        <w:rPr>
          <w:snapToGrid w:val="0"/>
        </w:rPr>
        <w:t>.</w:t>
      </w:r>
      <w:r>
        <w:rPr>
          <w:snapToGrid w:val="0"/>
        </w:rPr>
        <w:tab/>
        <w:t>Consumers not competent to waive rights</w:t>
      </w:r>
      <w:bookmarkEnd w:id="29"/>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30" w:name="_Toc378170489"/>
      <w:r>
        <w:rPr>
          <w:rStyle w:val="CharSectno"/>
        </w:rPr>
        <w:t>18</w:t>
      </w:r>
      <w:r>
        <w:rPr>
          <w:snapToGrid w:val="0"/>
        </w:rPr>
        <w:t>.</w:t>
      </w:r>
      <w:r>
        <w:rPr>
          <w:snapToGrid w:val="0"/>
        </w:rPr>
        <w:tab/>
        <w:t>Prohibition of action to recover amount under contract in certain circumstances</w:t>
      </w:r>
      <w:bookmarkEnd w:id="30"/>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r>
        <w:tab/>
        <w:t>[Section 18 amended by No. 84 of 2004 s. 82.]</w:t>
      </w:r>
    </w:p>
    <w:p>
      <w:pPr>
        <w:pStyle w:val="Heading2"/>
      </w:pPr>
      <w:bookmarkStart w:id="31" w:name="_Toc378170490"/>
      <w:r>
        <w:rPr>
          <w:rStyle w:val="CharPartNo"/>
        </w:rPr>
        <w:t>Part V</w:t>
      </w:r>
      <w:r>
        <w:rPr>
          <w:rStyle w:val="CharDivNo"/>
        </w:rPr>
        <w:t> </w:t>
      </w:r>
      <w:r>
        <w:t>—</w:t>
      </w:r>
      <w:r>
        <w:rPr>
          <w:rStyle w:val="CharDivText"/>
        </w:rPr>
        <w:t> </w:t>
      </w:r>
      <w:r>
        <w:rPr>
          <w:rStyle w:val="CharPartText"/>
        </w:rPr>
        <w:t>Miscellaneous</w:t>
      </w:r>
      <w:bookmarkEnd w:id="31"/>
      <w:r>
        <w:rPr>
          <w:rStyle w:val="CharPartText"/>
        </w:rPr>
        <w:t xml:space="preserve"> </w:t>
      </w:r>
    </w:p>
    <w:p>
      <w:pPr>
        <w:pStyle w:val="Heading5"/>
        <w:rPr>
          <w:snapToGrid w:val="0"/>
        </w:rPr>
      </w:pPr>
      <w:bookmarkStart w:id="32" w:name="_Toc378170491"/>
      <w:r>
        <w:rPr>
          <w:rStyle w:val="CharSectno"/>
        </w:rPr>
        <w:t>19</w:t>
      </w:r>
      <w:r>
        <w:rPr>
          <w:snapToGrid w:val="0"/>
        </w:rPr>
        <w:t>.</w:t>
      </w:r>
      <w:r>
        <w:rPr>
          <w:snapToGrid w:val="0"/>
        </w:rPr>
        <w:tab/>
        <w:t>Prohibition on securities hawking unaffected by this Act</w:t>
      </w:r>
      <w:bookmarkEnd w:id="32"/>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33" w:name="_Toc378170492"/>
      <w:r>
        <w:rPr>
          <w:rStyle w:val="CharSectno"/>
        </w:rPr>
        <w:t>20</w:t>
      </w:r>
      <w:r>
        <w:rPr>
          <w:snapToGrid w:val="0"/>
        </w:rPr>
        <w:t>.</w:t>
      </w:r>
      <w:r>
        <w:rPr>
          <w:snapToGrid w:val="0"/>
        </w:rPr>
        <w:tab/>
        <w:t>Vicarious liability</w:t>
      </w:r>
      <w:bookmarkEnd w:id="33"/>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34" w:name="_Toc378170493"/>
      <w:r>
        <w:rPr>
          <w:rStyle w:val="CharSectno"/>
        </w:rPr>
        <w:t>21</w:t>
      </w:r>
      <w:r>
        <w:rPr>
          <w:snapToGrid w:val="0"/>
        </w:rPr>
        <w:t>.</w:t>
      </w:r>
      <w:r>
        <w:rPr>
          <w:snapToGrid w:val="0"/>
        </w:rPr>
        <w:tab/>
        <w:t>Evidentiary provision</w:t>
      </w:r>
      <w:bookmarkEnd w:id="34"/>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35" w:name="_Toc378170494"/>
      <w:r>
        <w:rPr>
          <w:rStyle w:val="CharSectno"/>
        </w:rPr>
        <w:t>22</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6" w:name="_Toc378170495"/>
      <w:r>
        <w:rPr>
          <w:rStyle w:val="CharSectno"/>
        </w:rPr>
        <w:t>23</w:t>
      </w:r>
      <w:r>
        <w:rPr>
          <w:snapToGrid w:val="0"/>
        </w:rPr>
        <w:t>.</w:t>
      </w:r>
      <w:r>
        <w:rPr>
          <w:snapToGrid w:val="0"/>
        </w:rPr>
        <w:tab/>
        <w:t>Repeal and saving provision</w:t>
      </w:r>
      <w:bookmarkEnd w:id="36"/>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37" w:name="_Toc378170496"/>
      <w:r>
        <w:t>Notes</w:t>
      </w:r>
      <w:bookmarkEnd w:id="37"/>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8170497"/>
      <w:r>
        <w:rPr>
          <w:snapToGrid w:val="0"/>
        </w:rPr>
        <w:t>Compilation table</w:t>
      </w:r>
      <w:bookmarkEnd w:id="38"/>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ind w:left="62"/>
              <w:rPr>
                <w:sz w:val="19"/>
              </w:rPr>
            </w:pPr>
            <w:r>
              <w:rPr>
                <w:snapToGrid w:val="0"/>
                <w:sz w:val="19"/>
              </w:rPr>
              <w:t>84 of 2004</w:t>
            </w:r>
          </w:p>
        </w:tc>
        <w:tc>
          <w:tcPr>
            <w:tcW w:w="1134" w:type="dxa"/>
          </w:tcPr>
          <w:p>
            <w:pPr>
              <w:pStyle w:val="nTable"/>
              <w:spacing w:after="40"/>
              <w:ind w:left="20"/>
              <w:rPr>
                <w:sz w:val="19"/>
              </w:rPr>
            </w:pPr>
            <w:r>
              <w:rPr>
                <w:sz w:val="19"/>
              </w:rPr>
              <w:t>16 Dec 2004</w:t>
            </w:r>
          </w:p>
        </w:tc>
        <w:tc>
          <w:tcPr>
            <w:tcW w:w="2552" w:type="dxa"/>
          </w:tcPr>
          <w:p>
            <w:pPr>
              <w:pStyle w:val="nTable"/>
              <w:spacing w:after="40"/>
              <w:ind w:left="62"/>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 xml:space="preserve">Credit (Commonwealth Powers) (Transitional and Consequential Provisions) Act 2010 </w:t>
            </w:r>
            <w:r>
              <w:rPr>
                <w:snapToGrid w:val="0"/>
                <w:sz w:val="19"/>
              </w:rPr>
              <w:t>s. 10</w:t>
            </w:r>
          </w:p>
        </w:tc>
        <w:tc>
          <w:tcPr>
            <w:tcW w:w="1134" w:type="dxa"/>
          </w:tcPr>
          <w:p>
            <w:pPr>
              <w:pStyle w:val="nTable"/>
              <w:spacing w:after="40"/>
              <w:ind w:left="62"/>
              <w:rPr>
                <w:snapToGrid w:val="0"/>
                <w:sz w:val="19"/>
              </w:rPr>
            </w:pPr>
            <w:r>
              <w:rPr>
                <w:snapToGrid w:val="0"/>
                <w:sz w:val="19"/>
              </w:rPr>
              <w:t>14 of 2010</w:t>
            </w:r>
          </w:p>
        </w:tc>
        <w:tc>
          <w:tcPr>
            <w:tcW w:w="1134" w:type="dxa"/>
          </w:tcPr>
          <w:p>
            <w:pPr>
              <w:pStyle w:val="nTable"/>
              <w:spacing w:after="40"/>
              <w:ind w:left="20"/>
              <w:rPr>
                <w:sz w:val="19"/>
              </w:rPr>
            </w:pPr>
            <w:r>
              <w:rPr>
                <w:sz w:val="19"/>
              </w:rPr>
              <w:t>25 Jun 2010</w:t>
            </w:r>
          </w:p>
        </w:tc>
        <w:tc>
          <w:tcPr>
            <w:tcW w:w="2552" w:type="dxa"/>
          </w:tcPr>
          <w:p>
            <w:pPr>
              <w:pStyle w:val="nTable"/>
              <w:spacing w:after="40"/>
              <w:ind w:left="62"/>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cantSplit/>
        </w:trPr>
        <w:tc>
          <w:tcPr>
            <w:tcW w:w="2268" w:type="dxa"/>
            <w:tcBorders>
              <w:bottom w:val="single" w:sz="8" w:space="0" w:color="auto"/>
            </w:tcBorders>
          </w:tcPr>
          <w:p>
            <w:pPr>
              <w:pStyle w:val="nTable"/>
              <w:spacing w:after="40"/>
              <w:ind w:right="113"/>
              <w:rPr>
                <w:i/>
                <w:iCs/>
                <w:snapToGrid w:val="0"/>
                <w:sz w:val="19"/>
              </w:rPr>
            </w:pPr>
            <w:r>
              <w:rPr>
                <w:i/>
                <w:noProof/>
                <w:snapToGrid w:val="0"/>
                <w:sz w:val="19"/>
              </w:rPr>
              <w:t>Fair Trading Act 2010</w:t>
            </w:r>
            <w:r>
              <w:rPr>
                <w:iCs/>
                <w:noProof/>
                <w:snapToGrid w:val="0"/>
                <w:sz w:val="19"/>
              </w:rPr>
              <w:t xml:space="preserve"> Pt. 10 Div. 2</w:t>
            </w:r>
          </w:p>
        </w:tc>
        <w:tc>
          <w:tcPr>
            <w:tcW w:w="1134" w:type="dxa"/>
            <w:tcBorders>
              <w:bottom w:val="single" w:sz="8" w:space="0" w:color="auto"/>
            </w:tcBorders>
          </w:tcPr>
          <w:p>
            <w:pPr>
              <w:pStyle w:val="nTable"/>
              <w:spacing w:after="40"/>
              <w:ind w:left="62"/>
              <w:rPr>
                <w:snapToGrid w:val="0"/>
                <w:sz w:val="19"/>
              </w:rPr>
            </w:pPr>
            <w:r>
              <w:rPr>
                <w:snapToGrid w:val="0"/>
                <w:sz w:val="19"/>
              </w:rPr>
              <w:t>57 of 2010</w:t>
            </w:r>
          </w:p>
        </w:tc>
        <w:tc>
          <w:tcPr>
            <w:tcW w:w="1134" w:type="dxa"/>
            <w:tcBorders>
              <w:bottom w:val="single" w:sz="8" w:space="0" w:color="auto"/>
            </w:tcBorders>
          </w:tcPr>
          <w:p>
            <w:pPr>
              <w:pStyle w:val="nTable"/>
              <w:spacing w:after="40"/>
              <w:ind w:left="20"/>
              <w:rPr>
                <w:sz w:val="19"/>
              </w:rPr>
            </w:pPr>
            <w:r>
              <w:rPr>
                <w:snapToGrid w:val="0"/>
                <w:sz w:val="19"/>
              </w:rPr>
              <w:t>8 Dec 2010</w:t>
            </w:r>
          </w:p>
        </w:tc>
        <w:tc>
          <w:tcPr>
            <w:tcW w:w="2552" w:type="dxa"/>
            <w:tcBorders>
              <w:bottom w:val="single" w:sz="8" w:space="0" w:color="auto"/>
            </w:tcBorders>
          </w:tcPr>
          <w:p>
            <w:pPr>
              <w:pStyle w:val="nTable"/>
              <w:spacing w:after="40"/>
              <w:ind w:left="62"/>
              <w:rPr>
                <w:snapToGrid w:val="0"/>
                <w:sz w:val="19"/>
              </w:rPr>
            </w:pPr>
            <w:r>
              <w:rPr>
                <w:snapToGrid w:val="0"/>
                <w:sz w:val="19"/>
              </w:rPr>
              <w:t xml:space="preserve">1 Jan 2011 (see s. 2(b) and </w:t>
            </w:r>
            <w:r>
              <w:rPr>
                <w:i/>
                <w:iCs/>
                <w:snapToGrid w:val="0"/>
                <w:sz w:val="19"/>
              </w:rPr>
              <w:t>Gazette</w:t>
            </w:r>
            <w:r>
              <w:rPr>
                <w:snapToGrid w:val="0"/>
                <w:sz w:val="19"/>
              </w:rPr>
              <w:t xml:space="preserve"> 24 Dec 2010 p. 6805)</w:t>
            </w:r>
          </w:p>
        </w:tc>
      </w:tr>
    </w:tbl>
    <w:p>
      <w:pPr>
        <w:pStyle w:val="nSubsection"/>
        <w:rPr>
          <w:snapToGrid w:val="0"/>
        </w:rPr>
      </w:pPr>
    </w:p>
    <w:p>
      <w:pPr>
        <w:pStyle w:val="nSubsection"/>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rPr>
          <w:snapToGrid w:val="0"/>
        </w:rPr>
      </w:pPr>
    </w:p>
    <w:p>
      <w:pPr>
        <w:pStyle w:val="nHeading2"/>
        <w:rPr>
          <w:sz w:val="28"/>
        </w:rPr>
      </w:pPr>
      <w:bookmarkStart w:id="39" w:name="_Toc378170498"/>
      <w:r>
        <w:rPr>
          <w:sz w:val="28"/>
        </w:rPr>
        <w:t>Defined Terms</w:t>
      </w:r>
      <w:bookmarkEnd w:id="3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0" w:name="DefinedTerms"/>
      <w:bookmarkEnd w:id="40"/>
      <w:r>
        <w:rPr>
          <w:snapToGrid w:val="0"/>
        </w:rPr>
        <w:t>business</w:t>
      </w:r>
      <w:r>
        <w:rPr>
          <w:snapToGrid w:val="0"/>
        </w:rPr>
        <w:tab/>
        <w:t>3(1)</w:t>
      </w:r>
    </w:p>
    <w:p>
      <w:pPr>
        <w:pStyle w:val="DefinedTerms"/>
        <w:rPr>
          <w:snapToGrid w:val="0"/>
        </w:rPr>
      </w:pPr>
      <w:r>
        <w:rPr>
          <w:snapToGrid w:val="0"/>
        </w:rPr>
        <w:t>commencement day</w:t>
      </w:r>
      <w:r>
        <w:rPr>
          <w:snapToGrid w:val="0"/>
        </w:rPr>
        <w:tab/>
        <w:t>3C(1), 3(1)</w:t>
      </w:r>
    </w:p>
    <w:p>
      <w:pPr>
        <w:pStyle w:val="DefinedTerms"/>
        <w:rPr>
          <w:snapToGrid w:val="0"/>
        </w:rPr>
      </w:pPr>
      <w:r>
        <w:rPr>
          <w:snapToGrid w:val="0"/>
        </w:rPr>
        <w:t>Commissioner</w:t>
      </w:r>
      <w:r>
        <w:rPr>
          <w:snapToGrid w:val="0"/>
        </w:rPr>
        <w:tab/>
        <w:t>3B(3)</w:t>
      </w:r>
    </w:p>
    <w:p>
      <w:pPr>
        <w:pStyle w:val="DefinedTerms"/>
        <w:rPr>
          <w:snapToGrid w:val="0"/>
        </w:rPr>
      </w:pPr>
      <w:r>
        <w:rPr>
          <w:snapToGrid w:val="0"/>
        </w:rPr>
        <w:t>consumer</w:t>
      </w:r>
      <w:r>
        <w:rPr>
          <w:snapToGrid w:val="0"/>
        </w:rPr>
        <w:tab/>
        <w:t>3(1)</w:t>
      </w:r>
    </w:p>
    <w:p>
      <w:pPr>
        <w:pStyle w:val="DefinedTerms"/>
        <w:rPr>
          <w:snapToGrid w:val="0"/>
        </w:rPr>
      </w:pPr>
      <w:r>
        <w:rPr>
          <w:snapToGrid w:val="0"/>
        </w:rPr>
        <w:t>contract to which this Act applies</w:t>
      </w:r>
      <w:r>
        <w:rPr>
          <w:snapToGrid w:val="0"/>
        </w:rPr>
        <w:tab/>
        <w:t>3(1), 5(3)</w:t>
      </w:r>
    </w:p>
    <w:p>
      <w:pPr>
        <w:pStyle w:val="DefinedTerms"/>
        <w:rPr>
          <w:snapToGrid w:val="0"/>
        </w:rPr>
      </w:pPr>
      <w:r>
        <w:rPr>
          <w:snapToGrid w:val="0"/>
        </w:rPr>
        <w:t>cooling</w:t>
      </w:r>
      <w:r>
        <w:rPr>
          <w:snapToGrid w:val="0"/>
        </w:rPr>
        <w:noBreakHyphen/>
        <w:t>off period</w:t>
      </w:r>
      <w:r>
        <w:rPr>
          <w:snapToGrid w:val="0"/>
        </w:rPr>
        <w:tab/>
        <w:t>3(1)</w:t>
      </w:r>
    </w:p>
    <w:p>
      <w:pPr>
        <w:pStyle w:val="DefinedTerms"/>
        <w:rPr>
          <w:snapToGrid w:val="0"/>
        </w:rPr>
      </w:pPr>
      <w:r>
        <w:rPr>
          <w:snapToGrid w:val="0"/>
        </w:rPr>
        <w:t>credit</w:t>
      </w:r>
      <w:r>
        <w:rPr>
          <w:snapToGrid w:val="0"/>
        </w:rPr>
        <w:tab/>
        <w:t>3(1)</w:t>
      </w:r>
    </w:p>
    <w:p>
      <w:pPr>
        <w:pStyle w:val="DefinedTerms"/>
        <w:rPr>
          <w:snapToGrid w:val="0"/>
        </w:rPr>
      </w:pPr>
      <w:r>
        <w:rPr>
          <w:snapToGrid w:val="0"/>
        </w:rPr>
        <w:t>dealer</w:t>
      </w:r>
      <w:r>
        <w:rPr>
          <w:snapToGrid w:val="0"/>
        </w:rPr>
        <w:tab/>
        <w:t>3(1)</w:t>
      </w:r>
    </w:p>
    <w:p>
      <w:pPr>
        <w:pStyle w:val="DefinedTerms"/>
        <w:rPr>
          <w:snapToGrid w:val="0"/>
        </w:rPr>
      </w:pPr>
      <w:r>
        <w:rPr>
          <w:snapToGrid w:val="0"/>
        </w:rPr>
        <w:t>door to door trading</w:t>
      </w:r>
      <w:r>
        <w:rPr>
          <w:snapToGrid w:val="0"/>
        </w:rPr>
        <w:tab/>
        <w:t>3(1)</w:t>
      </w:r>
    </w:p>
    <w:p>
      <w:pPr>
        <w:pStyle w:val="DefinedTerms"/>
        <w:rPr>
          <w:snapToGrid w:val="0"/>
        </w:rPr>
      </w:pPr>
      <w:r>
        <w:rPr>
          <w:snapToGrid w:val="0"/>
        </w:rPr>
        <w:t>goods</w:t>
      </w:r>
      <w:r>
        <w:rPr>
          <w:snapToGrid w:val="0"/>
        </w:rPr>
        <w:tab/>
        <w:t>3(1)</w:t>
      </w:r>
    </w:p>
    <w:p>
      <w:pPr>
        <w:pStyle w:val="DefinedTerms"/>
        <w:rPr>
          <w:snapToGrid w:val="0"/>
        </w:rPr>
      </w:pPr>
      <w:r>
        <w:rPr>
          <w:snapToGrid w:val="0"/>
        </w:rPr>
        <w:t>negotiation</w:t>
      </w:r>
      <w:r>
        <w:rPr>
          <w:snapToGrid w:val="0"/>
        </w:rPr>
        <w:tab/>
        <w:t>3(1)</w:t>
      </w:r>
    </w:p>
    <w:p>
      <w:pPr>
        <w:pStyle w:val="DefinedTerms"/>
        <w:rPr>
          <w:snapToGrid w:val="0"/>
        </w:rPr>
      </w:pPr>
      <w:r>
        <w:rPr>
          <w:snapToGrid w:val="0"/>
        </w:rPr>
        <w:t>prescribed contract</w:t>
      </w:r>
      <w:r>
        <w:rPr>
          <w:snapToGrid w:val="0"/>
        </w:rPr>
        <w:tab/>
        <w:t>3(1)</w:t>
      </w:r>
    </w:p>
    <w:p>
      <w:pPr>
        <w:pStyle w:val="DefinedTerms"/>
        <w:rPr>
          <w:snapToGrid w:val="0"/>
        </w:rPr>
      </w:pPr>
      <w:r>
        <w:rPr>
          <w:snapToGrid w:val="0"/>
        </w:rPr>
        <w:t>public holiday</w:t>
      </w:r>
      <w:r>
        <w:rPr>
          <w:snapToGrid w:val="0"/>
        </w:rPr>
        <w:tab/>
        <w:t>3(1)</w:t>
      </w:r>
    </w:p>
    <w:p>
      <w:pPr>
        <w:pStyle w:val="DefinedTerms"/>
        <w:rPr>
          <w:snapToGrid w:val="0"/>
        </w:rPr>
      </w:pPr>
      <w:r>
        <w:rPr>
          <w:snapToGrid w:val="0"/>
        </w:rPr>
        <w:t>related contract or instrument</w:t>
      </w:r>
      <w:r>
        <w:rPr>
          <w:snapToGrid w:val="0"/>
        </w:rPr>
        <w:tab/>
        <w:t>3(1)</w:t>
      </w:r>
    </w:p>
    <w:p>
      <w:pPr>
        <w:pStyle w:val="DefinedTerms"/>
        <w:rPr>
          <w:snapToGrid w:val="0"/>
        </w:rPr>
      </w:pPr>
      <w:r>
        <w:rPr>
          <w:snapToGrid w:val="0"/>
        </w:rPr>
        <w:t>rescission</w:t>
      </w:r>
      <w:r>
        <w:rPr>
          <w:snapToGrid w:val="0"/>
        </w:rPr>
        <w:tab/>
        <w:t>3(1)</w:t>
      </w:r>
    </w:p>
    <w:p>
      <w:pPr>
        <w:pStyle w:val="DefinedTerms"/>
        <w:rPr>
          <w:snapToGrid w:val="0"/>
        </w:rPr>
      </w:pPr>
      <w:r>
        <w:rPr>
          <w:snapToGrid w:val="0"/>
        </w:rPr>
        <w:t>services</w:t>
      </w:r>
      <w:r>
        <w:rPr>
          <w:snapToGrid w:val="0"/>
        </w:rPr>
        <w:tab/>
        <w:t>3(1)</w:t>
      </w:r>
    </w:p>
    <w:p>
      <w:pPr>
        <w:pStyle w:val="DefinedTerms"/>
        <w:rPr>
          <w:snapToGrid w:val="0"/>
        </w:rPr>
      </w:pPr>
      <w:r>
        <w:rPr>
          <w:snapToGrid w:val="0"/>
        </w:rPr>
        <w:t>supplier</w:t>
      </w:r>
      <w:r>
        <w:rPr>
          <w:snapToGrid w:val="0"/>
        </w:rPr>
        <w:tab/>
        <w:t>3(1)</w:t>
      </w:r>
    </w:p>
    <w:p>
      <w:pPr>
        <w:pStyle w:val="DefinedTerms"/>
        <w:rPr>
          <w:snapToGrid w:val="0"/>
        </w:rPr>
      </w:pPr>
      <w:r>
        <w:rPr>
          <w:snapToGrid w:val="0"/>
        </w:rPr>
        <w:t>supply</w:t>
      </w:r>
      <w:r>
        <w:rPr>
          <w:snapToGrid w:val="0"/>
        </w:rPr>
        <w:tab/>
        <w:t>3(1)</w:t>
      </w:r>
    </w:p>
    <w:p>
      <w:pPr>
        <w:pStyle w:val="DefinedTerms"/>
        <w:rPr>
          <w:snapToGrid w:val="0"/>
        </w:rPr>
      </w:pPr>
      <w:r>
        <w:rPr>
          <w:snapToGrid w:val="0"/>
        </w:rPr>
        <w:t>the prescribed amount</w:t>
      </w:r>
      <w:r>
        <w:rPr>
          <w:snapToGrid w:val="0"/>
        </w:rPr>
        <w:tab/>
        <w:t>6(5)</w:t>
      </w:r>
    </w:p>
    <w:p>
      <w:pPr>
        <w:pStyle w:val="DefinedTerms"/>
        <w:rPr>
          <w:snapToGrid w:val="0"/>
        </w:rPr>
      </w:pPr>
      <w:r>
        <w:rPr>
          <w:snapToGrid w:val="0"/>
        </w:rPr>
        <w:t>to negotiate</w:t>
      </w:r>
      <w:r>
        <w:rPr>
          <w:snapToGrid w:val="0"/>
        </w:rPr>
        <w:tab/>
        <w:t>3(1)</w:t>
      </w:r>
    </w:p>
    <w:p>
      <w:pPr>
        <w:pStyle w:val="DefinedTerms"/>
        <w:rPr>
          <w:snapToGrid w:val="0"/>
        </w:rPr>
      </w:pPr>
      <w:r>
        <w:rPr>
          <w:snapToGrid w:val="0"/>
        </w:rPr>
        <w:t>trade premises</w:t>
      </w:r>
      <w:r>
        <w:rPr>
          <w:snapToGrid w:val="0"/>
        </w:rPr>
        <w:tab/>
        <w:t>3(1)</w:t>
      </w:r>
    </w:p>
    <w:p>
      <w:pPr>
        <w:pStyle w:val="DefinedTerms"/>
        <w:rPr>
          <w:snapToGrid w:val="0"/>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7"/>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45"/>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51210085645" w:val="RemoveTrackChanges"/>
    <w:docVar w:name="WAFER_20151210085645_GUID" w:val="4cd73f1b-4881-4416-bffa-17845d462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5438</Words>
  <Characters>25671</Characters>
  <Application>Microsoft Office Word</Application>
  <DocSecurity>0</DocSecurity>
  <Lines>755</Lines>
  <Paragraphs>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1987 - 01-e0-03</dc:title>
  <dc:subject/>
  <dc:creator/>
  <cp:keywords/>
  <dc:description/>
  <cp:lastModifiedBy>svcMRProcess</cp:lastModifiedBy>
  <cp:revision>4</cp:revision>
  <cp:lastPrinted>2011-01-14T02:03:00Z</cp:lastPrinted>
  <dcterms:created xsi:type="dcterms:W3CDTF">2018-08-28T05:22:00Z</dcterms:created>
  <dcterms:modified xsi:type="dcterms:W3CDTF">2018-08-28T05:22:00Z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233</vt:i4>
  </property>
  <property fmtid="{D5CDD505-2E9C-101B-9397-08002B2CF9AE}" pid="6" name="AsAtDate">
    <vt:lpwstr>01 Jan 2011</vt:lpwstr>
  </property>
  <property fmtid="{D5CDD505-2E9C-101B-9397-08002B2CF9AE}" pid="7" name="Suffix">
    <vt:lpwstr>01-e0-03</vt:lpwstr>
  </property>
</Properties>
</file>