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Agriculture and Related Resources Protection Act 1976</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Agriculture and Related Resources Protection (Poison) Regulations 1983</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_Toc284239067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_Toc284239068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_Toc284239069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_Toc284239070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Sodium fluoroacetate</w:t>
      </w:r>
      <w:r>
        <w:tab/>
      </w:r>
      <w:r>
        <w:fldChar w:fldCharType="begin"/>
      </w:r>
      <w:r>
        <w:instrText xml:space="preserve"> PAGEREF _Toc284239071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Laying poison prohibited in certain areas</w:t>
      </w:r>
      <w:r>
        <w:tab/>
      </w:r>
      <w:r>
        <w:fldChar w:fldCharType="begin"/>
      </w:r>
      <w:r>
        <w:instrText xml:space="preserve"> PAGEREF _Toc284239072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Notice of intention to lay poison</w:t>
      </w:r>
      <w:r>
        <w:tab/>
      </w:r>
      <w:r>
        <w:fldChar w:fldCharType="begin"/>
      </w:r>
      <w:r>
        <w:instrText xml:space="preserve"> PAGEREF _Toc284239073 \h </w:instrText>
      </w:r>
      <w:r>
        <w:fldChar w:fldCharType="separate"/>
      </w:r>
      <w:r>
        <w:t>2</w:t>
      </w:r>
      <w:r>
        <w:fldChar w:fldCharType="end"/>
      </w:r>
    </w:p>
    <w:p>
      <w:pPr>
        <w:pStyle w:val="TOC8"/>
        <w:rPr>
          <w:sz w:val="24"/>
          <w:szCs w:val="24"/>
        </w:rPr>
      </w:pPr>
      <w:r>
        <w:rPr>
          <w:szCs w:val="24"/>
        </w:rPr>
        <w:t>8</w:t>
      </w:r>
      <w:r>
        <w:rPr>
          <w:snapToGrid w:val="0"/>
          <w:szCs w:val="24"/>
        </w:rPr>
        <w:t>.</w:t>
      </w:r>
      <w:r>
        <w:rPr>
          <w:snapToGrid w:val="0"/>
          <w:szCs w:val="24"/>
        </w:rPr>
        <w:tab/>
        <w:t>Erection of signs</w:t>
      </w:r>
      <w:r>
        <w:tab/>
      </w:r>
      <w:r>
        <w:fldChar w:fldCharType="begin"/>
      </w:r>
      <w:r>
        <w:instrText xml:space="preserve"> PAGEREF _Toc284239074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Securing bait</w:t>
      </w:r>
      <w:r>
        <w:tab/>
      </w:r>
      <w:r>
        <w:fldChar w:fldCharType="begin"/>
      </w:r>
      <w:r>
        <w:instrText xml:space="preserve"> PAGEREF _Toc284239075 \h </w:instrText>
      </w:r>
      <w:r>
        <w:fldChar w:fldCharType="separate"/>
      </w:r>
      <w:r>
        <w:t>3</w:t>
      </w:r>
      <w:r>
        <w:fldChar w:fldCharType="end"/>
      </w:r>
    </w:p>
    <w:p>
      <w:pPr>
        <w:pStyle w:val="TOC8"/>
        <w:rPr>
          <w:sz w:val="24"/>
          <w:szCs w:val="24"/>
        </w:rPr>
      </w:pPr>
      <w:r>
        <w:rPr>
          <w:szCs w:val="24"/>
        </w:rPr>
        <w:t>10</w:t>
      </w:r>
      <w:r>
        <w:rPr>
          <w:snapToGrid w:val="0"/>
          <w:szCs w:val="24"/>
        </w:rPr>
        <w:t>.</w:t>
      </w:r>
      <w:r>
        <w:rPr>
          <w:snapToGrid w:val="0"/>
          <w:szCs w:val="24"/>
        </w:rPr>
        <w:tab/>
        <w:t>Destroying baits</w:t>
      </w:r>
      <w:r>
        <w:tab/>
      </w:r>
      <w:r>
        <w:fldChar w:fldCharType="begin"/>
      </w:r>
      <w:r>
        <w:instrText xml:space="preserve"> PAGEREF _Toc284239076 \h </w:instrText>
      </w:r>
      <w:r>
        <w:fldChar w:fldCharType="separate"/>
      </w:r>
      <w:r>
        <w:t>3</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_Toc284239079 \h </w:instrText>
      </w:r>
      <w:r>
        <w:fldChar w:fldCharType="separate"/>
      </w:r>
      <w:r>
        <w:t>5</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1" w:name="_Toc58226631"/>
      <w:bookmarkStart w:id="2" w:name="_Toc61250828"/>
      <w:bookmarkStart w:id="3" w:name="_Toc125513698"/>
      <w:bookmarkStart w:id="4" w:name="_Toc284239067"/>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5" w:name="_Toc58226632"/>
      <w:bookmarkStart w:id="6" w:name="_Toc61250829"/>
      <w:bookmarkStart w:id="7" w:name="_Toc125513699"/>
      <w:bookmarkStart w:id="8" w:name="_Toc28423906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9" w:name="_Toc58226633"/>
      <w:bookmarkStart w:id="10" w:name="_Toc61250830"/>
      <w:bookmarkStart w:id="11" w:name="_Toc125513700"/>
      <w:bookmarkStart w:id="12" w:name="_Toc284239069"/>
      <w:r>
        <w:rPr>
          <w:rStyle w:val="CharSectno"/>
        </w:rPr>
        <w:t>3</w:t>
      </w:r>
      <w:r>
        <w:rPr>
          <w:snapToGrid w:val="0"/>
        </w:rPr>
        <w:t>.</w:t>
      </w:r>
      <w:r>
        <w:rPr>
          <w:snapToGrid w:val="0"/>
        </w:rPr>
        <w:tab/>
        <w:t>Repeal</w:t>
      </w:r>
      <w:bookmarkEnd w:id="9"/>
      <w:bookmarkEnd w:id="10"/>
      <w:bookmarkEnd w:id="11"/>
      <w:bookmarkEnd w:id="12"/>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13" w:name="_Toc58226634"/>
      <w:bookmarkStart w:id="14" w:name="_Toc61250831"/>
      <w:bookmarkStart w:id="15" w:name="_Toc125513701"/>
      <w:bookmarkStart w:id="16" w:name="_Toc284239070"/>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17" w:name="_Toc58226635"/>
      <w:bookmarkStart w:id="18" w:name="_Toc61250832"/>
      <w:bookmarkStart w:id="19" w:name="_Toc125513702"/>
      <w:bookmarkStart w:id="20" w:name="_Toc284239071"/>
      <w:r>
        <w:rPr>
          <w:rStyle w:val="CharSectno"/>
        </w:rPr>
        <w:t>5</w:t>
      </w:r>
      <w:r>
        <w:rPr>
          <w:snapToGrid w:val="0"/>
        </w:rPr>
        <w:t>.</w:t>
      </w:r>
      <w:r>
        <w:rPr>
          <w:snapToGrid w:val="0"/>
        </w:rPr>
        <w:tab/>
        <w:t>Sodium fluoroacetate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It shall not be lawful to lay baits containing sodium fluoroacetate for the purpose of destroying declared animals</w:t>
      </w:r>
      <w:r>
        <w:t xml:space="preserve"> unless the baits are laid by a person who is authorised to do so under the </w:t>
      </w:r>
      <w:r>
        <w:rPr>
          <w:i/>
        </w:rPr>
        <w:t>Health (Pesticides) Regulations 2011</w:t>
      </w:r>
      <w:r>
        <w:rPr>
          <w:iCs/>
        </w:rPr>
        <w:t>.</w:t>
      </w:r>
    </w:p>
    <w:p>
      <w:pPr>
        <w:pStyle w:val="Footnotesection"/>
      </w:pPr>
      <w:bookmarkStart w:id="21" w:name="_Toc58226636"/>
      <w:bookmarkStart w:id="22" w:name="_Toc61250833"/>
      <w:bookmarkStart w:id="23" w:name="_Toc125513703"/>
      <w:r>
        <w:tab/>
        <w:t>[Regulation 5 amended in Gazette 1 Feb 2011 p. 377.]</w:t>
      </w:r>
    </w:p>
    <w:p>
      <w:pPr>
        <w:pStyle w:val="Heading5"/>
        <w:rPr>
          <w:snapToGrid w:val="0"/>
        </w:rPr>
      </w:pPr>
      <w:bookmarkStart w:id="24" w:name="_Toc284239072"/>
      <w:r>
        <w:rPr>
          <w:rStyle w:val="CharSectno"/>
        </w:rPr>
        <w:t>6</w:t>
      </w:r>
      <w:r>
        <w:rPr>
          <w:snapToGrid w:val="0"/>
        </w:rPr>
        <w:t>.</w:t>
      </w:r>
      <w:r>
        <w:rPr>
          <w:snapToGrid w:val="0"/>
        </w:rPr>
        <w:tab/>
        <w:t>Laying poison prohibited in certain areas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a fine of $2 000</w:t>
      </w:r>
      <w:r>
        <w:rPr>
          <w:snapToGrid w:val="0"/>
        </w:rPr>
        <w:t>.</w:t>
      </w:r>
    </w:p>
    <w:p>
      <w:pPr>
        <w:pStyle w:val="Footnotesection"/>
      </w:pPr>
      <w:r>
        <w:tab/>
        <w:t>[Regulation 6 amended in Gazette 17 Dec 2010 p. 6425.]</w:t>
      </w:r>
    </w:p>
    <w:p>
      <w:pPr>
        <w:pStyle w:val="Heading5"/>
        <w:rPr>
          <w:snapToGrid w:val="0"/>
        </w:rPr>
      </w:pPr>
      <w:bookmarkStart w:id="25" w:name="_Toc58226637"/>
      <w:bookmarkStart w:id="26" w:name="_Toc61250834"/>
      <w:bookmarkStart w:id="27" w:name="_Toc125513704"/>
      <w:bookmarkStart w:id="28" w:name="_Toc284239073"/>
      <w:r>
        <w:rPr>
          <w:rStyle w:val="CharSectno"/>
        </w:rPr>
        <w:t>7</w:t>
      </w:r>
      <w:r>
        <w:rPr>
          <w:snapToGrid w:val="0"/>
        </w:rPr>
        <w:t>.</w:t>
      </w:r>
      <w:r>
        <w:rPr>
          <w:snapToGrid w:val="0"/>
        </w:rPr>
        <w:tab/>
        <w:t>Notice of intention to lay poison</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a fine of $2 000</w:t>
      </w:r>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pPr>
      <w:bookmarkStart w:id="29" w:name="_Toc58226638"/>
      <w:bookmarkStart w:id="30" w:name="_Toc61250835"/>
      <w:bookmarkStart w:id="31" w:name="_Toc125513705"/>
      <w:r>
        <w:tab/>
        <w:t>[Regulation 7 amended in Gazette 17 Dec 2010 p. 6425.]</w:t>
      </w:r>
    </w:p>
    <w:p>
      <w:pPr>
        <w:pStyle w:val="Heading5"/>
        <w:rPr>
          <w:snapToGrid w:val="0"/>
        </w:rPr>
      </w:pPr>
      <w:bookmarkStart w:id="32" w:name="_Toc284239074"/>
      <w:r>
        <w:rPr>
          <w:rStyle w:val="CharSectno"/>
        </w:rPr>
        <w:t>8</w:t>
      </w:r>
      <w:r>
        <w:rPr>
          <w:snapToGrid w:val="0"/>
        </w:rPr>
        <w:t>.</w:t>
      </w:r>
      <w:r>
        <w:rPr>
          <w:snapToGrid w:val="0"/>
        </w:rPr>
        <w:tab/>
        <w:t>Erection of signs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a fine of $2 000</w:t>
      </w:r>
      <w:r>
        <w:rPr>
          <w:snapToGrid w:val="0"/>
        </w:rPr>
        <w:t>.</w:t>
      </w:r>
    </w:p>
    <w:p>
      <w:pPr>
        <w:pStyle w:val="Footnotesection"/>
      </w:pPr>
      <w:bookmarkStart w:id="33" w:name="_Toc58226639"/>
      <w:bookmarkStart w:id="34" w:name="_Toc61250836"/>
      <w:bookmarkStart w:id="35" w:name="_Toc125513706"/>
      <w:r>
        <w:tab/>
        <w:t>[Regulation 8 amended in Gazette 17 Dec 2010 p. 6425.]</w:t>
      </w:r>
    </w:p>
    <w:p>
      <w:pPr>
        <w:pStyle w:val="Heading5"/>
        <w:rPr>
          <w:snapToGrid w:val="0"/>
        </w:rPr>
      </w:pPr>
      <w:bookmarkStart w:id="36" w:name="_Toc284239075"/>
      <w:r>
        <w:rPr>
          <w:rStyle w:val="CharSectno"/>
        </w:rPr>
        <w:t>9</w:t>
      </w:r>
      <w:r>
        <w:rPr>
          <w:snapToGrid w:val="0"/>
        </w:rPr>
        <w:t>.</w:t>
      </w:r>
      <w:r>
        <w:rPr>
          <w:snapToGrid w:val="0"/>
        </w:rPr>
        <w:tab/>
        <w:t>Securing bait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a fine of $2 000</w:t>
      </w:r>
      <w:r>
        <w:rPr>
          <w:snapToGrid w:val="0"/>
        </w:rPr>
        <w:t>.</w:t>
      </w:r>
    </w:p>
    <w:p>
      <w:pPr>
        <w:pStyle w:val="Footnotesection"/>
      </w:pPr>
      <w:bookmarkStart w:id="37" w:name="_Toc58226640"/>
      <w:bookmarkStart w:id="38" w:name="_Toc61250837"/>
      <w:bookmarkStart w:id="39" w:name="_Toc125513707"/>
      <w:r>
        <w:tab/>
        <w:t>[Regulation 9 amended in Gazette 17 Dec 2010 p. 6425.]</w:t>
      </w:r>
    </w:p>
    <w:p>
      <w:pPr>
        <w:pStyle w:val="Heading5"/>
        <w:rPr>
          <w:snapToGrid w:val="0"/>
        </w:rPr>
      </w:pPr>
      <w:bookmarkStart w:id="40" w:name="_Toc284239076"/>
      <w:r>
        <w:rPr>
          <w:rStyle w:val="CharSectno"/>
        </w:rPr>
        <w:t>10</w:t>
      </w:r>
      <w:r>
        <w:rPr>
          <w:snapToGrid w:val="0"/>
        </w:rPr>
        <w:t>.</w:t>
      </w:r>
      <w:r>
        <w:rPr>
          <w:snapToGrid w:val="0"/>
        </w:rPr>
        <w:tab/>
        <w:t>Destroying baits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a fine of $2 000</w:t>
      </w:r>
      <w:r>
        <w:rPr>
          <w:snapToGrid w:val="0"/>
        </w:rPr>
        <w:t>.</w:t>
      </w:r>
    </w:p>
    <w:p>
      <w:pPr>
        <w:pStyle w:val="Footnotesection"/>
      </w:pPr>
      <w:r>
        <w:tab/>
        <w:t>[Regulation 10 amended in Gazette 17 Dec 2010 p. 6425.]</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1" w:name="_Toc61250838"/>
      <w:bookmarkStart w:id="42" w:name="_Toc125513708"/>
      <w:bookmarkStart w:id="43" w:name="_Toc280603902"/>
      <w:bookmarkStart w:id="44" w:name="_Toc280619526"/>
      <w:bookmarkStart w:id="45" w:name="_Toc284236586"/>
      <w:bookmarkStart w:id="46" w:name="_Toc284239077"/>
      <w:r>
        <w:rPr>
          <w:rStyle w:val="CharSchNo"/>
        </w:rPr>
        <w:t>Schedule</w:t>
      </w:r>
      <w:bookmarkEnd w:id="41"/>
      <w:bookmarkEnd w:id="42"/>
      <w:bookmarkEnd w:id="43"/>
      <w:bookmarkEnd w:id="44"/>
      <w:bookmarkEnd w:id="45"/>
      <w:bookmarkEnd w:id="46"/>
      <w:r>
        <w:rPr>
          <w:rStyle w:val="CharSchText"/>
        </w:rPr>
        <w:t xml:space="preserve"> </w:t>
      </w:r>
    </w:p>
    <w:p>
      <w:pPr>
        <w:pStyle w:val="yNumberedItem"/>
        <w:rPr>
          <w:snapToGrid w:val="0"/>
        </w:rPr>
      </w:pPr>
      <w:r>
        <w:rPr>
          <w:snapToGrid w:val="0"/>
        </w:rPr>
        <w:tab/>
        <w:t>Strychnine.</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47" w:name="_Toc125513709"/>
      <w:bookmarkStart w:id="48" w:name="_Toc280603903"/>
      <w:bookmarkStart w:id="49" w:name="_Toc280619527"/>
      <w:bookmarkStart w:id="50" w:name="_Toc284236587"/>
      <w:bookmarkStart w:id="51" w:name="_Toc284239078"/>
      <w:r>
        <w:t>Notes</w:t>
      </w:r>
      <w:bookmarkEnd w:id="47"/>
      <w:bookmarkEnd w:id="48"/>
      <w:bookmarkEnd w:id="49"/>
      <w:bookmarkEnd w:id="50"/>
      <w:bookmarkEnd w:id="51"/>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r>
        <w:rPr>
          <w:snapToGrid w:val="0"/>
        </w:rPr>
        <w:t xml:space="preserve"> and includes the amendments made by the other written laws referred to in the following table.  The table also contains information about any reprint.</w:t>
      </w:r>
      <w:bookmarkStart w:id="52" w:name="UpToHere"/>
      <w:bookmarkEnd w:id="52"/>
    </w:p>
    <w:p>
      <w:pPr>
        <w:pStyle w:val="nHeading3"/>
        <w:rPr>
          <w:snapToGrid w:val="0"/>
        </w:rPr>
      </w:pPr>
      <w:bookmarkStart w:id="53" w:name="_Toc61250839"/>
      <w:bookmarkStart w:id="54" w:name="_Toc284239079"/>
      <w:r>
        <w:rPr>
          <w:snapToGrid w:val="0"/>
        </w:rPr>
        <w:t>Compilation table</w:t>
      </w:r>
      <w:bookmarkEnd w:id="53"/>
      <w:bookmarkEnd w:id="54"/>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pPr>
              <w:pStyle w:val="nTable"/>
              <w:spacing w:after="40"/>
              <w:rPr>
                <w:sz w:val="19"/>
              </w:rPr>
            </w:pPr>
            <w:r>
              <w:rPr>
                <w:sz w:val="19"/>
              </w:rPr>
              <w:t>29 Apr 1983 p. 1349</w:t>
            </w:r>
          </w:p>
        </w:tc>
        <w:tc>
          <w:tcPr>
            <w:tcW w:w="2693" w:type="dxa"/>
            <w:tcBorders>
              <w:top w:val="single" w:sz="8" w:space="0" w:color="auto"/>
              <w:bottom w:val="nil"/>
            </w:tcBorders>
          </w:tcPr>
          <w:p>
            <w:pPr>
              <w:pStyle w:val="nTable"/>
              <w:spacing w:after="40"/>
              <w:rPr>
                <w:sz w:val="19"/>
              </w:rPr>
            </w:pPr>
            <w:r>
              <w:rPr>
                <w:sz w:val="19"/>
              </w:rPr>
              <w:t>27 May 1983 (see r. 2)</w:t>
            </w:r>
          </w:p>
        </w:tc>
      </w:tr>
      <w:tr>
        <w:trPr>
          <w:cantSplit/>
        </w:trPr>
        <w:tc>
          <w:tcPr>
            <w:tcW w:w="7087" w:type="dxa"/>
            <w:gridSpan w:val="3"/>
            <w:tcBorders>
              <w:top w:val="nil"/>
              <w:bottom w:val="nil"/>
            </w:tcBorders>
          </w:tcPr>
          <w:p>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tc>
          <w:tcPr>
            <w:tcW w:w="3118" w:type="dxa"/>
            <w:tcBorders>
              <w:top w:val="nil"/>
              <w:bottom w:val="nil"/>
            </w:tcBorders>
          </w:tcPr>
          <w:p>
            <w:pPr>
              <w:pStyle w:val="nTable"/>
              <w:spacing w:after="40"/>
              <w:rPr>
                <w:iCs/>
                <w:sz w:val="19"/>
              </w:rPr>
            </w:pPr>
            <w:r>
              <w:rPr>
                <w:i/>
                <w:sz w:val="19"/>
              </w:rPr>
              <w:t>Agriculture and Related Resources Protection (Repeals and Amendments) Regulations 2010</w:t>
            </w:r>
            <w:r>
              <w:rPr>
                <w:iCs/>
                <w:sz w:val="19"/>
              </w:rPr>
              <w:t xml:space="preserve"> Pt. 9</w:t>
            </w:r>
          </w:p>
        </w:tc>
        <w:tc>
          <w:tcPr>
            <w:tcW w:w="1276" w:type="dxa"/>
            <w:tcBorders>
              <w:top w:val="nil"/>
              <w:bottom w:val="nil"/>
            </w:tcBorders>
          </w:tcPr>
          <w:p>
            <w:pPr>
              <w:pStyle w:val="nTable"/>
              <w:spacing w:after="40"/>
              <w:rPr>
                <w:sz w:val="19"/>
              </w:rPr>
            </w:pPr>
            <w:r>
              <w:rPr>
                <w:sz w:val="19"/>
              </w:rPr>
              <w:t>17 Dec 2010 p. 6403-32</w:t>
            </w:r>
          </w:p>
        </w:tc>
        <w:tc>
          <w:tcPr>
            <w:tcW w:w="2693" w:type="dxa"/>
            <w:tcBorders>
              <w:top w:val="nil"/>
              <w:bottom w:val="nil"/>
            </w:tcBorders>
          </w:tcPr>
          <w:p>
            <w:pPr>
              <w:pStyle w:val="nTable"/>
              <w:spacing w:after="40"/>
              <w:rPr>
                <w:sz w:val="19"/>
              </w:rPr>
            </w:pPr>
            <w:r>
              <w:rPr>
                <w:sz w:val="19"/>
              </w:rPr>
              <w:t xml:space="preserve">18 Dec 2010 (see r. 2(b) and </w:t>
            </w:r>
            <w:r>
              <w:rPr>
                <w:i/>
                <w:iCs/>
                <w:sz w:val="19"/>
              </w:rPr>
              <w:t>Gazette</w:t>
            </w:r>
            <w:r>
              <w:rPr>
                <w:sz w:val="19"/>
              </w:rPr>
              <w:t xml:space="preserve"> 17 Dec 2010 p. 6349)</w:t>
            </w:r>
          </w:p>
        </w:tc>
      </w:tr>
      <w:tr>
        <w:tc>
          <w:tcPr>
            <w:tcW w:w="3118" w:type="dxa"/>
            <w:tcBorders>
              <w:top w:val="nil"/>
              <w:bottom w:val="single" w:sz="4" w:space="0" w:color="auto"/>
            </w:tcBorders>
          </w:tcPr>
          <w:p>
            <w:pPr>
              <w:pStyle w:val="nTable"/>
              <w:spacing w:after="40"/>
              <w:rPr>
                <w:i/>
                <w:sz w:val="19"/>
              </w:rPr>
            </w:pPr>
            <w:r>
              <w:rPr>
                <w:i/>
                <w:sz w:val="19"/>
              </w:rPr>
              <w:t>Agriculture and Related Resources Protection (Poison) Amendment Regulations 2011</w:t>
            </w:r>
          </w:p>
        </w:tc>
        <w:tc>
          <w:tcPr>
            <w:tcW w:w="1276" w:type="dxa"/>
            <w:tcBorders>
              <w:top w:val="nil"/>
              <w:bottom w:val="single" w:sz="4" w:space="0" w:color="auto"/>
            </w:tcBorders>
          </w:tcPr>
          <w:p>
            <w:pPr>
              <w:pStyle w:val="nTable"/>
              <w:spacing w:after="40"/>
              <w:rPr>
                <w:sz w:val="19"/>
              </w:rPr>
            </w:pPr>
            <w:r>
              <w:rPr>
                <w:sz w:val="19"/>
              </w:rPr>
              <w:t>1 Feb 2011 p. 376-7</w:t>
            </w:r>
          </w:p>
        </w:tc>
        <w:tc>
          <w:tcPr>
            <w:tcW w:w="2693" w:type="dxa"/>
            <w:tcBorders>
              <w:top w:val="nil"/>
              <w:bottom w:val="single" w:sz="4" w:space="0" w:color="auto"/>
            </w:tcBorders>
          </w:tcPr>
          <w:p>
            <w:pPr>
              <w:pStyle w:val="nTable"/>
              <w:spacing w:after="40"/>
              <w:rPr>
                <w:sz w:val="19"/>
              </w:rPr>
            </w:pPr>
            <w:r>
              <w:rPr>
                <w:sz w:val="19"/>
              </w:rPr>
              <w:t>r. 1 and 2: 1 Feb 2011 (see r. 2(a));</w:t>
            </w:r>
            <w:r>
              <w:rPr>
                <w:sz w:val="19"/>
              </w:rPr>
              <w:br/>
              <w:t>Regulations other than r. 1 and 2: 2 Feb 2011 (see r. 2(b)(ii))</w:t>
            </w:r>
          </w:p>
        </w:tc>
      </w:tr>
    </w:tbl>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Agriculture and Related Resources Protection (Poison) Regulations 1983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(Poison) Regulations 1983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2123"/>
    <w:docVar w:name="WAFER_20151204132123" w:val="RemoveTrackChanges"/>
    <w:docVar w:name="WAFER_20151204132123_GUID" w:val="fc3db13a-7aae-40f7-bccd-3c27005ee0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1004</Words>
  <Characters>4812</Characters>
  <Application>Microsoft Office Word</Application>
  <DocSecurity>0</DocSecurity>
  <Lines>165</Lines>
  <Paragraphs>111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5705</CharactersWithSpaces>
  <SharedDoc>false</SharedDoc>
  <HLinks>
    <vt:vector size="6" baseType="variant">
      <vt:variant>
        <vt:i4>3014716</vt:i4>
      </vt:variant>
      <vt:variant>
        <vt:i4>-1</vt:i4>
      </vt:variant>
      <vt:variant>
        <vt:i4>1028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1983 - 01-c0-03</dc:title>
  <dc:subject/>
  <dc:creator/>
  <cp:keywords/>
  <dc:description/>
  <cp:lastModifiedBy>svcMRProcess</cp:lastModifiedBy>
  <cp:revision>4</cp:revision>
  <cp:lastPrinted>2003-12-12T06:43:00Z</cp:lastPrinted>
  <dcterms:created xsi:type="dcterms:W3CDTF">2015-12-04T16:02:00Z</dcterms:created>
  <dcterms:modified xsi:type="dcterms:W3CDTF">2015-12-04T16:02:00Z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20110202</vt:lpwstr>
  </property>
  <property fmtid="{D5CDD505-2E9C-101B-9397-08002B2CF9AE}" pid="4" name="DocumentType">
    <vt:lpwstr>Reg</vt:lpwstr>
  </property>
  <property fmtid="{D5CDD505-2E9C-101B-9397-08002B2CF9AE}" pid="5" name="OwlsUID">
    <vt:i4>4270</vt:i4>
  </property>
  <property fmtid="{D5CDD505-2E9C-101B-9397-08002B2CF9AE}" pid="6" name="AsAtDate">
    <vt:lpwstr>02 Feb 2011</vt:lpwstr>
  </property>
  <property fmtid="{D5CDD505-2E9C-101B-9397-08002B2CF9AE}" pid="7" name="Suffix">
    <vt:lpwstr>01-c0-03</vt:lpwstr>
  </property>
  <property fmtid="{D5CDD505-2E9C-101B-9397-08002B2CF9AE}" pid="8" name="ThisVersion">
    <vt:lpwstr>01-a0-06</vt:lpwstr>
  </property>
</Properties>
</file>