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Energy Coordination (Ombudsman Scheme)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Coordination (Ombudsman Scheme) Regulations 2004</w:t>
      </w:r>
      <w:r>
        <w:fldChar w:fldCharType="end"/>
      </w:r>
    </w:p>
    <w:p>
      <w:pPr>
        <w:pStyle w:val="Arrangement"/>
      </w:pPr>
      <w:r>
        <w:t>CONTENTS</w:t>
      </w:r>
    </w:p>
    <w:p>
      <w:pPr>
        <w:pStyle w:val="TOC4"/>
        <w:rPr>
          <w:noProof/>
          <w:sz w:val="24"/>
          <w:szCs w:val="24"/>
          <w:lang w:val="en-US"/>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z w:val="24"/>
          <w:szCs w:val="24"/>
          <w:lang w:val="en-US"/>
        </w:rPr>
        <w:tab/>
      </w:r>
      <w:r>
        <w:rPr>
          <w:noProof/>
        </w:rPr>
        <w:t>Citation</w:t>
      </w:r>
      <w:r>
        <w:rPr>
          <w:noProof/>
        </w:rPr>
        <w:tab/>
      </w:r>
      <w:r>
        <w:rPr>
          <w:noProof/>
        </w:rPr>
        <w:fldChar w:fldCharType="begin"/>
      </w:r>
      <w:r>
        <w:rPr>
          <w:noProof/>
        </w:rPr>
        <w:instrText xml:space="preserve"> PAGEREF _Toc284842889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2</w:t>
      </w:r>
      <w:r>
        <w:rPr>
          <w:noProof/>
          <w:snapToGrid w:val="0"/>
        </w:rPr>
        <w:t>.</w:t>
      </w:r>
      <w:r>
        <w:rPr>
          <w:noProof/>
          <w:sz w:val="24"/>
          <w:szCs w:val="24"/>
          <w:lang w:val="en-US"/>
        </w:rPr>
        <w:tab/>
      </w:r>
      <w:r>
        <w:rPr>
          <w:noProof/>
          <w:snapToGrid w:val="0"/>
        </w:rPr>
        <w:t>Definitions</w:t>
      </w:r>
      <w:r>
        <w:rPr>
          <w:noProof/>
        </w:rPr>
        <w:tab/>
      </w:r>
      <w:r>
        <w:rPr>
          <w:noProof/>
        </w:rPr>
        <w:fldChar w:fldCharType="begin"/>
      </w:r>
      <w:r>
        <w:rPr>
          <w:noProof/>
        </w:rPr>
        <w:instrText xml:space="preserve"> PAGEREF _Toc284842890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3.</w:t>
      </w:r>
      <w:r>
        <w:rPr>
          <w:noProof/>
          <w:sz w:val="24"/>
          <w:szCs w:val="24"/>
          <w:lang w:val="en-US"/>
        </w:rPr>
        <w:tab/>
      </w:r>
      <w:r>
        <w:rPr>
          <w:noProof/>
        </w:rPr>
        <w:t>Scheme to have a governing body</w:t>
      </w:r>
      <w:r>
        <w:rPr>
          <w:noProof/>
        </w:rPr>
        <w:tab/>
      </w:r>
      <w:r>
        <w:rPr>
          <w:noProof/>
        </w:rPr>
        <w:fldChar w:fldCharType="begin"/>
      </w:r>
      <w:r>
        <w:rPr>
          <w:noProof/>
        </w:rPr>
        <w:instrText xml:space="preserve"> PAGEREF _Toc284842891 \h </w:instrText>
      </w:r>
      <w:r>
        <w:rPr>
          <w:noProof/>
        </w:rPr>
      </w:r>
      <w:r>
        <w:rPr>
          <w:noProof/>
        </w:rPr>
        <w:fldChar w:fldCharType="separate"/>
      </w:r>
      <w:r>
        <w:rPr>
          <w:noProof/>
        </w:rPr>
        <w:t>1</w:t>
      </w:r>
      <w:r>
        <w:rPr>
          <w:noProof/>
        </w:rPr>
        <w:fldChar w:fldCharType="end"/>
      </w:r>
    </w:p>
    <w:p>
      <w:pPr>
        <w:pStyle w:val="TOC4"/>
        <w:rPr>
          <w:noProof/>
          <w:sz w:val="24"/>
          <w:szCs w:val="24"/>
          <w:lang w:val="en-US"/>
        </w:rPr>
      </w:pPr>
      <w:r>
        <w:rPr>
          <w:noProof/>
        </w:rPr>
        <w:t>4.</w:t>
      </w:r>
      <w:r>
        <w:rPr>
          <w:noProof/>
          <w:sz w:val="24"/>
          <w:szCs w:val="24"/>
          <w:lang w:val="en-US"/>
        </w:rPr>
        <w:tab/>
      </w:r>
      <w:r>
        <w:rPr>
          <w:noProof/>
        </w:rPr>
        <w:t>Additional jurisdiction of GIO</w:t>
      </w:r>
      <w:r>
        <w:rPr>
          <w:noProof/>
        </w:rPr>
        <w:tab/>
      </w:r>
      <w:r>
        <w:rPr>
          <w:noProof/>
        </w:rPr>
        <w:fldChar w:fldCharType="begin"/>
      </w:r>
      <w:r>
        <w:rPr>
          <w:noProof/>
        </w:rPr>
        <w:instrText xml:space="preserve"> PAGEREF _Toc284842892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5.</w:t>
      </w:r>
      <w:r>
        <w:rPr>
          <w:noProof/>
          <w:sz w:val="24"/>
          <w:szCs w:val="24"/>
          <w:lang w:val="en-US"/>
        </w:rPr>
        <w:tab/>
      </w:r>
      <w:r>
        <w:rPr>
          <w:noProof/>
        </w:rPr>
        <w:t>Functions of GIO</w:t>
      </w:r>
      <w:r>
        <w:rPr>
          <w:noProof/>
        </w:rPr>
        <w:tab/>
      </w:r>
      <w:r>
        <w:rPr>
          <w:noProof/>
        </w:rPr>
        <w:fldChar w:fldCharType="begin"/>
      </w:r>
      <w:r>
        <w:rPr>
          <w:noProof/>
        </w:rPr>
        <w:instrText xml:space="preserve"> PAGEREF _Toc284842893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6.</w:t>
      </w:r>
      <w:r>
        <w:rPr>
          <w:noProof/>
          <w:sz w:val="24"/>
          <w:szCs w:val="24"/>
          <w:lang w:val="en-US"/>
        </w:rPr>
        <w:tab/>
      </w:r>
      <w:r>
        <w:rPr>
          <w:noProof/>
        </w:rPr>
        <w:t>Powers of GIO</w:t>
      </w:r>
      <w:r>
        <w:rPr>
          <w:noProof/>
        </w:rPr>
        <w:tab/>
      </w:r>
      <w:r>
        <w:rPr>
          <w:noProof/>
        </w:rPr>
        <w:fldChar w:fldCharType="begin"/>
      </w:r>
      <w:r>
        <w:rPr>
          <w:noProof/>
        </w:rPr>
        <w:instrText xml:space="preserve"> PAGEREF _Toc284842894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6A.</w:t>
      </w:r>
      <w:r>
        <w:rPr>
          <w:noProof/>
          <w:sz w:val="24"/>
          <w:szCs w:val="24"/>
          <w:lang w:val="en-US"/>
        </w:rPr>
        <w:tab/>
      </w:r>
      <w:r>
        <w:rPr>
          <w:noProof/>
        </w:rPr>
        <w:t>Reasons for decisions</w:t>
      </w:r>
      <w:r>
        <w:rPr>
          <w:noProof/>
        </w:rPr>
        <w:tab/>
      </w:r>
      <w:r>
        <w:rPr>
          <w:noProof/>
        </w:rPr>
        <w:fldChar w:fldCharType="begin"/>
      </w:r>
      <w:r>
        <w:rPr>
          <w:noProof/>
        </w:rPr>
        <w:instrText xml:space="preserve"> PAGEREF _Toc284842895 \h </w:instrText>
      </w:r>
      <w:r>
        <w:rPr>
          <w:noProof/>
        </w:rPr>
      </w:r>
      <w:r>
        <w:rPr>
          <w:noProof/>
        </w:rPr>
        <w:fldChar w:fldCharType="separate"/>
      </w:r>
      <w:r>
        <w:rPr>
          <w:noProof/>
        </w:rPr>
        <w:t>4</w:t>
      </w:r>
      <w:r>
        <w:rPr>
          <w:noProof/>
        </w:rPr>
        <w:fldChar w:fldCharType="end"/>
      </w:r>
    </w:p>
    <w:p>
      <w:pPr>
        <w:pStyle w:val="TOC4"/>
        <w:rPr>
          <w:noProof/>
          <w:sz w:val="24"/>
          <w:szCs w:val="24"/>
          <w:lang w:val="en-US"/>
        </w:rPr>
      </w:pPr>
      <w:r>
        <w:rPr>
          <w:noProof/>
        </w:rPr>
        <w:t>7.</w:t>
      </w:r>
      <w:r>
        <w:rPr>
          <w:noProof/>
          <w:sz w:val="24"/>
          <w:szCs w:val="24"/>
          <w:lang w:val="en-US"/>
        </w:rPr>
        <w:tab/>
      </w:r>
      <w:r>
        <w:rPr>
          <w:noProof/>
        </w:rPr>
        <w:t>Enforcement against gas marketing agents</w:t>
      </w:r>
      <w:r>
        <w:rPr>
          <w:noProof/>
        </w:rPr>
        <w:tab/>
      </w:r>
      <w:r>
        <w:rPr>
          <w:noProof/>
        </w:rPr>
        <w:fldChar w:fldCharType="begin"/>
      </w:r>
      <w:r>
        <w:rPr>
          <w:noProof/>
        </w:rPr>
        <w:instrText xml:space="preserve"> PAGEREF _Toc284842896 \h </w:instrText>
      </w:r>
      <w:r>
        <w:rPr>
          <w:noProof/>
        </w:rPr>
      </w:r>
      <w:r>
        <w:rPr>
          <w:noProof/>
        </w:rPr>
        <w:fldChar w:fldCharType="separate"/>
      </w:r>
      <w:r>
        <w:rPr>
          <w:noProof/>
        </w:rPr>
        <w:t>4</w:t>
      </w:r>
      <w:r>
        <w:rPr>
          <w:noProof/>
        </w:rPr>
        <w:fldChar w:fldCharType="end"/>
      </w:r>
    </w:p>
    <w:p>
      <w:pPr>
        <w:pStyle w:val="TOC4"/>
        <w:rPr>
          <w:noProof/>
          <w:sz w:val="24"/>
          <w:szCs w:val="24"/>
          <w:lang w:val="en-US"/>
        </w:rPr>
      </w:pPr>
      <w:r>
        <w:rPr>
          <w:noProof/>
        </w:rPr>
        <w:t>8.</w:t>
      </w:r>
      <w:r>
        <w:rPr>
          <w:noProof/>
          <w:sz w:val="24"/>
          <w:szCs w:val="24"/>
          <w:lang w:val="en-US"/>
        </w:rPr>
        <w:tab/>
      </w:r>
      <w:r>
        <w:rPr>
          <w:noProof/>
        </w:rPr>
        <w:t>Review of schemes</w:t>
      </w:r>
      <w:r>
        <w:rPr>
          <w:noProof/>
        </w:rPr>
        <w:tab/>
      </w:r>
      <w:r>
        <w:rPr>
          <w:noProof/>
        </w:rPr>
        <w:fldChar w:fldCharType="begin"/>
      </w:r>
      <w:r>
        <w:rPr>
          <w:noProof/>
        </w:rPr>
        <w:instrText xml:space="preserve"> PAGEREF _Toc284842897 \h </w:instrText>
      </w:r>
      <w:r>
        <w:rPr>
          <w:noProof/>
        </w:rPr>
      </w:r>
      <w:r>
        <w:rPr>
          <w:noProof/>
        </w:rPr>
        <w:fldChar w:fldCharType="separate"/>
      </w:r>
      <w:r>
        <w:rPr>
          <w:noProof/>
        </w:rPr>
        <w:t>4</w:t>
      </w:r>
      <w:r>
        <w:rPr>
          <w:noProof/>
        </w:rPr>
        <w:fldChar w:fldCharType="end"/>
      </w:r>
    </w:p>
    <w:p>
      <w:pPr>
        <w:pStyle w:val="TOC4"/>
        <w:rPr>
          <w:noProof/>
          <w:sz w:val="24"/>
          <w:szCs w:val="24"/>
          <w:lang w:val="en-US"/>
        </w:rPr>
      </w:pPr>
      <w:r>
        <w:rPr>
          <w:noProof/>
        </w:rPr>
        <w:t>9.</w:t>
      </w:r>
      <w:r>
        <w:rPr>
          <w:noProof/>
          <w:sz w:val="24"/>
          <w:szCs w:val="24"/>
          <w:lang w:val="en-US"/>
        </w:rPr>
        <w:tab/>
      </w:r>
      <w:r>
        <w:rPr>
          <w:noProof/>
        </w:rPr>
        <w:t>Revocation of a scheme’s approval</w:t>
      </w:r>
      <w:r>
        <w:rPr>
          <w:noProof/>
        </w:rPr>
        <w:tab/>
      </w:r>
      <w:r>
        <w:rPr>
          <w:noProof/>
        </w:rPr>
        <w:fldChar w:fldCharType="begin"/>
      </w:r>
      <w:r>
        <w:rPr>
          <w:noProof/>
        </w:rPr>
        <w:instrText xml:space="preserve"> PAGEREF _Toc284842898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lang w:val="en-US"/>
        </w:rPr>
      </w:pPr>
      <w:r>
        <w:rPr>
          <w:noProof/>
        </w:rPr>
        <w:t>Notes</w:t>
      </w:r>
    </w:p>
    <w:p>
      <w:pPr>
        <w:pStyle w:val="TOC4"/>
        <w:rPr>
          <w:noProof/>
          <w:sz w:val="24"/>
          <w:szCs w:val="24"/>
          <w:lang w:val="en-US"/>
        </w:rPr>
      </w:pPr>
      <w:r>
        <w:rPr>
          <w:noProof/>
        </w:rPr>
        <w:t>Compilation table</w:t>
      </w:r>
      <w:r>
        <w:rPr>
          <w:noProof/>
        </w:rPr>
        <w:tab/>
      </w:r>
      <w:r>
        <w:rPr>
          <w:noProof/>
        </w:rPr>
        <w:fldChar w:fldCharType="begin"/>
      </w:r>
      <w:r>
        <w:rPr>
          <w:noProof/>
        </w:rPr>
        <w:instrText xml:space="preserve"> PAGEREF _Toc284842900 \h </w:instrText>
      </w:r>
      <w:r>
        <w:rPr>
          <w:noProof/>
        </w:rPr>
      </w:r>
      <w:r>
        <w:rPr>
          <w:noProof/>
        </w:rPr>
        <w:fldChar w:fldCharType="separate"/>
      </w:r>
      <w:r>
        <w:rPr>
          <w:noProof/>
        </w:rPr>
        <w:t>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Energy Coordination Act 1994</w:t>
      </w:r>
    </w:p>
    <w:p>
      <w:pPr>
        <w:pStyle w:val="NameofActReg"/>
        <w:spacing w:before="240" w:after="120"/>
      </w:pPr>
      <w:r>
        <w:t>Energy Coordination (Ombudsman Scheme)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84842889"/>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(Ombudsman Scheme) Regulations 2004</w:t>
      </w:r>
      <w:r>
        <w:t>.</w:t>
      </w:r>
    </w:p>
    <w:p>
      <w:pPr>
        <w:pStyle w:val="Heading5"/>
        <w:rPr>
          <w:snapToGrid w:val="0"/>
        </w:rPr>
      </w:pPr>
      <w:bookmarkStart w:id="9" w:name="_Toc423332724"/>
      <w:bookmarkStart w:id="10" w:name="_Toc425219443"/>
      <w:bookmarkStart w:id="11" w:name="_Toc426249310"/>
      <w:bookmarkStart w:id="12" w:name="_Toc449924706"/>
      <w:bookmarkStart w:id="13" w:name="_Toc449947724"/>
      <w:bookmarkStart w:id="14" w:name="_Toc454185715"/>
      <w:bookmarkStart w:id="15" w:name="_Toc515958688"/>
      <w:bookmarkStart w:id="16" w:name="_Toc284842890"/>
      <w:r>
        <w:rPr>
          <w:rStyle w:val="CharSectno"/>
        </w:rPr>
        <w:t>2</w:t>
      </w:r>
      <w:r>
        <w:rPr>
          <w:snapToGrid w:val="0"/>
        </w:rPr>
        <w:t>.</w:t>
      </w:r>
      <w:r>
        <w:rPr>
          <w:snapToGrid w:val="0"/>
        </w:rPr>
        <w:tab/>
        <w:t>Definitions</w:t>
      </w:r>
      <w:bookmarkEnd w:id="9"/>
      <w:bookmarkEnd w:id="10"/>
      <w:bookmarkEnd w:id="11"/>
      <w:bookmarkEnd w:id="12"/>
      <w:bookmarkEnd w:id="13"/>
      <w:bookmarkEnd w:id="14"/>
      <w:bookmarkEnd w:id="15"/>
      <w:bookmarkEnd w:id="16"/>
    </w:p>
    <w:p>
      <w:pPr>
        <w:pStyle w:val="Subsection"/>
      </w:pPr>
      <w:r>
        <w:tab/>
      </w:r>
      <w:r>
        <w:tab/>
        <w:t xml:space="preserve">In </w:t>
      </w:r>
      <w:r>
        <w:rPr>
          <w:spacing w:val="-2"/>
        </w:rPr>
        <w:t>these</w:t>
      </w:r>
      <w:r>
        <w:t xml:space="preserve"> regulations</w:t>
      </w:r>
      <w:r>
        <w:rPr>
          <w:i/>
        </w:rPr>
        <w:t> </w:t>
      </w:r>
      <w:r>
        <w:t xml:space="preserve">— </w:t>
      </w:r>
    </w:p>
    <w:p>
      <w:pPr>
        <w:pStyle w:val="Defstart"/>
      </w:pPr>
      <w:r>
        <w:rPr>
          <w:b/>
        </w:rPr>
        <w:tab/>
      </w:r>
      <w:r>
        <w:rPr>
          <w:rStyle w:val="CharDefText"/>
        </w:rPr>
        <w:t>complainant</w:t>
      </w:r>
      <w:r>
        <w:t xml:space="preserve"> includes a person who is in dispute with a member of an approved scheme or a</w:t>
      </w:r>
      <w:r>
        <w:rPr>
          <w:i/>
        </w:rPr>
        <w:t xml:space="preserve"> </w:t>
      </w:r>
      <w:r>
        <w:t>gas marketing agent;</w:t>
      </w:r>
    </w:p>
    <w:p>
      <w:pPr>
        <w:pStyle w:val="Defstart"/>
      </w:pPr>
      <w:r>
        <w:rPr>
          <w:b/>
        </w:rPr>
        <w:tab/>
      </w:r>
      <w:r>
        <w:rPr>
          <w:rStyle w:val="CharDefText"/>
        </w:rPr>
        <w:t>complaint</w:t>
      </w:r>
      <w:r>
        <w:t xml:space="preserve"> includes a dispute with a member of an approved scheme</w:t>
      </w:r>
      <w:r>
        <w:rPr>
          <w:i/>
        </w:rPr>
        <w:t xml:space="preserve"> </w:t>
      </w:r>
      <w:r>
        <w:t>or a gas marketing agent;</w:t>
      </w:r>
    </w:p>
    <w:p>
      <w:pPr>
        <w:pStyle w:val="Defstart"/>
      </w:pPr>
      <w:r>
        <w:rPr>
          <w:b/>
        </w:rPr>
        <w:tab/>
      </w:r>
      <w:r>
        <w:rPr>
          <w:rStyle w:val="CharDefText"/>
        </w:rPr>
        <w:t>GIO</w:t>
      </w:r>
      <w:r>
        <w:t xml:space="preserve"> has the meaning given to the term “gas industry ombudsman” in section 11ZPZ of the Act;</w:t>
      </w:r>
    </w:p>
    <w:p>
      <w:pPr>
        <w:pStyle w:val="Defstart"/>
      </w:pPr>
      <w:r>
        <w:rPr>
          <w:b/>
        </w:rPr>
        <w:tab/>
      </w:r>
      <w:r>
        <w:rPr>
          <w:rStyle w:val="CharDefText"/>
        </w:rPr>
        <w:t>the Act</w:t>
      </w:r>
      <w:r>
        <w:t xml:space="preserve"> means the </w:t>
      </w:r>
      <w:r>
        <w:rPr>
          <w:i/>
        </w:rPr>
        <w:t>Energy Coordination Act 1994</w:t>
      </w:r>
      <w:r>
        <w:t>.</w:t>
      </w:r>
    </w:p>
    <w:p>
      <w:pPr>
        <w:pStyle w:val="Heading5"/>
      </w:pPr>
      <w:bookmarkStart w:id="17" w:name="_Toc284842891"/>
      <w:r>
        <w:rPr>
          <w:rStyle w:val="CharSectno"/>
        </w:rPr>
        <w:t>3</w:t>
      </w:r>
      <w:r>
        <w:t>.</w:t>
      </w:r>
      <w:r>
        <w:tab/>
        <w:t>Scheme to have a governing body</w:t>
      </w:r>
      <w:bookmarkEnd w:id="17"/>
    </w:p>
    <w:p>
      <w:pPr>
        <w:pStyle w:val="Subsection"/>
        <w:rPr>
          <w:lang w:val="en-US"/>
        </w:rPr>
      </w:pPr>
      <w:r>
        <w:tab/>
      </w:r>
      <w:r>
        <w:tab/>
        <w:t xml:space="preserve">In order to receive approval under section 11ZPZ of the Act a scheme must </w:t>
      </w:r>
      <w:r>
        <w:rPr>
          <w:lang w:val="en-US"/>
        </w:rPr>
        <w:t xml:space="preserve">provide for there to be a governing body of the scheme that </w:t>
      </w:r>
      <w:r>
        <w:t xml:space="preserve">has overall responsibility for </w:t>
      </w:r>
      <w:r>
        <w:rPr>
          <w:lang w:val="en-US"/>
        </w:rPr>
        <w:t>overseeing and administering</w:t>
      </w:r>
      <w:r>
        <w:t xml:space="preserve"> the scheme’s operations, and in </w:t>
      </w:r>
      <w:r>
        <w:rPr>
          <w:lang w:val="en-US"/>
        </w:rPr>
        <w:t xml:space="preserve">particular for — </w:t>
      </w:r>
    </w:p>
    <w:p>
      <w:pPr>
        <w:pStyle w:val="Indenta"/>
        <w:rPr>
          <w:lang w:val="en-US"/>
        </w:rPr>
      </w:pPr>
      <w:r>
        <w:rPr>
          <w:lang w:val="en-US"/>
        </w:rPr>
        <w:tab/>
        <w:t>(a)</w:t>
      </w:r>
      <w:r>
        <w:rPr>
          <w:lang w:val="en-US"/>
        </w:rPr>
        <w:tab/>
        <w:t>maintaining the independence of the GIO;</w:t>
      </w:r>
    </w:p>
    <w:p>
      <w:pPr>
        <w:pStyle w:val="Indenta"/>
        <w:rPr>
          <w:lang w:val="en-US"/>
        </w:rPr>
      </w:pPr>
      <w:r>
        <w:rPr>
          <w:lang w:val="en-US"/>
        </w:rPr>
        <w:tab/>
        <w:t>(b)</w:t>
      </w:r>
      <w:r>
        <w:rPr>
          <w:lang w:val="en-US"/>
        </w:rPr>
        <w:tab/>
        <w:t>providing advice to the GIO on policy matters;</w:t>
      </w:r>
    </w:p>
    <w:p>
      <w:pPr>
        <w:pStyle w:val="Indenta"/>
        <w:rPr>
          <w:lang w:val="en-US"/>
        </w:rPr>
      </w:pPr>
      <w:r>
        <w:rPr>
          <w:lang w:val="en-US"/>
        </w:rPr>
        <w:tab/>
        <w:t>(c)</w:t>
      </w:r>
      <w:r>
        <w:rPr>
          <w:lang w:val="en-US"/>
        </w:rPr>
        <w:tab/>
        <w:t xml:space="preserve">appointing, and terminating the appointment of, the GIO, and appointing an acting GIO as and for so long as may be required; </w:t>
      </w:r>
    </w:p>
    <w:p>
      <w:pPr>
        <w:pStyle w:val="Indenta"/>
        <w:rPr>
          <w:lang w:val="en-US"/>
        </w:rPr>
      </w:pPr>
      <w:r>
        <w:rPr>
          <w:lang w:val="en-US"/>
        </w:rPr>
        <w:tab/>
        <w:t>(d)</w:t>
      </w:r>
      <w:r>
        <w:rPr>
          <w:lang w:val="en-US"/>
        </w:rPr>
        <w:tab/>
        <w:t>determining policies relating to the administration of the scheme;</w:t>
      </w:r>
    </w:p>
    <w:p>
      <w:pPr>
        <w:pStyle w:val="Indenta"/>
        <w:rPr>
          <w:lang w:val="en-US"/>
        </w:rPr>
      </w:pPr>
      <w:r>
        <w:rPr>
          <w:lang w:val="en-US"/>
        </w:rPr>
        <w:lastRenderedPageBreak/>
        <w:tab/>
        <w:t>(e)</w:t>
      </w:r>
      <w:r>
        <w:rPr>
          <w:lang w:val="en-US"/>
        </w:rPr>
        <w:tab/>
        <w:t>approving GIO budgets, in consultation with the GIO, and ensuring that the scheme has sufficient funding for its operations;</w:t>
      </w:r>
    </w:p>
    <w:p>
      <w:pPr>
        <w:pStyle w:val="Indenta"/>
        <w:rPr>
          <w:lang w:val="en-US"/>
        </w:rPr>
      </w:pPr>
      <w:r>
        <w:rPr>
          <w:lang w:val="en-US"/>
        </w:rPr>
        <w:tab/>
        <w:t>(f)</w:t>
      </w:r>
      <w:r>
        <w:rPr>
          <w:lang w:val="en-US"/>
        </w:rPr>
        <w:tab/>
        <w:t>considering the appropriateness, scope, and effectiveness of the scheme, and in particular, reviewing the scheme</w:t>
      </w:r>
      <w:r>
        <w:t xml:space="preserve"> in accordance with regulation 8</w:t>
      </w:r>
      <w:r>
        <w:rPr>
          <w:lang w:val="en-US"/>
        </w:rPr>
        <w:t>; and</w:t>
      </w:r>
    </w:p>
    <w:p>
      <w:pPr>
        <w:pStyle w:val="Indenta"/>
        <w:rPr>
          <w:lang w:val="en-US"/>
        </w:rPr>
      </w:pPr>
      <w:r>
        <w:rPr>
          <w:lang w:val="en-US"/>
        </w:rPr>
        <w:tab/>
        <w:t>(g)</w:t>
      </w:r>
      <w:r>
        <w:rPr>
          <w:lang w:val="en-US"/>
        </w:rPr>
        <w:tab/>
        <w:t>providing advice to the GIO on the promotion of the scheme and the preparation of an annual report,</w:t>
      </w:r>
    </w:p>
    <w:p>
      <w:pPr>
        <w:pStyle w:val="Subsection"/>
        <w:rPr>
          <w:lang w:val="en-US"/>
        </w:rPr>
      </w:pPr>
      <w:r>
        <w:rPr>
          <w:lang w:val="en-US"/>
        </w:rPr>
        <w:tab/>
      </w:r>
      <w:r>
        <w:rPr>
          <w:lang w:val="en-US"/>
        </w:rPr>
        <w:tab/>
        <w:t xml:space="preserve">and must provide — </w:t>
      </w:r>
    </w:p>
    <w:p>
      <w:pPr>
        <w:pStyle w:val="Indenta"/>
        <w:rPr>
          <w:lang w:val="en-US"/>
        </w:rPr>
      </w:pPr>
      <w:r>
        <w:rPr>
          <w:lang w:val="en-US"/>
        </w:rPr>
        <w:tab/>
        <w:t>(h)</w:t>
      </w:r>
      <w:r>
        <w:rPr>
          <w:lang w:val="en-US"/>
        </w:rPr>
        <w:tab/>
        <w:t xml:space="preserve">for there to be </w:t>
      </w:r>
      <w:r>
        <w:t xml:space="preserve">equal representation on the </w:t>
      </w:r>
      <w:r>
        <w:rPr>
          <w:lang w:val="en-US"/>
        </w:rPr>
        <w:t>governing body</w:t>
      </w:r>
      <w:r>
        <w:t xml:space="preserve"> of</w:t>
      </w:r>
      <w:r>
        <w:rPr>
          <w:lang w:val="en-US"/>
        </w:rPr>
        <w:t xml:space="preserve"> — </w:t>
      </w:r>
    </w:p>
    <w:p>
      <w:pPr>
        <w:pStyle w:val="Indenti"/>
        <w:rPr>
          <w:lang w:val="en-US"/>
        </w:rPr>
      </w:pPr>
      <w:r>
        <w:rPr>
          <w:lang w:val="en-US"/>
        </w:rPr>
        <w:tab/>
        <w:t>(i)</w:t>
      </w:r>
      <w:r>
        <w:rPr>
          <w:lang w:val="en-US"/>
        </w:rPr>
        <w:tab/>
        <w:t>members of the scheme; and</w:t>
      </w:r>
    </w:p>
    <w:p>
      <w:pPr>
        <w:pStyle w:val="Indenti"/>
        <w:rPr>
          <w:lang w:val="en-US"/>
        </w:rPr>
      </w:pPr>
      <w:r>
        <w:rPr>
          <w:lang w:val="en-US"/>
        </w:rPr>
        <w:tab/>
        <w:t>(ii)</w:t>
      </w:r>
      <w:r>
        <w:rPr>
          <w:lang w:val="en-US"/>
        </w:rPr>
        <w:tab/>
        <w:t>customers of gas services and the public;</w:t>
      </w:r>
    </w:p>
    <w:p>
      <w:pPr>
        <w:pStyle w:val="Indenta"/>
        <w:rPr>
          <w:lang w:val="en-US"/>
        </w:rPr>
      </w:pPr>
      <w:r>
        <w:rPr>
          <w:lang w:val="en-US"/>
        </w:rPr>
        <w:tab/>
      </w:r>
      <w:r>
        <w:rPr>
          <w:lang w:val="en-US"/>
        </w:rPr>
        <w:tab/>
        <w:t>and</w:t>
      </w:r>
    </w:p>
    <w:p>
      <w:pPr>
        <w:pStyle w:val="Indenta"/>
        <w:rPr>
          <w:lang w:val="en-US"/>
        </w:rPr>
      </w:pPr>
      <w:r>
        <w:rPr>
          <w:lang w:val="en-US"/>
        </w:rPr>
        <w:tab/>
        <w:t>(i)</w:t>
      </w:r>
      <w:r>
        <w:rPr>
          <w:lang w:val="en-US"/>
        </w:rPr>
        <w:tab/>
        <w:t>for the governing body to have an independent chairperson.</w:t>
      </w:r>
    </w:p>
    <w:p>
      <w:pPr>
        <w:pStyle w:val="Footnotesection"/>
        <w:rPr>
          <w:lang w:val="en-US"/>
        </w:rPr>
      </w:pPr>
      <w:r>
        <w:tab/>
        <w:t>[Regulation 3 amended in Gazette 13 May 2005 p. 2076.]</w:t>
      </w:r>
    </w:p>
    <w:p>
      <w:pPr>
        <w:pStyle w:val="Heading5"/>
      </w:pPr>
      <w:bookmarkStart w:id="18" w:name="_Toc284842892"/>
      <w:r>
        <w:rPr>
          <w:rStyle w:val="CharSectno"/>
        </w:rPr>
        <w:t>4</w:t>
      </w:r>
      <w:r>
        <w:t>.</w:t>
      </w:r>
      <w:r>
        <w:tab/>
        <w:t>Additional jurisdiction of GIO</w:t>
      </w:r>
      <w:bookmarkEnd w:id="18"/>
    </w:p>
    <w:p>
      <w:pPr>
        <w:pStyle w:val="Subsection"/>
      </w:pPr>
      <w:r>
        <w:tab/>
      </w:r>
      <w:r>
        <w:tab/>
        <w:t xml:space="preserve">For the purposes of section 11ZPZ(1)(d) of the Act, the following kinds of complaint may be investigated and dealt with by the GIO under an approved scheme — </w:t>
      </w:r>
    </w:p>
    <w:p>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pPr>
        <w:pStyle w:val="Indenta"/>
      </w:pPr>
      <w:r>
        <w:tab/>
        <w:t>(b)</w:t>
      </w:r>
      <w:r>
        <w:tab/>
        <w:t xml:space="preserve">complaints relating to a member of the scheme </w:t>
      </w:r>
      <w:r>
        <w:rPr>
          <w:sz w:val="22"/>
        </w:rPr>
        <w:t xml:space="preserve">or </w:t>
      </w:r>
      <w:r>
        <w:t>a gas marketing agent that are referred to the GIO by the member or agent</w:t>
      </w:r>
      <w:r>
        <w:rPr>
          <w:sz w:val="20"/>
        </w:rPr>
        <w:t xml:space="preserve"> </w:t>
      </w:r>
      <w:r>
        <w:t>with the agreement of the GIO and the complainant.</w:t>
      </w:r>
    </w:p>
    <w:p>
      <w:pPr>
        <w:pStyle w:val="Heading5"/>
      </w:pPr>
      <w:bookmarkStart w:id="19" w:name="_Toc284842893"/>
      <w:r>
        <w:rPr>
          <w:rStyle w:val="CharSectno"/>
        </w:rPr>
        <w:t>5</w:t>
      </w:r>
      <w:r>
        <w:t>.</w:t>
      </w:r>
      <w:r>
        <w:tab/>
        <w:t>Functions of GIO</w:t>
      </w:r>
      <w:bookmarkEnd w:id="19"/>
    </w:p>
    <w:p>
      <w:pPr>
        <w:pStyle w:val="Subsection"/>
      </w:pPr>
      <w:r>
        <w:tab/>
        <w:t>(1)</w:t>
      </w:r>
      <w:r>
        <w:tab/>
        <w:t xml:space="preserve">The functions of the GIO under an approved scheme are — </w:t>
      </w:r>
    </w:p>
    <w:p>
      <w:pPr>
        <w:pStyle w:val="Indenta"/>
      </w:pPr>
      <w:r>
        <w:tab/>
        <w:t>(a)</w:t>
      </w:r>
      <w:r>
        <w:tab/>
        <w:t xml:space="preserve">to have day to day responsibility for </w:t>
      </w:r>
      <w:r>
        <w:rPr>
          <w:lang w:val="en-US"/>
        </w:rPr>
        <w:t>overseeing and administering</w:t>
      </w:r>
      <w:r>
        <w:t xml:space="preserve"> the scheme’s operations; and</w:t>
      </w:r>
    </w:p>
    <w:p>
      <w:pPr>
        <w:pStyle w:val="Indenta"/>
      </w:pPr>
      <w:r>
        <w:tab/>
        <w:t>(b)</w:t>
      </w:r>
      <w:r>
        <w:tab/>
        <w:t>to investigate and deal with a complaint referred to in section 11ZPZ(1)(a), (b) or (c) of the Act or regulation 4 to the extent that it relates to commercial activities of a member of the scheme that are within the scope of the licence held by the member.</w:t>
      </w:r>
    </w:p>
    <w:p>
      <w:pPr>
        <w:pStyle w:val="Subsection"/>
      </w:pPr>
      <w:r>
        <w:tab/>
        <w:t>(2)</w:t>
      </w:r>
      <w:r>
        <w:tab/>
        <w:t>It is not a function of the GIO to set prices or tariffs or determine price structures.</w:t>
      </w:r>
    </w:p>
    <w:p>
      <w:pPr>
        <w:pStyle w:val="Heading5"/>
      </w:pPr>
      <w:bookmarkStart w:id="20" w:name="_Toc284842894"/>
      <w:r>
        <w:rPr>
          <w:rStyle w:val="CharSectno"/>
        </w:rPr>
        <w:t>6</w:t>
      </w:r>
      <w:r>
        <w:t>.</w:t>
      </w:r>
      <w:r>
        <w:tab/>
        <w:t>Powers of GIO</w:t>
      </w:r>
      <w:bookmarkEnd w:id="20"/>
    </w:p>
    <w:p>
      <w:pPr>
        <w:pStyle w:val="Subsection"/>
      </w:pPr>
      <w:r>
        <w:tab/>
      </w:r>
      <w:r>
        <w:tab/>
        <w:t xml:space="preserve">Without limiting the things that the GIO under an approved scheme may do for the purpose of dealing with a complaint, but subject to any limitations set out in the scheme, the GIO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gas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Subsection"/>
        <w:rPr>
          <w:b/>
          <w:i/>
          <w:sz w:val="20"/>
        </w:rPr>
      </w:pPr>
      <w:r>
        <w:rPr>
          <w:b/>
          <w:iCs/>
        </w:rPr>
        <w:tab/>
      </w:r>
      <w:r>
        <w:rPr>
          <w:b/>
          <w:iCs/>
        </w:rPr>
        <w:tab/>
      </w:r>
      <w:r>
        <w:t>and may give a gas marketing agent a direction to provide a gas service.</w:t>
      </w:r>
    </w:p>
    <w:p>
      <w:pPr>
        <w:pStyle w:val="Heading5"/>
      </w:pPr>
      <w:bookmarkStart w:id="21" w:name="_Toc284842895"/>
      <w:r>
        <w:rPr>
          <w:rStyle w:val="CharSectno"/>
        </w:rPr>
        <w:t>6A</w:t>
      </w:r>
      <w:r>
        <w:t>.</w:t>
      </w:r>
      <w:r>
        <w:tab/>
        <w:t>Reasons for decisions</w:t>
      </w:r>
      <w:bookmarkEnd w:id="21"/>
    </w:p>
    <w:p>
      <w:pPr>
        <w:pStyle w:val="Subsection"/>
      </w:pPr>
      <w:r>
        <w:tab/>
      </w:r>
      <w:r>
        <w:tab/>
        <w:t>For the purposes of section 11ZQ of the Act, the scheme will provide for the giving of reasons for decisions made in dealing with a dispute or complaint that the GIO has had to investigate, to the parties to the dispute or complaint.</w:t>
      </w:r>
    </w:p>
    <w:p>
      <w:pPr>
        <w:pStyle w:val="Footnotesection"/>
      </w:pPr>
      <w:r>
        <w:tab/>
        <w:t>[Regulation 6A inserted in Gazette 13 May 2005 p. 2077.]</w:t>
      </w:r>
    </w:p>
    <w:p>
      <w:pPr>
        <w:pStyle w:val="Heading5"/>
      </w:pPr>
      <w:bookmarkStart w:id="22" w:name="_Toc284842896"/>
      <w:r>
        <w:rPr>
          <w:rStyle w:val="CharSectno"/>
        </w:rPr>
        <w:t>7</w:t>
      </w:r>
      <w:r>
        <w:t>.</w:t>
      </w:r>
      <w:r>
        <w:tab/>
        <w:t>Enforcement against gas marketing agents</w:t>
      </w:r>
      <w:bookmarkEnd w:id="22"/>
    </w:p>
    <w:p>
      <w:pPr>
        <w:pStyle w:val="Subsection"/>
      </w:pPr>
      <w:r>
        <w:tab/>
      </w:r>
      <w:r>
        <w:tab/>
        <w:t>A gas marketing agent must comply with a direction given to that gas marketing agent by the GIO under an approved scheme.</w:t>
      </w:r>
    </w:p>
    <w:p>
      <w:pPr>
        <w:pStyle w:val="Penstart"/>
      </w:pPr>
      <w:r>
        <w:tab/>
        <w:t xml:space="preserve">Penalty: A fine of — </w:t>
      </w:r>
    </w:p>
    <w:p>
      <w:pPr>
        <w:pStyle w:val="Penpara"/>
      </w:pPr>
      <w:r>
        <w:tab/>
        <w:t>(a)</w:t>
      </w:r>
      <w:r>
        <w:tab/>
        <w:t>$2 000 in the case of an individual; or</w:t>
      </w:r>
    </w:p>
    <w:p>
      <w:pPr>
        <w:pStyle w:val="Penpara"/>
      </w:pPr>
      <w:r>
        <w:tab/>
        <w:t>(b)</w:t>
      </w:r>
      <w:r>
        <w:tab/>
        <w:t>$8 000 in the case of a body corporate.</w:t>
      </w:r>
    </w:p>
    <w:p>
      <w:pPr>
        <w:pStyle w:val="Heading5"/>
      </w:pPr>
      <w:bookmarkStart w:id="23" w:name="_Toc284842897"/>
      <w:r>
        <w:rPr>
          <w:rStyle w:val="CharSectno"/>
        </w:rPr>
        <w:t>8</w:t>
      </w:r>
      <w:r>
        <w:t>.</w:t>
      </w:r>
      <w:r>
        <w:tab/>
        <w:t>Review of schemes</w:t>
      </w:r>
      <w:bookmarkEnd w:id="23"/>
    </w:p>
    <w:p>
      <w:pPr>
        <w:pStyle w:val="Subsection"/>
      </w:pPr>
      <w:r>
        <w:tab/>
        <w:t>(1)</w:t>
      </w:r>
      <w:r>
        <w:tab/>
        <w:t>The governing body of a scheme must review the scheme before 30 September 2013 and at least once in every 5 years thereafter.</w:t>
      </w:r>
    </w:p>
    <w:p>
      <w:pPr>
        <w:pStyle w:val="Subsection"/>
      </w:pPr>
      <w:r>
        <w:tab/>
        <w:t>(2)</w:t>
      </w:r>
      <w:r>
        <w:tab/>
        <w:t>In reviewing the scheme, the governing body must consult with all, or as many as is practicable, of the persons and bodies the governing body considers have an interest in the scheme.</w:t>
      </w:r>
    </w:p>
    <w:p>
      <w:pPr>
        <w:pStyle w:val="Subsection"/>
      </w:pPr>
      <w:r>
        <w:tab/>
        <w:t>(3)</w:t>
      </w:r>
      <w:r>
        <w:tab/>
        <w:t>The governing body must give a report on the review to the Authority.</w:t>
      </w:r>
    </w:p>
    <w:p>
      <w:pPr>
        <w:pStyle w:val="Footnotesection"/>
      </w:pPr>
      <w:r>
        <w:tab/>
        <w:t>[Regulation 8 inserted in Gazette 13 May 2005 p. 2077; amended in Gazette 8 Feb 2011 p. 416.]</w:t>
      </w:r>
    </w:p>
    <w:p>
      <w:pPr>
        <w:pStyle w:val="Heading5"/>
      </w:pPr>
      <w:bookmarkStart w:id="24" w:name="_Toc284842898"/>
      <w:r>
        <w:rPr>
          <w:rStyle w:val="CharSectno"/>
        </w:rPr>
        <w:t>9</w:t>
      </w:r>
      <w:r>
        <w:t>.</w:t>
      </w:r>
      <w:r>
        <w:tab/>
        <w:t>Revocation of a scheme’s approval</w:t>
      </w:r>
      <w:bookmarkEnd w:id="24"/>
    </w:p>
    <w:p>
      <w:pPr>
        <w:pStyle w:val="Subsection"/>
      </w:pPr>
      <w:r>
        <w:tab/>
        <w:t>(1)</w:t>
      </w:r>
      <w:r>
        <w:tab/>
        <w:t>Before exercising the power of revocation in section 11ZQA of the Act, the Authority must comply with subregulations (2) to (5).</w:t>
      </w:r>
    </w:p>
    <w:p>
      <w:pPr>
        <w:pStyle w:val="Subsection"/>
      </w:pPr>
      <w:r>
        <w:tab/>
        <w:t>(2)</w:t>
      </w:r>
      <w:r>
        <w:tab/>
        <w:t xml:space="preserve">The Authority must notify — </w:t>
      </w:r>
    </w:p>
    <w:p>
      <w:pPr>
        <w:pStyle w:val="Indenta"/>
      </w:pPr>
      <w:r>
        <w:tab/>
        <w:t>(a)</w:t>
      </w:r>
      <w:r>
        <w:tab/>
        <w:t>the Minister;</w:t>
      </w:r>
    </w:p>
    <w:p>
      <w:pPr>
        <w:pStyle w:val="Indenta"/>
      </w:pPr>
      <w:r>
        <w:tab/>
        <w:t>(b)</w:t>
      </w:r>
      <w:r>
        <w:tab/>
        <w:t xml:space="preserve">the Minister to whom the administration of the </w:t>
      </w:r>
      <w:r>
        <w:rPr>
          <w:i/>
          <w:iCs/>
        </w:rPr>
        <w:t>Consumer Affairs Act 1971</w:t>
      </w:r>
      <w:r>
        <w:t xml:space="preserve"> is committed; and</w:t>
      </w:r>
    </w:p>
    <w:p>
      <w:pPr>
        <w:pStyle w:val="Indenta"/>
      </w:pPr>
      <w:r>
        <w:tab/>
        <w:t>(c)</w:t>
      </w:r>
      <w:r>
        <w:tab/>
        <w:t>the public,</w:t>
      </w:r>
    </w:p>
    <w:p>
      <w:pPr>
        <w:pStyle w:val="Subsection"/>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published — </w:t>
      </w:r>
    </w:p>
    <w:p>
      <w:pPr>
        <w:pStyle w:val="Indenta"/>
      </w:pPr>
      <w:r>
        <w:tab/>
        <w:t>(a)</w:t>
      </w:r>
      <w:r>
        <w:tab/>
        <w:t xml:space="preserve">in the </w:t>
      </w:r>
      <w:r>
        <w:rPr>
          <w:i/>
          <w:iCs/>
        </w:rPr>
        <w:t>Gazette</w:t>
      </w:r>
      <w:r>
        <w:t>;</w:t>
      </w:r>
    </w:p>
    <w:p>
      <w:pPr>
        <w:pStyle w:val="Indenta"/>
      </w:pPr>
      <w:r>
        <w:tab/>
        <w:t>(b)</w:t>
      </w:r>
      <w:r>
        <w:tab/>
        <w:t xml:space="preserve">in a newspaper circulating in </w:t>
      </w:r>
      <w:smartTag w:uri="urn:schemas-microsoft-com:office:smarttags" w:element="State">
        <w:smartTag w:uri="urn:schemas-microsoft-com:office:smarttags" w:element="place">
          <w:r>
            <w:t>Western Australia</w:t>
          </w:r>
        </w:smartTag>
      </w:smartTag>
      <w:r>
        <w:t>;</w:t>
      </w:r>
    </w:p>
    <w:p>
      <w:pPr>
        <w:pStyle w:val="Indenta"/>
      </w:pPr>
      <w:r>
        <w:tab/>
        <w:t>(c)</w:t>
      </w:r>
      <w:r>
        <w:tab/>
        <w:t>on an internet website maintained by the Authority; and</w:t>
      </w:r>
    </w:p>
    <w:p>
      <w:pPr>
        <w:pStyle w:val="Indenta"/>
      </w:pPr>
      <w:r>
        <w:tab/>
        <w:t>(d)</w:t>
      </w:r>
      <w:r>
        <w:tab/>
        <w:t>by sending it (electronically or otherwise)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an internet website maintained by the Authority;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Footnotesection"/>
      </w:pPr>
      <w:r>
        <w:tab/>
        <w:t>[Regulation 9 inserted in Gazette 13 May 2005 p. 2077</w:t>
      </w:r>
      <w:r>
        <w:noBreakHyphen/>
        <w:t>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5" w:name="_Toc103663681"/>
      <w:bookmarkStart w:id="26" w:name="_Toc103741261"/>
      <w:bookmarkStart w:id="27" w:name="_Toc170208816"/>
      <w:bookmarkStart w:id="28" w:name="_Toc284842899"/>
      <w:r>
        <w:t>Notes</w:t>
      </w:r>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(Ombudsman Scheme) Regulations 2004</w:t>
      </w:r>
      <w:r>
        <w:rPr>
          <w:snapToGrid w:val="0"/>
        </w:rPr>
        <w:t xml:space="preserve"> and includes the amendments made by the other written laws referred to in the following table.  </w:t>
      </w:r>
    </w:p>
    <w:p>
      <w:pPr>
        <w:pStyle w:val="nHeading3"/>
      </w:pPr>
      <w:bookmarkStart w:id="29" w:name="_Toc284842900"/>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Coordination (Ombudsman Scheme) Regulations 2004</w:t>
            </w:r>
          </w:p>
        </w:tc>
        <w:tc>
          <w:tcPr>
            <w:tcW w:w="1276" w:type="dxa"/>
            <w:tcBorders>
              <w:top w:val="single" w:sz="8" w:space="0" w:color="auto"/>
            </w:tcBorders>
          </w:tcPr>
          <w:p>
            <w:pPr>
              <w:pStyle w:val="nTable"/>
              <w:spacing w:after="40"/>
              <w:rPr>
                <w:sz w:val="19"/>
              </w:rPr>
            </w:pPr>
            <w:r>
              <w:rPr>
                <w:sz w:val="19"/>
              </w:rPr>
              <w:t>28 May 2004 p. 1833</w:t>
            </w:r>
            <w:r>
              <w:rPr>
                <w:sz w:val="19"/>
              </w:rPr>
              <w:noBreakHyphen/>
              <w:t>5</w:t>
            </w:r>
          </w:p>
        </w:tc>
        <w:tc>
          <w:tcPr>
            <w:tcW w:w="2693" w:type="dxa"/>
            <w:tcBorders>
              <w:top w:val="single" w:sz="8" w:space="0" w:color="auto"/>
            </w:tcBorders>
          </w:tcPr>
          <w:p>
            <w:pPr>
              <w:pStyle w:val="nTable"/>
              <w:spacing w:after="40"/>
              <w:rPr>
                <w:sz w:val="19"/>
              </w:rPr>
            </w:pPr>
            <w:r>
              <w:rPr>
                <w:sz w:val="19"/>
              </w:rPr>
              <w:t>28 May 2004</w:t>
            </w:r>
          </w:p>
        </w:tc>
      </w:tr>
      <w:tr>
        <w:tc>
          <w:tcPr>
            <w:tcW w:w="3118" w:type="dxa"/>
          </w:tcPr>
          <w:p>
            <w:pPr>
              <w:pStyle w:val="nTable"/>
              <w:spacing w:after="40"/>
              <w:rPr>
                <w:i/>
                <w:sz w:val="19"/>
              </w:rPr>
            </w:pPr>
            <w:r>
              <w:rPr>
                <w:i/>
                <w:sz w:val="19"/>
              </w:rPr>
              <w:t>Energy Coordination (Ombudsman Scheme) Amendment Regulations 2005</w:t>
            </w:r>
          </w:p>
        </w:tc>
        <w:tc>
          <w:tcPr>
            <w:tcW w:w="1276" w:type="dxa"/>
          </w:tcPr>
          <w:p>
            <w:pPr>
              <w:pStyle w:val="nTable"/>
              <w:spacing w:after="40"/>
              <w:rPr>
                <w:sz w:val="19"/>
              </w:rPr>
            </w:pPr>
            <w:r>
              <w:rPr>
                <w:sz w:val="19"/>
              </w:rPr>
              <w:t>13 May 2005 p. 2076</w:t>
            </w:r>
            <w:r>
              <w:rPr>
                <w:sz w:val="19"/>
              </w:rPr>
              <w:noBreakHyphen/>
              <w:t>8</w:t>
            </w:r>
          </w:p>
        </w:tc>
        <w:tc>
          <w:tcPr>
            <w:tcW w:w="2693" w:type="dxa"/>
          </w:tcPr>
          <w:p>
            <w:pPr>
              <w:pStyle w:val="nTable"/>
              <w:spacing w:after="40"/>
              <w:rPr>
                <w:sz w:val="19"/>
              </w:rPr>
            </w:pPr>
            <w:r>
              <w:rPr>
                <w:sz w:val="19"/>
              </w:rPr>
              <w:t>13 May2005 (see r. 2)</w:t>
            </w:r>
          </w:p>
        </w:tc>
      </w:tr>
      <w:tr>
        <w:tc>
          <w:tcPr>
            <w:tcW w:w="3118" w:type="dxa"/>
            <w:tcBorders>
              <w:bottom w:val="single" w:sz="8" w:space="0" w:color="auto"/>
            </w:tcBorders>
          </w:tcPr>
          <w:p>
            <w:pPr>
              <w:pStyle w:val="nTable"/>
              <w:spacing w:after="40"/>
              <w:rPr>
                <w:i/>
                <w:sz w:val="19"/>
              </w:rPr>
            </w:pPr>
            <w:r>
              <w:rPr>
                <w:i/>
                <w:sz w:val="19"/>
              </w:rPr>
              <w:t>Energy Coordination (Ombudsman Scheme) Amendment Regulations 2011</w:t>
            </w:r>
          </w:p>
        </w:tc>
        <w:tc>
          <w:tcPr>
            <w:tcW w:w="1276" w:type="dxa"/>
            <w:tcBorders>
              <w:bottom w:val="single" w:sz="8" w:space="0" w:color="auto"/>
            </w:tcBorders>
          </w:tcPr>
          <w:p>
            <w:pPr>
              <w:pStyle w:val="nTable"/>
              <w:spacing w:after="40"/>
              <w:rPr>
                <w:sz w:val="19"/>
              </w:rPr>
            </w:pPr>
            <w:r>
              <w:rPr>
                <w:sz w:val="19"/>
              </w:rPr>
              <w:t>8 Feb 2011 p. 416</w:t>
            </w:r>
          </w:p>
        </w:tc>
        <w:tc>
          <w:tcPr>
            <w:tcW w:w="2693" w:type="dxa"/>
            <w:tcBorders>
              <w:bottom w:val="single" w:sz="8" w:space="0" w:color="auto"/>
            </w:tcBorders>
          </w:tcPr>
          <w:p>
            <w:pPr>
              <w:pStyle w:val="nTable"/>
              <w:spacing w:after="40"/>
              <w:rPr>
                <w:sz w:val="19"/>
              </w:rPr>
            </w:pPr>
            <w:r>
              <w:rPr>
                <w:snapToGrid w:val="0"/>
                <w:sz w:val="19"/>
                <w:lang w:val="en-US"/>
              </w:rPr>
              <w:t>r. 1 and 2: 8 Feb 2011 (see r. 2(a));</w:t>
            </w:r>
            <w:r>
              <w:rPr>
                <w:snapToGrid w:val="0"/>
                <w:sz w:val="19"/>
                <w:lang w:val="en-US"/>
              </w:rPr>
              <w:br/>
              <w:t>Regulations other than r. 1 and 2: 9 Feb 2011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(Ombudsman Scheme)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82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0DB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02DF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428A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52A0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384E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720E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DCF8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F4C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1708F6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3E03F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4443FE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07"/>
    <w:docVar w:name="WAFER_20151207170007" w:val="RemoveTrackChanges"/>
    <w:docVar w:name="WAFER_20151207170007_GUID" w:val="8fb61d90-b477-497b-9838-4a408054cd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1485</Words>
  <Characters>7175</Characters>
  <Application>Microsoft Office Word</Application>
  <DocSecurity>0</DocSecurity>
  <Lines>224</Lines>
  <Paragraphs>146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(Ombudsman Scheme) Regulations 2004 - 00-b0-03</dc:title>
  <dc:subject/>
  <dc:creator/>
  <cp:keywords/>
  <dc:description/>
  <cp:lastModifiedBy>svcMRProcess</cp:lastModifiedBy>
  <cp:revision>4</cp:revision>
  <cp:lastPrinted>2004-05-27T06:49:00Z</cp:lastPrinted>
  <dcterms:created xsi:type="dcterms:W3CDTF">2015-12-09T04:35:00Z</dcterms:created>
  <dcterms:modified xsi:type="dcterms:W3CDTF">2015-12-09T04:35:00Z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1833-5</vt:lpwstr>
  </property>
  <property fmtid="{D5CDD505-2E9C-101B-9397-08002B2CF9AE}" pid="3" name="CommencementDate">
    <vt:lpwstr>20110209</vt:lpwstr>
  </property>
  <property fmtid="{D5CDD505-2E9C-101B-9397-08002B2CF9AE}" pid="4" name="OwlsUID">
    <vt:i4>34567</vt:i4>
  </property>
  <property fmtid="{D5CDD505-2E9C-101B-9397-08002B2CF9AE}" pid="5" name="AsAtDate">
    <vt:lpwstr>09 Feb 2011</vt:lpwstr>
  </property>
  <property fmtid="{D5CDD505-2E9C-101B-9397-08002B2CF9AE}" pid="6" name="Suffix">
    <vt:lpwstr>00-b0-03</vt:lpwstr>
  </property>
  <property fmtid="{D5CDD505-2E9C-101B-9397-08002B2CF9AE}" pid="7" name="DocumentType">
    <vt:lpwstr>Reg</vt:lpwstr>
  </property>
</Properties>
</file>