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DC6" w:rsidRDefault="001F3C2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F4DC6" w:rsidRDefault="001F3C2D">
      <w:pPr>
        <w:pStyle w:val="NameofActReg"/>
        <w:spacing w:before="3760" w:after="4200"/>
      </w:pPr>
      <w:r>
        <w:rPr>
          <w:noProof/>
        </w:rPr>
        <w:t>Spencer’s Brook-Northam Railway Extension Act 1963</w:t>
      </w:r>
    </w:p>
    <w:p w:rsidR="009F4DC6" w:rsidRDefault="009F4DC6">
      <w:pPr>
        <w:jc w:val="center"/>
        <w:rPr>
          <w:b/>
        </w:rPr>
        <w:sectPr w:rsidR="009F4DC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F4DC6">
        <w:trPr>
          <w:cantSplit/>
        </w:trPr>
        <w:tc>
          <w:tcPr>
            <w:tcW w:w="2434" w:type="dxa"/>
            <w:vMerge w:val="restart"/>
          </w:tcPr>
          <w:p w:rsidR="009F4DC6" w:rsidRDefault="009F4DC6"/>
        </w:tc>
        <w:tc>
          <w:tcPr>
            <w:tcW w:w="2434" w:type="dxa"/>
            <w:vMerge w:val="restart"/>
          </w:tcPr>
          <w:p w:rsidR="009F4DC6" w:rsidRDefault="009F4DC6">
            <w:pPr>
              <w:jc w:val="center"/>
            </w:pPr>
          </w:p>
        </w:tc>
        <w:tc>
          <w:tcPr>
            <w:tcW w:w="2434" w:type="dxa"/>
          </w:tcPr>
          <w:p w:rsidR="009F4DC6" w:rsidRDefault="009F4DC6"/>
        </w:tc>
      </w:tr>
      <w:tr w:rsidR="009F4DC6">
        <w:trPr>
          <w:cantSplit/>
        </w:trPr>
        <w:tc>
          <w:tcPr>
            <w:tcW w:w="2434" w:type="dxa"/>
            <w:vMerge/>
          </w:tcPr>
          <w:p w:rsidR="009F4DC6" w:rsidRDefault="009F4DC6"/>
        </w:tc>
        <w:tc>
          <w:tcPr>
            <w:tcW w:w="2434" w:type="dxa"/>
            <w:vMerge/>
          </w:tcPr>
          <w:p w:rsidR="009F4DC6" w:rsidRDefault="009F4DC6">
            <w:pPr>
              <w:jc w:val="center"/>
            </w:pPr>
          </w:p>
        </w:tc>
        <w:tc>
          <w:tcPr>
            <w:tcW w:w="2434" w:type="dxa"/>
          </w:tcPr>
          <w:p w:rsidR="009F4DC6" w:rsidRDefault="001F3C2D">
            <w:pPr>
              <w:keepNext/>
              <w:rPr>
                <w:b/>
                <w:sz w:val="22"/>
              </w:rPr>
            </w:pPr>
            <w:r>
              <w:rPr>
                <w:b/>
                <w:sz w:val="22"/>
              </w:rPr>
              <w:t xml:space="preserve">Reprinted under the </w:t>
            </w:r>
            <w:r>
              <w:rPr>
                <w:b/>
                <w:i/>
                <w:sz w:val="22"/>
              </w:rPr>
              <w:t>Reprints Act 1984</w:t>
            </w:r>
            <w:r>
              <w:rPr>
                <w:b/>
                <w:sz w:val="22"/>
              </w:rPr>
              <w:t xml:space="preserve"> as at 10 June 2005</w:t>
            </w:r>
          </w:p>
        </w:tc>
      </w:tr>
    </w:tbl>
    <w:p w:rsidR="009F4DC6" w:rsidRDefault="001F3C2D">
      <w:pPr>
        <w:pStyle w:val="WA"/>
        <w:spacing w:before="120"/>
      </w:pPr>
      <w:r>
        <w:t>Western Australia</w:t>
      </w:r>
    </w:p>
    <w:p w:rsidR="009F4DC6" w:rsidRDefault="001F3C2D">
      <w:pPr>
        <w:pStyle w:val="NameofActRegPage1"/>
      </w:pPr>
      <w:r>
        <w:fldChar w:fldCharType="begin"/>
      </w:r>
      <w:r>
        <w:instrText xml:space="preserve"> STYLEREF "Name Of Act/Reg"</w:instrText>
      </w:r>
      <w:r>
        <w:fldChar w:fldCharType="separate"/>
      </w:r>
      <w:r w:rsidR="00792A78">
        <w:rPr>
          <w:noProof/>
        </w:rPr>
        <w:t>Spencer’s Brook-Northam Railway Extension Act 1963</w:t>
      </w:r>
      <w:r>
        <w:fldChar w:fldCharType="end"/>
      </w:r>
    </w:p>
    <w:p w:rsidR="009F4DC6" w:rsidRDefault="001F3C2D">
      <w:pPr>
        <w:pStyle w:val="Arrangement"/>
      </w:pPr>
      <w:r>
        <w:t>CONTENTS</w:t>
      </w:r>
    </w:p>
    <w:p w:rsidR="009F4DC6" w:rsidRDefault="001F3C2D">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_Toc107192839 \h </w:instrText>
      </w:r>
      <w:r>
        <w:rPr>
          <w:noProof/>
        </w:rPr>
      </w:r>
      <w:r>
        <w:rPr>
          <w:noProof/>
        </w:rPr>
        <w:fldChar w:fldCharType="separate"/>
      </w:r>
      <w:r w:rsidR="00792A78">
        <w:rPr>
          <w:noProof/>
        </w:rPr>
        <w:t>1</w:t>
      </w:r>
      <w:r>
        <w:rPr>
          <w:noProof/>
        </w:rPr>
        <w:fldChar w:fldCharType="end"/>
      </w:r>
    </w:p>
    <w:p w:rsidR="009F4DC6" w:rsidRDefault="001F3C2D">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Authority to construct railway lines</w:t>
      </w:r>
      <w:r>
        <w:rPr>
          <w:noProof/>
        </w:rPr>
        <w:tab/>
      </w:r>
      <w:r>
        <w:rPr>
          <w:noProof/>
        </w:rPr>
        <w:fldChar w:fldCharType="begin"/>
      </w:r>
      <w:r>
        <w:rPr>
          <w:noProof/>
        </w:rPr>
        <w:instrText xml:space="preserve"> PAGEREF _Toc107192840 \h </w:instrText>
      </w:r>
      <w:r>
        <w:rPr>
          <w:noProof/>
        </w:rPr>
      </w:r>
      <w:r>
        <w:rPr>
          <w:noProof/>
        </w:rPr>
        <w:fldChar w:fldCharType="separate"/>
      </w:r>
      <w:r w:rsidR="00792A78">
        <w:rPr>
          <w:noProof/>
        </w:rPr>
        <w:t>1</w:t>
      </w:r>
      <w:r>
        <w:rPr>
          <w:noProof/>
        </w:rPr>
        <w:fldChar w:fldCharType="end"/>
      </w:r>
    </w:p>
    <w:p w:rsidR="009F4DC6" w:rsidRDefault="001F3C2D">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_Toc107192841 \h </w:instrText>
      </w:r>
      <w:r>
        <w:rPr>
          <w:b w:val="0"/>
          <w:noProof/>
          <w:sz w:val="22"/>
        </w:rPr>
      </w:r>
      <w:r>
        <w:rPr>
          <w:b w:val="0"/>
          <w:noProof/>
          <w:sz w:val="22"/>
        </w:rPr>
        <w:fldChar w:fldCharType="separate"/>
      </w:r>
      <w:r w:rsidR="00792A78">
        <w:rPr>
          <w:b w:val="0"/>
          <w:noProof/>
          <w:sz w:val="22"/>
        </w:rPr>
        <w:t>2</w:t>
      </w:r>
      <w:r>
        <w:rPr>
          <w:b w:val="0"/>
          <w:noProof/>
          <w:sz w:val="22"/>
        </w:rPr>
        <w:fldChar w:fldCharType="end"/>
      </w:r>
    </w:p>
    <w:p w:rsidR="009F4DC6" w:rsidRDefault="001F3C2D">
      <w:pPr>
        <w:pStyle w:val="TOC2"/>
        <w:tabs>
          <w:tab w:val="right" w:leader="dot" w:pos="7086"/>
        </w:tabs>
        <w:rPr>
          <w:b w:val="0"/>
          <w:noProof/>
          <w:sz w:val="24"/>
          <w:szCs w:val="24"/>
        </w:rPr>
      </w:pPr>
      <w:r>
        <w:rPr>
          <w:noProof/>
          <w:szCs w:val="26"/>
        </w:rPr>
        <w:t>Notes</w:t>
      </w:r>
    </w:p>
    <w:p w:rsidR="009F4DC6" w:rsidRDefault="001F3C2D">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_Toc107192843 \h </w:instrText>
      </w:r>
      <w:r>
        <w:rPr>
          <w:noProof/>
        </w:rPr>
      </w:r>
      <w:r>
        <w:rPr>
          <w:noProof/>
        </w:rPr>
        <w:fldChar w:fldCharType="separate"/>
      </w:r>
      <w:r w:rsidR="00792A78">
        <w:rPr>
          <w:noProof/>
        </w:rPr>
        <w:t>3</w:t>
      </w:r>
      <w:r>
        <w:rPr>
          <w:noProof/>
        </w:rPr>
        <w:fldChar w:fldCharType="end"/>
      </w:r>
    </w:p>
    <w:p w:rsidR="009F4DC6" w:rsidRDefault="001F3C2D">
      <w:pPr>
        <w:pStyle w:val="TOC2"/>
      </w:pPr>
      <w:r>
        <w:fldChar w:fldCharType="end"/>
      </w:r>
    </w:p>
    <w:p w:rsidR="009F4DC6" w:rsidRDefault="001F3C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4DC6" w:rsidRDefault="009F4DC6">
      <w:pPr>
        <w:pStyle w:val="NoteHeading"/>
        <w:sectPr w:rsidR="009F4DC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F4DC6">
        <w:trPr>
          <w:cantSplit/>
        </w:trPr>
        <w:tc>
          <w:tcPr>
            <w:tcW w:w="2434" w:type="dxa"/>
            <w:vMerge w:val="restart"/>
          </w:tcPr>
          <w:p w:rsidR="009F4DC6" w:rsidRDefault="009F4DC6"/>
        </w:tc>
        <w:tc>
          <w:tcPr>
            <w:tcW w:w="2434" w:type="dxa"/>
            <w:vMerge w:val="restart"/>
          </w:tcPr>
          <w:p w:rsidR="009F4DC6" w:rsidRDefault="001F3C2D">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9F4DC6" w:rsidRDefault="009F4DC6"/>
        </w:tc>
      </w:tr>
      <w:tr w:rsidR="009F4DC6">
        <w:trPr>
          <w:cantSplit/>
        </w:trPr>
        <w:tc>
          <w:tcPr>
            <w:tcW w:w="2434" w:type="dxa"/>
            <w:vMerge/>
          </w:tcPr>
          <w:p w:rsidR="009F4DC6" w:rsidRDefault="009F4DC6"/>
        </w:tc>
        <w:tc>
          <w:tcPr>
            <w:tcW w:w="2434" w:type="dxa"/>
            <w:vMerge/>
          </w:tcPr>
          <w:p w:rsidR="009F4DC6" w:rsidRDefault="009F4DC6">
            <w:pPr>
              <w:jc w:val="center"/>
            </w:pPr>
          </w:p>
        </w:tc>
        <w:tc>
          <w:tcPr>
            <w:tcW w:w="2434" w:type="dxa"/>
          </w:tcPr>
          <w:p w:rsidR="009F4DC6" w:rsidRDefault="001F3C2D">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June 2005</w:t>
            </w:r>
          </w:p>
        </w:tc>
      </w:tr>
    </w:tbl>
    <w:p w:rsidR="009F4DC6" w:rsidRDefault="001F3C2D">
      <w:pPr>
        <w:pStyle w:val="WA"/>
        <w:spacing w:before="120"/>
      </w:pPr>
      <w:r>
        <w:t>Western Australia</w:t>
      </w:r>
    </w:p>
    <w:p w:rsidR="009F4DC6" w:rsidRDefault="001F3C2D">
      <w:pPr>
        <w:pStyle w:val="NameofActReg"/>
      </w:pPr>
      <w:r>
        <w:t>Spencer’s Brook-Northam Railway Extension Act 1963</w:t>
      </w:r>
    </w:p>
    <w:p w:rsidR="009F4DC6" w:rsidRDefault="001F3C2D">
      <w:pPr>
        <w:pStyle w:val="LongTitle"/>
        <w:rPr>
          <w:snapToGrid w:val="0"/>
        </w:rPr>
      </w:pPr>
      <w:r>
        <w:rPr>
          <w:snapToGrid w:val="0"/>
        </w:rPr>
        <w:t xml:space="preserve">An Act to authorise an extension of the Spencer’s Brook to Northam Railway. </w:t>
      </w:r>
    </w:p>
    <w:p w:rsidR="009F4DC6" w:rsidRDefault="001F3C2D">
      <w:pPr>
        <w:pStyle w:val="Heading5"/>
        <w:rPr>
          <w:snapToGrid w:val="0"/>
        </w:rPr>
      </w:pPr>
      <w:bookmarkStart w:id="1" w:name="_Toc107192839"/>
      <w:r>
        <w:rPr>
          <w:rStyle w:val="CharSectno"/>
        </w:rPr>
        <w:t>1</w:t>
      </w:r>
      <w:r>
        <w:rPr>
          <w:snapToGrid w:val="0"/>
        </w:rPr>
        <w:t>.</w:t>
      </w:r>
      <w:r>
        <w:rPr>
          <w:snapToGrid w:val="0"/>
        </w:rPr>
        <w:tab/>
        <w:t>Short title</w:t>
      </w:r>
      <w:bookmarkEnd w:id="1"/>
      <w:r>
        <w:rPr>
          <w:snapToGrid w:val="0"/>
        </w:rPr>
        <w:t xml:space="preserve"> </w:t>
      </w:r>
    </w:p>
    <w:p w:rsidR="009F4DC6" w:rsidRDefault="001F3C2D">
      <w:pPr>
        <w:pStyle w:val="Subsection"/>
        <w:rPr>
          <w:snapToGrid w:val="0"/>
        </w:rPr>
      </w:pPr>
      <w:r>
        <w:rPr>
          <w:snapToGrid w:val="0"/>
        </w:rPr>
        <w:tab/>
      </w:r>
      <w:r>
        <w:rPr>
          <w:snapToGrid w:val="0"/>
        </w:rPr>
        <w:tab/>
        <w:t xml:space="preserve">This Act may be cited as the </w:t>
      </w:r>
      <w:r>
        <w:rPr>
          <w:i/>
          <w:snapToGrid w:val="0"/>
        </w:rPr>
        <w:t>Spencer’s Brook</w:t>
      </w:r>
      <w:r>
        <w:rPr>
          <w:i/>
          <w:snapToGrid w:val="0"/>
        </w:rPr>
        <w:noBreakHyphen/>
        <w:t>Northam Railway Extension Act 1963</w:t>
      </w:r>
      <w:r>
        <w:rPr>
          <w:snapToGrid w:val="0"/>
          <w:vertAlign w:val="superscript"/>
        </w:rPr>
        <w:t> 1</w:t>
      </w:r>
      <w:r>
        <w:rPr>
          <w:snapToGrid w:val="0"/>
        </w:rPr>
        <w:t>.</w:t>
      </w:r>
    </w:p>
    <w:p w:rsidR="009F4DC6" w:rsidRDefault="001F3C2D">
      <w:pPr>
        <w:pStyle w:val="Heading5"/>
        <w:rPr>
          <w:snapToGrid w:val="0"/>
        </w:rPr>
      </w:pPr>
      <w:bookmarkStart w:id="2" w:name="_Toc107192840"/>
      <w:r>
        <w:rPr>
          <w:rStyle w:val="CharSectno"/>
        </w:rPr>
        <w:t>2</w:t>
      </w:r>
      <w:r>
        <w:rPr>
          <w:snapToGrid w:val="0"/>
        </w:rPr>
        <w:t>.</w:t>
      </w:r>
      <w:r>
        <w:rPr>
          <w:snapToGrid w:val="0"/>
        </w:rPr>
        <w:tab/>
        <w:t>Authority to construct railway lines</w:t>
      </w:r>
      <w:bookmarkEnd w:id="2"/>
      <w:r>
        <w:rPr>
          <w:snapToGrid w:val="0"/>
        </w:rPr>
        <w:t xml:space="preserve"> </w:t>
      </w:r>
    </w:p>
    <w:p w:rsidR="009F4DC6" w:rsidRDefault="001F3C2D">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9F4DC6" w:rsidRDefault="009F4DC6">
      <w:pPr>
        <w:rPr>
          <w:rStyle w:val="CharDivText"/>
        </w:rPr>
        <w:sectPr w:rsidR="009F4DC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F4DC6" w:rsidRDefault="001F3C2D">
      <w:pPr>
        <w:pStyle w:val="yScheduleHeading"/>
      </w:pPr>
      <w:bookmarkStart w:id="3" w:name="_Toc107192841"/>
      <w:r>
        <w:t>Schedule</w:t>
      </w:r>
      <w:bookmarkEnd w:id="3"/>
    </w:p>
    <w:p w:rsidR="009F4DC6" w:rsidRDefault="001F3C2D">
      <w:pPr>
        <w:pStyle w:val="MiscellaneousHeading"/>
        <w:rPr>
          <w:i/>
          <w:snapToGrid w:val="0"/>
        </w:rPr>
      </w:pPr>
      <w:r>
        <w:rPr>
          <w:i/>
          <w:snapToGrid w:val="0"/>
        </w:rPr>
        <w:t>Spencer’s Brook</w:t>
      </w:r>
      <w:r>
        <w:rPr>
          <w:i/>
          <w:snapToGrid w:val="0"/>
        </w:rPr>
        <w:noBreakHyphen/>
        <w:t>Northam Railway Extension</w:t>
      </w:r>
    </w:p>
    <w:p w:rsidR="009F4DC6" w:rsidRDefault="001F3C2D">
      <w:pPr>
        <w:pStyle w:val="MiscellaneousHeading"/>
        <w:rPr>
          <w:snapToGrid w:val="0"/>
        </w:rPr>
      </w:pPr>
      <w:r>
        <w:rPr>
          <w:snapToGrid w:val="0"/>
        </w:rPr>
        <w:t>Description of Main Line of Railway</w:t>
      </w:r>
    </w:p>
    <w:p w:rsidR="009F4DC6" w:rsidRDefault="001F3C2D">
      <w:pPr>
        <w:pStyle w:val="MiscellaneousBody"/>
        <w:rPr>
          <w:snapToGrid w:val="0"/>
        </w:rPr>
      </w:pPr>
      <w:r>
        <w:rPr>
          <w:snapToGrid w:val="0"/>
        </w:rPr>
        <w:t>Commencing at a point on the Spencer’s Brook</w:t>
      </w:r>
      <w:r>
        <w:rPr>
          <w:snapToGrid w:val="0"/>
        </w:rPr>
        <w:noBreakHyphen/>
        <w:t>Northam Railway about 65 miles 60 chains from Perth and proceeding thence in a north</w:t>
      </w:r>
      <w:r>
        <w:rPr>
          <w:snapToGrid w:val="0"/>
        </w:rPr>
        <w:noBreakHyphen/>
        <w:t>easterly direction for about 18 chains and thence in a north</w:t>
      </w:r>
      <w:r>
        <w:rPr>
          <w:snapToGrid w:val="0"/>
        </w:rPr>
        <w:noBreakHyphen/>
        <w:t>north</w:t>
      </w:r>
      <w:r>
        <w:rPr>
          <w:snapToGrid w:val="0"/>
        </w:rPr>
        <w:noBreakHyphen/>
        <w:t>easterly direction for about 60 chains and thence in a north</w:t>
      </w:r>
      <w:r>
        <w:rPr>
          <w:snapToGrid w:val="0"/>
        </w:rPr>
        <w:noBreakHyphen/>
        <w:t>north</w:t>
      </w:r>
      <w:r>
        <w:rPr>
          <w:snapToGrid w:val="0"/>
        </w:rPr>
        <w:noBreakHyphen/>
        <w:t>westerly direction for about 70 chains and thence in a north</w:t>
      </w:r>
      <w:r>
        <w:rPr>
          <w:snapToGrid w:val="0"/>
        </w:rPr>
        <w:noBreakHyphen/>
        <w:t xml:space="preserve">westerly direction for about 30 chains terminating at the easterly end of the new marshalling yard to be constructed on the route of the standard gauge railway and being more particularly delineated and shown in red on map marked C.E. Plan 53377 deposited pursuant to the </w:t>
      </w:r>
      <w:r>
        <w:rPr>
          <w:i/>
          <w:snapToGrid w:val="0"/>
        </w:rPr>
        <w:t>Public Works Act 1902</w:t>
      </w:r>
      <w:r>
        <w:rPr>
          <w:snapToGrid w:val="0"/>
        </w:rPr>
        <w:t>, section 96.</w:t>
      </w:r>
    </w:p>
    <w:p w:rsidR="009F4DC6" w:rsidRDefault="001F3C2D">
      <w:pPr>
        <w:pStyle w:val="MiscellaneousBody"/>
        <w:rPr>
          <w:snapToGrid w:val="0"/>
        </w:rPr>
      </w:pPr>
      <w:r>
        <w:rPr>
          <w:snapToGrid w:val="0"/>
        </w:rPr>
        <w:t>Total length about 2 miles 18 chains.</w:t>
      </w:r>
    </w:p>
    <w:p w:rsidR="009F4DC6" w:rsidRDefault="009F4DC6">
      <w:pPr>
        <w:sectPr w:rsidR="009F4DC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F4DC6" w:rsidRDefault="001F3C2D">
      <w:pPr>
        <w:pStyle w:val="nHeading2"/>
      </w:pPr>
      <w:bookmarkStart w:id="4" w:name="_Toc104015316"/>
      <w:bookmarkStart w:id="5" w:name="_Toc104015332"/>
      <w:bookmarkStart w:id="6" w:name="_Toc104172652"/>
      <w:bookmarkStart w:id="7" w:name="_Toc104196141"/>
      <w:bookmarkStart w:id="8" w:name="_Toc107192842"/>
      <w:r>
        <w:t>Notes</w:t>
      </w:r>
      <w:bookmarkEnd w:id="4"/>
      <w:bookmarkEnd w:id="5"/>
      <w:bookmarkEnd w:id="6"/>
      <w:bookmarkEnd w:id="7"/>
      <w:bookmarkEnd w:id="8"/>
    </w:p>
    <w:p w:rsidR="009F4DC6" w:rsidRDefault="001F3C2D">
      <w:pPr>
        <w:pStyle w:val="nSubsection"/>
        <w:rPr>
          <w:snapToGrid w:val="0"/>
        </w:rPr>
      </w:pPr>
      <w:r>
        <w:rPr>
          <w:snapToGrid w:val="0"/>
          <w:vertAlign w:val="superscript"/>
        </w:rPr>
        <w:t>1</w:t>
      </w:r>
      <w:r>
        <w:rPr>
          <w:snapToGrid w:val="0"/>
        </w:rPr>
        <w:tab/>
        <w:t xml:space="preserve">This is a reprint as at 10 June 2005 of the </w:t>
      </w:r>
      <w:r>
        <w:rPr>
          <w:i/>
          <w:noProof/>
          <w:snapToGrid w:val="0"/>
        </w:rPr>
        <w:t>Spencer’s Brook-Northam Railway Extension Act 1963</w:t>
      </w:r>
      <w:r>
        <w:rPr>
          <w:snapToGrid w:val="0"/>
        </w:rPr>
        <w:t xml:space="preserve">.  The following table contains information about that Act and any reprint. </w:t>
      </w:r>
    </w:p>
    <w:p w:rsidR="009F4DC6" w:rsidRDefault="001F3C2D">
      <w:pPr>
        <w:pStyle w:val="nHeading3"/>
        <w:rPr>
          <w:snapToGrid w:val="0"/>
        </w:rPr>
      </w:pPr>
      <w:bookmarkStart w:id="9" w:name="_Toc107192843"/>
      <w:r>
        <w:rPr>
          <w:snapToGrid w:val="0"/>
        </w:rPr>
        <w:t>Compilation table</w:t>
      </w:r>
      <w:bookmarkEnd w:id="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F4DC6">
        <w:trPr>
          <w:tblHeader/>
        </w:trPr>
        <w:tc>
          <w:tcPr>
            <w:tcW w:w="2268" w:type="dxa"/>
            <w:tcBorders>
              <w:top w:val="single" w:sz="8" w:space="0" w:color="auto"/>
              <w:bottom w:val="single" w:sz="8" w:space="0" w:color="auto"/>
            </w:tcBorders>
          </w:tcPr>
          <w:p w:rsidR="009F4DC6" w:rsidRDefault="001F3C2D">
            <w:pPr>
              <w:pStyle w:val="nTable"/>
              <w:spacing w:after="40"/>
              <w:rPr>
                <w:b/>
                <w:sz w:val="19"/>
              </w:rPr>
            </w:pPr>
            <w:r>
              <w:rPr>
                <w:b/>
                <w:sz w:val="19"/>
              </w:rPr>
              <w:t>Short title</w:t>
            </w:r>
          </w:p>
        </w:tc>
        <w:tc>
          <w:tcPr>
            <w:tcW w:w="1134" w:type="dxa"/>
            <w:tcBorders>
              <w:top w:val="single" w:sz="8" w:space="0" w:color="auto"/>
              <w:bottom w:val="single" w:sz="8" w:space="0" w:color="auto"/>
            </w:tcBorders>
          </w:tcPr>
          <w:p w:rsidR="009F4DC6" w:rsidRDefault="001F3C2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F4DC6" w:rsidRDefault="001F3C2D">
            <w:pPr>
              <w:pStyle w:val="nTable"/>
              <w:spacing w:after="40"/>
              <w:rPr>
                <w:b/>
                <w:sz w:val="19"/>
              </w:rPr>
            </w:pPr>
            <w:r>
              <w:rPr>
                <w:b/>
                <w:sz w:val="19"/>
              </w:rPr>
              <w:t>Assent</w:t>
            </w:r>
          </w:p>
        </w:tc>
        <w:tc>
          <w:tcPr>
            <w:tcW w:w="2551" w:type="dxa"/>
            <w:tcBorders>
              <w:top w:val="single" w:sz="8" w:space="0" w:color="auto"/>
              <w:bottom w:val="single" w:sz="8" w:space="0" w:color="auto"/>
            </w:tcBorders>
          </w:tcPr>
          <w:p w:rsidR="009F4DC6" w:rsidRDefault="001F3C2D">
            <w:pPr>
              <w:pStyle w:val="nTable"/>
              <w:spacing w:after="40"/>
              <w:rPr>
                <w:b/>
                <w:sz w:val="19"/>
              </w:rPr>
            </w:pPr>
            <w:r>
              <w:rPr>
                <w:b/>
                <w:sz w:val="19"/>
              </w:rPr>
              <w:t>Commencement</w:t>
            </w:r>
          </w:p>
        </w:tc>
      </w:tr>
      <w:tr w:rsidR="009F4DC6">
        <w:tc>
          <w:tcPr>
            <w:tcW w:w="2268" w:type="dxa"/>
            <w:tcBorders>
              <w:top w:val="single" w:sz="8" w:space="0" w:color="auto"/>
            </w:tcBorders>
          </w:tcPr>
          <w:p w:rsidR="009F4DC6" w:rsidRDefault="001F3C2D">
            <w:pPr>
              <w:pStyle w:val="nTable"/>
              <w:spacing w:after="40"/>
              <w:rPr>
                <w:sz w:val="19"/>
              </w:rPr>
            </w:pPr>
            <w:r>
              <w:rPr>
                <w:i/>
                <w:sz w:val="19"/>
              </w:rPr>
              <w:t>Spencer’s Brook</w:t>
            </w:r>
            <w:r>
              <w:rPr>
                <w:i/>
                <w:sz w:val="19"/>
              </w:rPr>
              <w:noBreakHyphen/>
              <w:t>Northam Railway Extension Act 1963</w:t>
            </w:r>
          </w:p>
        </w:tc>
        <w:tc>
          <w:tcPr>
            <w:tcW w:w="1134" w:type="dxa"/>
            <w:tcBorders>
              <w:top w:val="single" w:sz="8" w:space="0" w:color="auto"/>
            </w:tcBorders>
          </w:tcPr>
          <w:p w:rsidR="009F4DC6" w:rsidRDefault="001F3C2D">
            <w:pPr>
              <w:pStyle w:val="nTable"/>
              <w:spacing w:after="40"/>
              <w:rPr>
                <w:sz w:val="19"/>
              </w:rPr>
            </w:pPr>
            <w:r>
              <w:rPr>
                <w:sz w:val="19"/>
              </w:rPr>
              <w:t>18 of 1963</w:t>
            </w:r>
          </w:p>
        </w:tc>
        <w:tc>
          <w:tcPr>
            <w:tcW w:w="1134" w:type="dxa"/>
            <w:tcBorders>
              <w:top w:val="single" w:sz="8" w:space="0" w:color="auto"/>
            </w:tcBorders>
          </w:tcPr>
          <w:p w:rsidR="009F4DC6" w:rsidRDefault="001F3C2D">
            <w:pPr>
              <w:pStyle w:val="nTable"/>
              <w:spacing w:after="40"/>
              <w:rPr>
                <w:sz w:val="19"/>
              </w:rPr>
            </w:pPr>
            <w:r>
              <w:rPr>
                <w:sz w:val="19"/>
              </w:rPr>
              <w:t>5 Nov 1963</w:t>
            </w:r>
          </w:p>
        </w:tc>
        <w:tc>
          <w:tcPr>
            <w:tcW w:w="2551" w:type="dxa"/>
            <w:tcBorders>
              <w:top w:val="single" w:sz="8" w:space="0" w:color="auto"/>
            </w:tcBorders>
          </w:tcPr>
          <w:p w:rsidR="009F4DC6" w:rsidRDefault="001F3C2D">
            <w:pPr>
              <w:pStyle w:val="nTable"/>
              <w:spacing w:after="40"/>
              <w:rPr>
                <w:sz w:val="19"/>
              </w:rPr>
            </w:pPr>
            <w:r>
              <w:rPr>
                <w:sz w:val="19"/>
              </w:rPr>
              <w:t>5 Nov 1963</w:t>
            </w:r>
          </w:p>
        </w:tc>
      </w:tr>
      <w:tr w:rsidR="009F4DC6">
        <w:trPr>
          <w:cantSplit/>
        </w:trPr>
        <w:tc>
          <w:tcPr>
            <w:tcW w:w="7087" w:type="dxa"/>
            <w:gridSpan w:val="4"/>
            <w:tcBorders>
              <w:bottom w:val="single" w:sz="8" w:space="0" w:color="auto"/>
            </w:tcBorders>
          </w:tcPr>
          <w:p w:rsidR="009F4DC6" w:rsidRDefault="001F3C2D">
            <w:pPr>
              <w:pStyle w:val="nTable"/>
              <w:spacing w:after="40"/>
              <w:rPr>
                <w:b/>
                <w:bCs/>
                <w:sz w:val="19"/>
              </w:rPr>
            </w:pPr>
            <w:r>
              <w:rPr>
                <w:b/>
                <w:bCs/>
                <w:sz w:val="19"/>
              </w:rPr>
              <w:t xml:space="preserve">Reprint 1: The </w:t>
            </w:r>
            <w:r>
              <w:rPr>
                <w:b/>
                <w:bCs/>
                <w:i/>
                <w:sz w:val="19"/>
              </w:rPr>
              <w:t>Spencer’s Brook</w:t>
            </w:r>
            <w:r>
              <w:rPr>
                <w:b/>
                <w:bCs/>
                <w:i/>
                <w:sz w:val="19"/>
              </w:rPr>
              <w:noBreakHyphen/>
              <w:t>Northam Railway Extension Act 1963</w:t>
            </w:r>
            <w:r>
              <w:rPr>
                <w:b/>
                <w:bCs/>
                <w:sz w:val="19"/>
              </w:rPr>
              <w:t xml:space="preserve"> as at 10 Jun 2005</w:t>
            </w:r>
          </w:p>
        </w:tc>
      </w:tr>
    </w:tbl>
    <w:p w:rsidR="009F4DC6" w:rsidRDefault="009F4DC6"/>
    <w:p w:rsidR="009F4DC6" w:rsidRDefault="009F4DC6">
      <w:pPr>
        <w:sectPr w:rsidR="009F4DC6">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9F4DC6" w:rsidRDefault="009F4DC6"/>
    <w:sectPr w:rsidR="009F4DC6">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DC6" w:rsidRDefault="001F3C2D">
      <w:r>
        <w:separator/>
      </w:r>
    </w:p>
  </w:endnote>
  <w:endnote w:type="continuationSeparator" w:id="0">
    <w:p w:rsidR="009F4DC6" w:rsidRDefault="001F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p>
  <w:p w:rsidR="009F4DC6" w:rsidRDefault="001F3C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F4DC6" w:rsidRDefault="001F3C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F4DC6" w:rsidRDefault="001F3C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p>
  <w:p w:rsidR="009F4DC6" w:rsidRDefault="001F3C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F4DC6" w:rsidRDefault="001F3C2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2A78">
      <w:rPr>
        <w:rStyle w:val="PageNumber"/>
        <w:rFonts w:ascii="Arial" w:hAnsi="Arial" w:cs="Arial"/>
        <w:noProof/>
      </w:rPr>
      <w:t>i</w:t>
    </w:r>
    <w:r>
      <w:rPr>
        <w:rStyle w:val="PageNumber"/>
        <w:rFonts w:ascii="Arial" w:hAnsi="Arial" w:cs="Arial"/>
      </w:rPr>
      <w:fldChar w:fldCharType="end"/>
    </w:r>
  </w:p>
  <w:p w:rsidR="009F4DC6" w:rsidRDefault="001F3C2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A7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 xml:space="preserve"> </w:t>
    </w:r>
  </w:p>
  <w:p w:rsidR="009F4DC6" w:rsidRDefault="001F3C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A78">
      <w:rPr>
        <w:rStyle w:val="CharPageNo"/>
        <w:rFonts w:ascii="Arial" w:hAnsi="Arial"/>
        <w:noProof/>
      </w:rPr>
      <w:t>3</w:t>
    </w:r>
    <w:r>
      <w:rPr>
        <w:rStyle w:val="CharPageNo"/>
        <w:rFonts w:ascii="Arial" w:hAnsi="Arial"/>
      </w:rPr>
      <w:fldChar w:fldCharType="end"/>
    </w:r>
  </w:p>
  <w:p w:rsidR="009F4DC6" w:rsidRDefault="001F3C2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Footer"/>
      <w:tabs>
        <w:tab w:val="clear" w:pos="4153"/>
        <w:tab w:val="right" w:pos="7088"/>
      </w:tabs>
      <w:rPr>
        <w:rStyle w:val="PageNumber"/>
      </w:rPr>
    </w:pPr>
  </w:p>
  <w:p w:rsidR="009F4DC6" w:rsidRDefault="001F3C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A78">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A78">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A78">
      <w:rPr>
        <w:rStyle w:val="CharPageNo"/>
        <w:rFonts w:ascii="Arial" w:hAnsi="Arial"/>
        <w:noProof/>
      </w:rPr>
      <w:t>1</w:t>
    </w:r>
    <w:r>
      <w:rPr>
        <w:rStyle w:val="CharPageNo"/>
        <w:rFonts w:ascii="Arial" w:hAnsi="Arial"/>
      </w:rPr>
      <w:fldChar w:fldCharType="end"/>
    </w:r>
  </w:p>
  <w:p w:rsidR="009F4DC6" w:rsidRDefault="001F3C2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DC6" w:rsidRDefault="001F3C2D">
      <w:r>
        <w:separator/>
      </w:r>
    </w:p>
  </w:footnote>
  <w:footnote w:type="continuationSeparator" w:id="0">
    <w:p w:rsidR="009F4DC6" w:rsidRDefault="001F3C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4DC6">
      <w:trPr>
        <w:cantSplit/>
      </w:trPr>
      <w:tc>
        <w:tcPr>
          <w:tcW w:w="7312" w:type="dxa"/>
          <w:gridSpan w:val="2"/>
        </w:tcPr>
        <w:p w:rsidR="009F4DC6" w:rsidRDefault="001F3C2D">
          <w:pPr>
            <w:pStyle w:val="HeaderActNameLeft"/>
          </w:pPr>
          <w:r>
            <w:rPr>
              <w:i w:val="0"/>
            </w:rPr>
            <w:fldChar w:fldCharType="begin"/>
          </w:r>
          <w:r>
            <w:rPr>
              <w:i w:val="0"/>
            </w:rPr>
            <w:instrText xml:space="preserve"> Styleref "Name of Act/Reg" </w:instrText>
          </w:r>
          <w:r>
            <w:rPr>
              <w:i w:val="0"/>
            </w:rPr>
            <w:fldChar w:fldCharType="separate"/>
          </w:r>
          <w:r w:rsidR="00792A78">
            <w:rPr>
              <w:i w:val="0"/>
              <w:noProof/>
            </w:rPr>
            <w:t>Spencer’s Brook-Northam Railway Extension Act 1963</w:t>
          </w:r>
          <w:r>
            <w:rPr>
              <w:i w:val="0"/>
            </w:rPr>
            <w:fldChar w:fldCharType="end"/>
          </w:r>
        </w:p>
      </w:tc>
    </w:tr>
    <w:tr w:rsidR="009F4DC6">
      <w:tc>
        <w:tcPr>
          <w:tcW w:w="1548" w:type="dxa"/>
        </w:tcPr>
        <w:p w:rsidR="009F4DC6" w:rsidRDefault="009F4DC6">
          <w:pPr>
            <w:pStyle w:val="HeaderNumberLeft"/>
          </w:pPr>
        </w:p>
      </w:tc>
      <w:tc>
        <w:tcPr>
          <w:tcW w:w="5764" w:type="dxa"/>
        </w:tcPr>
        <w:p w:rsidR="009F4DC6" w:rsidRDefault="009F4DC6">
          <w:pPr>
            <w:pStyle w:val="HeaderTextLeft"/>
          </w:pPr>
        </w:p>
      </w:tc>
    </w:tr>
    <w:tr w:rsidR="009F4DC6">
      <w:tc>
        <w:tcPr>
          <w:tcW w:w="1548" w:type="dxa"/>
        </w:tcPr>
        <w:p w:rsidR="009F4DC6" w:rsidRDefault="009F4DC6">
          <w:pPr>
            <w:pStyle w:val="HeaderNumberLeft"/>
          </w:pPr>
        </w:p>
      </w:tc>
      <w:tc>
        <w:tcPr>
          <w:tcW w:w="5764" w:type="dxa"/>
        </w:tcPr>
        <w:p w:rsidR="009F4DC6" w:rsidRDefault="009F4DC6">
          <w:pPr>
            <w:pStyle w:val="HeaderTextLeft"/>
          </w:pPr>
        </w:p>
      </w:tc>
    </w:tr>
    <w:tr w:rsidR="009F4DC6">
      <w:trPr>
        <w:cantSplit/>
      </w:trPr>
      <w:tc>
        <w:tcPr>
          <w:tcW w:w="7312" w:type="dxa"/>
          <w:gridSpan w:val="2"/>
        </w:tcPr>
        <w:p w:rsidR="009F4DC6" w:rsidRDefault="009F4DC6">
          <w:pPr>
            <w:pStyle w:val="HeaderSectionLeft"/>
          </w:pPr>
        </w:p>
      </w:tc>
    </w:tr>
  </w:tbl>
  <w:p w:rsidR="009F4DC6" w:rsidRDefault="009F4D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4DC6">
      <w:trPr>
        <w:cantSplit/>
      </w:trPr>
      <w:tc>
        <w:tcPr>
          <w:tcW w:w="7312" w:type="dxa"/>
          <w:gridSpan w:val="2"/>
        </w:tcPr>
        <w:p w:rsidR="009F4DC6" w:rsidRDefault="001F3C2D">
          <w:pPr>
            <w:pStyle w:val="HeaderActNameRight"/>
          </w:pPr>
          <w:fldSimple w:instr=" Styleref &quot;Name of Act/Reg&quot; ">
            <w:r w:rsidR="00792A78">
              <w:rPr>
                <w:noProof/>
              </w:rPr>
              <w:t>Spencer’s Brook-Northam Railway Extension Act 1963</w:t>
            </w:r>
          </w:fldSimple>
        </w:p>
      </w:tc>
    </w:tr>
    <w:tr w:rsidR="009F4DC6">
      <w:tc>
        <w:tcPr>
          <w:tcW w:w="5760" w:type="dxa"/>
        </w:tcPr>
        <w:p w:rsidR="009F4DC6" w:rsidRDefault="009F4DC6">
          <w:pPr>
            <w:pStyle w:val="HeaderTextRight"/>
          </w:pPr>
        </w:p>
      </w:tc>
      <w:tc>
        <w:tcPr>
          <w:tcW w:w="1552" w:type="dxa"/>
        </w:tcPr>
        <w:p w:rsidR="009F4DC6" w:rsidRDefault="009F4DC6">
          <w:pPr>
            <w:pStyle w:val="HeaderNumberRight"/>
          </w:pPr>
        </w:p>
      </w:tc>
    </w:tr>
    <w:tr w:rsidR="009F4DC6">
      <w:tc>
        <w:tcPr>
          <w:tcW w:w="5760" w:type="dxa"/>
        </w:tcPr>
        <w:p w:rsidR="009F4DC6" w:rsidRDefault="009F4DC6">
          <w:pPr>
            <w:pStyle w:val="HeaderTextRight"/>
          </w:pPr>
        </w:p>
      </w:tc>
      <w:tc>
        <w:tcPr>
          <w:tcW w:w="1552" w:type="dxa"/>
        </w:tcPr>
        <w:p w:rsidR="009F4DC6" w:rsidRDefault="009F4DC6">
          <w:pPr>
            <w:pStyle w:val="HeaderNumberRight"/>
          </w:pPr>
        </w:p>
      </w:tc>
    </w:tr>
    <w:tr w:rsidR="009F4DC6">
      <w:trPr>
        <w:cantSplit/>
      </w:trPr>
      <w:tc>
        <w:tcPr>
          <w:tcW w:w="7312" w:type="dxa"/>
          <w:gridSpan w:val="2"/>
        </w:tcPr>
        <w:p w:rsidR="009F4DC6" w:rsidRDefault="009F4DC6">
          <w:pPr>
            <w:pStyle w:val="HeaderSectionRight"/>
          </w:pPr>
        </w:p>
      </w:tc>
    </w:tr>
  </w:tbl>
  <w:p w:rsidR="009F4DC6" w:rsidRDefault="009F4D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F4DC6">
      <w:trPr>
        <w:cantSplit/>
      </w:trPr>
      <w:tc>
        <w:tcPr>
          <w:tcW w:w="7312" w:type="dxa"/>
          <w:gridSpan w:val="2"/>
        </w:tcPr>
        <w:p w:rsidR="009F4DC6" w:rsidRDefault="001F3C2D">
          <w:pPr>
            <w:pStyle w:val="HeaderActNameLeft"/>
          </w:pPr>
          <w:fldSimple w:instr=" Styleref &quot;Name of Act/Reg&quot; ">
            <w:r w:rsidR="00792A78">
              <w:rPr>
                <w:noProof/>
              </w:rPr>
              <w:t>Spencer’s Brook-Northam Railway Extension Act 1963</w:t>
            </w:r>
          </w:fldSimple>
        </w:p>
      </w:tc>
    </w:tr>
    <w:tr w:rsidR="009F4DC6">
      <w:tc>
        <w:tcPr>
          <w:tcW w:w="1305" w:type="dxa"/>
        </w:tcPr>
        <w:p w:rsidR="009F4DC6" w:rsidRDefault="001F3C2D">
          <w:pPr>
            <w:pStyle w:val="HeaderNumberLeft"/>
          </w:pPr>
          <w:r>
            <w:fldChar w:fldCharType="begin"/>
          </w:r>
          <w:r>
            <w:instrText xml:space="preserve"> styleref CharPartNo </w:instrText>
          </w:r>
          <w:r>
            <w:fldChar w:fldCharType="end"/>
          </w:r>
        </w:p>
      </w:tc>
      <w:tc>
        <w:tcPr>
          <w:tcW w:w="6007" w:type="dxa"/>
        </w:tcPr>
        <w:p w:rsidR="009F4DC6" w:rsidRDefault="001F3C2D">
          <w:pPr>
            <w:pStyle w:val="HeaderTextLeft"/>
          </w:pPr>
          <w:r>
            <w:fldChar w:fldCharType="begin"/>
          </w:r>
          <w:r>
            <w:instrText xml:space="preserve"> styleref CharPartText </w:instrText>
          </w:r>
          <w:r>
            <w:fldChar w:fldCharType="end"/>
          </w:r>
        </w:p>
      </w:tc>
    </w:tr>
    <w:tr w:rsidR="009F4DC6">
      <w:tc>
        <w:tcPr>
          <w:tcW w:w="1305" w:type="dxa"/>
        </w:tcPr>
        <w:p w:rsidR="009F4DC6" w:rsidRDefault="001F3C2D">
          <w:pPr>
            <w:pStyle w:val="HeaderNumberLeft"/>
          </w:pPr>
          <w:r>
            <w:fldChar w:fldCharType="begin"/>
          </w:r>
          <w:r>
            <w:instrText xml:space="preserve"> styleref CharDivNo </w:instrText>
          </w:r>
          <w:r>
            <w:fldChar w:fldCharType="end"/>
          </w:r>
        </w:p>
      </w:tc>
      <w:tc>
        <w:tcPr>
          <w:tcW w:w="6007" w:type="dxa"/>
        </w:tcPr>
        <w:p w:rsidR="009F4DC6" w:rsidRDefault="001F3C2D">
          <w:pPr>
            <w:pStyle w:val="HeaderTextLeft"/>
          </w:pPr>
          <w:r>
            <w:fldChar w:fldCharType="begin"/>
          </w:r>
          <w:r>
            <w:instrText xml:space="preserve"> styleref CharDivText </w:instrText>
          </w:r>
          <w:r>
            <w:fldChar w:fldCharType="end"/>
          </w:r>
        </w:p>
      </w:tc>
    </w:tr>
    <w:tr w:rsidR="009F4DC6">
      <w:trPr>
        <w:cantSplit/>
      </w:trPr>
      <w:tc>
        <w:tcPr>
          <w:tcW w:w="7312" w:type="dxa"/>
          <w:gridSpan w:val="2"/>
        </w:tcPr>
        <w:p w:rsidR="009F4DC6" w:rsidRDefault="001F3C2D">
          <w:pPr>
            <w:pStyle w:val="HeaderSectionLeft"/>
          </w:pPr>
          <w:r>
            <w:t xml:space="preserve">s. </w:t>
          </w:r>
          <w:fldSimple w:instr=" styleref CharSectno ">
            <w:r w:rsidR="00792A78">
              <w:rPr>
                <w:noProof/>
              </w:rPr>
              <w:t>1</w:t>
            </w:r>
          </w:fldSimple>
        </w:p>
      </w:tc>
    </w:tr>
  </w:tbl>
  <w:p w:rsidR="009F4DC6" w:rsidRDefault="009F4DC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F4DC6">
      <w:trPr>
        <w:cantSplit/>
      </w:trPr>
      <w:tc>
        <w:tcPr>
          <w:tcW w:w="7312" w:type="dxa"/>
          <w:gridSpan w:val="2"/>
        </w:tcPr>
        <w:p w:rsidR="009F4DC6" w:rsidRDefault="001F3C2D">
          <w:pPr>
            <w:pStyle w:val="HeaderActNameRight"/>
          </w:pPr>
          <w:fldSimple w:instr=" Styleref &quot;Name of Act/Reg&quot; ">
            <w:r w:rsidR="00792A78">
              <w:rPr>
                <w:noProof/>
              </w:rPr>
              <w:t>Spencer’s Brook-Northam Railway Extension Act 1963</w:t>
            </w:r>
          </w:fldSimple>
        </w:p>
      </w:tc>
    </w:tr>
    <w:tr w:rsidR="009F4DC6">
      <w:tc>
        <w:tcPr>
          <w:tcW w:w="5985" w:type="dxa"/>
        </w:tcPr>
        <w:p w:rsidR="009F4DC6" w:rsidRDefault="001F3C2D">
          <w:pPr>
            <w:pStyle w:val="HeaderTextRight"/>
          </w:pPr>
          <w:r>
            <w:fldChar w:fldCharType="begin"/>
          </w:r>
          <w:r>
            <w:instrText xml:space="preserve"> styleref CharPartText </w:instrText>
          </w:r>
          <w:r>
            <w:fldChar w:fldCharType="end"/>
          </w:r>
        </w:p>
      </w:tc>
      <w:tc>
        <w:tcPr>
          <w:tcW w:w="1327" w:type="dxa"/>
        </w:tcPr>
        <w:p w:rsidR="009F4DC6" w:rsidRDefault="001F3C2D">
          <w:pPr>
            <w:pStyle w:val="HeaderNumberRight"/>
          </w:pPr>
          <w:r>
            <w:fldChar w:fldCharType="begin"/>
          </w:r>
          <w:r>
            <w:instrText xml:space="preserve"> styleref CharPartNo </w:instrText>
          </w:r>
          <w:r>
            <w:fldChar w:fldCharType="end"/>
          </w:r>
        </w:p>
      </w:tc>
    </w:tr>
    <w:tr w:rsidR="009F4DC6">
      <w:tc>
        <w:tcPr>
          <w:tcW w:w="5985" w:type="dxa"/>
        </w:tcPr>
        <w:p w:rsidR="009F4DC6" w:rsidRDefault="001F3C2D">
          <w:pPr>
            <w:pStyle w:val="HeaderTextRight"/>
          </w:pPr>
          <w:r>
            <w:fldChar w:fldCharType="begin"/>
          </w:r>
          <w:r>
            <w:instrText xml:space="preserve"> styleref CharDivText </w:instrText>
          </w:r>
          <w:r>
            <w:fldChar w:fldCharType="end"/>
          </w:r>
        </w:p>
      </w:tc>
      <w:tc>
        <w:tcPr>
          <w:tcW w:w="1327" w:type="dxa"/>
        </w:tcPr>
        <w:p w:rsidR="009F4DC6" w:rsidRDefault="001F3C2D">
          <w:pPr>
            <w:pStyle w:val="HeaderNumberRight"/>
          </w:pPr>
          <w:r>
            <w:fldChar w:fldCharType="begin"/>
          </w:r>
          <w:r>
            <w:instrText xml:space="preserve"> styleref CharDivNo </w:instrText>
          </w:r>
          <w:r>
            <w:fldChar w:fldCharType="end"/>
          </w:r>
        </w:p>
      </w:tc>
    </w:tr>
    <w:tr w:rsidR="009F4DC6">
      <w:trPr>
        <w:cantSplit/>
      </w:trPr>
      <w:tc>
        <w:tcPr>
          <w:tcW w:w="7312" w:type="dxa"/>
          <w:gridSpan w:val="2"/>
        </w:tcPr>
        <w:p w:rsidR="009F4DC6" w:rsidRDefault="001F3C2D">
          <w:pPr>
            <w:pStyle w:val="HeaderSectionRight"/>
          </w:pPr>
          <w:r>
            <w:t xml:space="preserve">s. </w:t>
          </w:r>
          <w:fldSimple w:instr=" styleref CharSectno ">
            <w:r w:rsidR="00792A78">
              <w:rPr>
                <w:noProof/>
              </w:rPr>
              <w:t>1</w:t>
            </w:r>
          </w:fldSimple>
        </w:p>
      </w:tc>
    </w:tr>
  </w:tbl>
  <w:p w:rsidR="009F4DC6" w:rsidRDefault="009F4DC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4DC6">
      <w:trPr>
        <w:cantSplit/>
      </w:trPr>
      <w:tc>
        <w:tcPr>
          <w:tcW w:w="7312" w:type="dxa"/>
          <w:gridSpan w:val="2"/>
        </w:tcPr>
        <w:p w:rsidR="009F4DC6" w:rsidRDefault="001F3C2D">
          <w:pPr>
            <w:pStyle w:val="HeaderActNameLeft"/>
          </w:pPr>
          <w:fldSimple w:instr=" Styleref &quot;Name of Act/Reg&quot; ">
            <w:r w:rsidR="00792A78">
              <w:rPr>
                <w:noProof/>
              </w:rPr>
              <w:t>Spencer’s Brook-Northam Railway Extension Act 1963</w:t>
            </w:r>
          </w:fldSimple>
        </w:p>
      </w:tc>
    </w:tr>
    <w:tr w:rsidR="009F4DC6">
      <w:tc>
        <w:tcPr>
          <w:tcW w:w="1548" w:type="dxa"/>
        </w:tcPr>
        <w:p w:rsidR="009F4DC6" w:rsidRDefault="009F4DC6">
          <w:pPr>
            <w:pStyle w:val="HeaderNumberLeft"/>
          </w:pPr>
        </w:p>
      </w:tc>
      <w:tc>
        <w:tcPr>
          <w:tcW w:w="5764" w:type="dxa"/>
        </w:tcPr>
        <w:p w:rsidR="009F4DC6" w:rsidRDefault="009F4DC6">
          <w:pPr>
            <w:pStyle w:val="HeaderTextLeft"/>
          </w:pPr>
        </w:p>
      </w:tc>
    </w:tr>
    <w:tr w:rsidR="009F4DC6">
      <w:tc>
        <w:tcPr>
          <w:tcW w:w="1548" w:type="dxa"/>
        </w:tcPr>
        <w:p w:rsidR="009F4DC6" w:rsidRDefault="009F4DC6">
          <w:pPr>
            <w:pStyle w:val="HeaderNumberLeft"/>
          </w:pPr>
        </w:p>
      </w:tc>
      <w:tc>
        <w:tcPr>
          <w:tcW w:w="5764" w:type="dxa"/>
        </w:tcPr>
        <w:p w:rsidR="009F4DC6" w:rsidRDefault="009F4DC6">
          <w:pPr>
            <w:pStyle w:val="HeaderTextLeft"/>
          </w:pPr>
        </w:p>
      </w:tc>
    </w:tr>
    <w:tr w:rsidR="009F4DC6">
      <w:trPr>
        <w:cantSplit/>
      </w:trPr>
      <w:tc>
        <w:tcPr>
          <w:tcW w:w="7312" w:type="dxa"/>
          <w:gridSpan w:val="2"/>
        </w:tcPr>
        <w:p w:rsidR="009F4DC6" w:rsidRDefault="001F3C2D">
          <w:pPr>
            <w:pStyle w:val="HeaderSectionLeft"/>
          </w:pPr>
          <w:r>
            <w:t xml:space="preserve">Schedule </w:t>
          </w:r>
          <w:r>
            <w:fldChar w:fldCharType="begin"/>
          </w:r>
          <w:r>
            <w:instrText xml:space="preserve"> styleref CharSchNo</w:instrText>
          </w:r>
          <w:r>
            <w:fldChar w:fldCharType="end"/>
          </w:r>
        </w:p>
      </w:tc>
    </w:tr>
  </w:tbl>
  <w:p w:rsidR="009F4DC6" w:rsidRDefault="009F4DC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F4DC6">
      <w:trPr>
        <w:gridAfter w:val="1"/>
        <w:wAfter w:w="36" w:type="dxa"/>
        <w:cantSplit/>
      </w:trPr>
      <w:tc>
        <w:tcPr>
          <w:tcW w:w="7312" w:type="dxa"/>
          <w:gridSpan w:val="3"/>
        </w:tcPr>
        <w:p w:rsidR="009F4DC6" w:rsidRDefault="001F3C2D">
          <w:pPr>
            <w:pStyle w:val="HeaderActNameRight"/>
          </w:pPr>
          <w:fldSimple w:instr=" Styleref &quot;Name of Act/Reg&quot; ">
            <w:r w:rsidR="00792A78">
              <w:rPr>
                <w:noProof/>
              </w:rPr>
              <w:t>Spencer’s Brook-Northam Railway Extension Act 1963</w:t>
            </w:r>
          </w:fldSimple>
        </w:p>
      </w:tc>
    </w:tr>
    <w:tr w:rsidR="009F4DC6">
      <w:tblPrEx>
        <w:tblCellMar>
          <w:left w:w="72" w:type="dxa"/>
          <w:right w:w="72" w:type="dxa"/>
        </w:tblCellMar>
      </w:tblPrEx>
      <w:trPr>
        <w:gridBefore w:val="1"/>
        <w:wBefore w:w="36" w:type="dxa"/>
      </w:trPr>
      <w:tc>
        <w:tcPr>
          <w:tcW w:w="5760" w:type="dxa"/>
        </w:tcPr>
        <w:p w:rsidR="009F4DC6" w:rsidRDefault="009F4DC6">
          <w:pPr>
            <w:pStyle w:val="HeaderTextRight"/>
          </w:pPr>
        </w:p>
      </w:tc>
      <w:tc>
        <w:tcPr>
          <w:tcW w:w="1552" w:type="dxa"/>
          <w:gridSpan w:val="2"/>
        </w:tcPr>
        <w:p w:rsidR="009F4DC6" w:rsidRDefault="009F4DC6">
          <w:pPr>
            <w:pStyle w:val="HeaderNumberRight"/>
          </w:pPr>
        </w:p>
      </w:tc>
    </w:tr>
    <w:tr w:rsidR="009F4DC6">
      <w:tblPrEx>
        <w:tblCellMar>
          <w:left w:w="72" w:type="dxa"/>
          <w:right w:w="72" w:type="dxa"/>
        </w:tblCellMar>
      </w:tblPrEx>
      <w:trPr>
        <w:gridBefore w:val="1"/>
        <w:wBefore w:w="36" w:type="dxa"/>
      </w:trPr>
      <w:tc>
        <w:tcPr>
          <w:tcW w:w="5760" w:type="dxa"/>
        </w:tcPr>
        <w:p w:rsidR="009F4DC6" w:rsidRDefault="009F4DC6">
          <w:pPr>
            <w:pStyle w:val="HeaderTextRight"/>
          </w:pPr>
        </w:p>
      </w:tc>
      <w:tc>
        <w:tcPr>
          <w:tcW w:w="1552" w:type="dxa"/>
          <w:gridSpan w:val="2"/>
        </w:tcPr>
        <w:p w:rsidR="009F4DC6" w:rsidRDefault="009F4DC6">
          <w:pPr>
            <w:pStyle w:val="HeaderNumberRight"/>
          </w:pPr>
        </w:p>
      </w:tc>
    </w:tr>
    <w:tr w:rsidR="009F4DC6">
      <w:trPr>
        <w:gridAfter w:val="1"/>
        <w:wAfter w:w="36" w:type="dxa"/>
        <w:cantSplit/>
      </w:trPr>
      <w:tc>
        <w:tcPr>
          <w:tcW w:w="7312" w:type="dxa"/>
          <w:gridSpan w:val="3"/>
        </w:tcPr>
        <w:p w:rsidR="009F4DC6" w:rsidRDefault="001F3C2D">
          <w:pPr>
            <w:pStyle w:val="HeaderSectionRight"/>
          </w:pPr>
          <w:r>
            <w:t xml:space="preserve">Sch. </w:t>
          </w:r>
          <w:r>
            <w:fldChar w:fldCharType="begin"/>
          </w:r>
          <w:r>
            <w:instrText xml:space="preserve"> styleref CharSchNo </w:instrText>
          </w:r>
          <w:r>
            <w:fldChar w:fldCharType="end"/>
          </w:r>
        </w:p>
      </w:tc>
    </w:tr>
  </w:tbl>
  <w:p w:rsidR="009F4DC6" w:rsidRDefault="009F4DC6">
    <w:pPr>
      <w:pStyle w:val="Header"/>
      <w:pBdr>
        <w:top w:val="single" w:sz="4" w:space="1" w:color="auto"/>
      </w:pBdr>
    </w:pPr>
  </w:p>
  <w:p w:rsidR="009F4DC6" w:rsidRDefault="009F4DC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4DC6">
      <w:trPr>
        <w:cantSplit/>
      </w:trPr>
      <w:tc>
        <w:tcPr>
          <w:tcW w:w="7312" w:type="dxa"/>
          <w:gridSpan w:val="2"/>
        </w:tcPr>
        <w:p w:rsidR="009F4DC6" w:rsidRDefault="001F3C2D">
          <w:pPr>
            <w:pStyle w:val="HeaderActNameLeft"/>
          </w:pPr>
          <w:fldSimple w:instr=" Styleref &quot;Name of Act/Reg&quot; ">
            <w:r w:rsidR="00792A78">
              <w:rPr>
                <w:noProof/>
              </w:rPr>
              <w:t>Spencer’s Brook-Northam Railway Extension Act 1963</w:t>
            </w:r>
          </w:fldSimple>
        </w:p>
      </w:tc>
    </w:tr>
    <w:tr w:rsidR="009F4DC6">
      <w:tc>
        <w:tcPr>
          <w:tcW w:w="1548" w:type="dxa"/>
        </w:tcPr>
        <w:p w:rsidR="009F4DC6" w:rsidRDefault="009F4DC6">
          <w:pPr>
            <w:pStyle w:val="HeaderNumberLeft"/>
          </w:pPr>
        </w:p>
      </w:tc>
      <w:tc>
        <w:tcPr>
          <w:tcW w:w="5764" w:type="dxa"/>
        </w:tcPr>
        <w:p w:rsidR="009F4DC6" w:rsidRDefault="009F4DC6">
          <w:pPr>
            <w:pStyle w:val="HeaderTextLeft"/>
          </w:pPr>
        </w:p>
      </w:tc>
    </w:tr>
    <w:tr w:rsidR="009F4DC6">
      <w:tc>
        <w:tcPr>
          <w:tcW w:w="1548" w:type="dxa"/>
        </w:tcPr>
        <w:p w:rsidR="009F4DC6" w:rsidRDefault="009F4DC6">
          <w:pPr>
            <w:pStyle w:val="HeaderNumberLeft"/>
          </w:pPr>
        </w:p>
      </w:tc>
      <w:tc>
        <w:tcPr>
          <w:tcW w:w="5764" w:type="dxa"/>
        </w:tcPr>
        <w:p w:rsidR="009F4DC6" w:rsidRDefault="009F4DC6">
          <w:pPr>
            <w:pStyle w:val="HeaderTextLeft"/>
          </w:pPr>
        </w:p>
      </w:tc>
    </w:tr>
    <w:tr w:rsidR="009F4DC6">
      <w:trPr>
        <w:cantSplit/>
      </w:trPr>
      <w:tc>
        <w:tcPr>
          <w:tcW w:w="7312" w:type="dxa"/>
          <w:gridSpan w:val="2"/>
        </w:tcPr>
        <w:p w:rsidR="009F4DC6" w:rsidRDefault="009F4DC6">
          <w:pPr>
            <w:pStyle w:val="HeaderSectionLeft"/>
          </w:pPr>
        </w:p>
      </w:tc>
    </w:tr>
  </w:tbl>
  <w:p w:rsidR="009F4DC6" w:rsidRDefault="009F4DC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4DC6">
      <w:trPr>
        <w:cantSplit/>
      </w:trPr>
      <w:tc>
        <w:tcPr>
          <w:tcW w:w="7312" w:type="dxa"/>
          <w:gridSpan w:val="2"/>
        </w:tcPr>
        <w:p w:rsidR="009F4DC6" w:rsidRDefault="001F3C2D">
          <w:pPr>
            <w:pStyle w:val="HeaderActNameRight"/>
          </w:pPr>
          <w:fldSimple w:instr=" Styleref &quot;Name of Act/Reg&quot; ">
            <w:r w:rsidR="00792A78">
              <w:rPr>
                <w:noProof/>
              </w:rPr>
              <w:t>Spencer’s Brook-Northam Railway Extension Act 1963</w:t>
            </w:r>
          </w:fldSimple>
        </w:p>
      </w:tc>
    </w:tr>
    <w:tr w:rsidR="009F4DC6">
      <w:tc>
        <w:tcPr>
          <w:tcW w:w="5760" w:type="dxa"/>
        </w:tcPr>
        <w:p w:rsidR="009F4DC6" w:rsidRDefault="009F4DC6">
          <w:pPr>
            <w:pStyle w:val="HeaderTextRight"/>
          </w:pPr>
        </w:p>
      </w:tc>
      <w:tc>
        <w:tcPr>
          <w:tcW w:w="1552" w:type="dxa"/>
        </w:tcPr>
        <w:p w:rsidR="009F4DC6" w:rsidRDefault="009F4DC6">
          <w:pPr>
            <w:pStyle w:val="HeaderNumberRight"/>
          </w:pPr>
        </w:p>
      </w:tc>
    </w:tr>
    <w:tr w:rsidR="009F4DC6">
      <w:tc>
        <w:tcPr>
          <w:tcW w:w="5760" w:type="dxa"/>
        </w:tcPr>
        <w:p w:rsidR="009F4DC6" w:rsidRDefault="009F4DC6">
          <w:pPr>
            <w:pStyle w:val="HeaderTextRight"/>
          </w:pPr>
        </w:p>
      </w:tc>
      <w:tc>
        <w:tcPr>
          <w:tcW w:w="1552" w:type="dxa"/>
        </w:tcPr>
        <w:p w:rsidR="009F4DC6" w:rsidRDefault="009F4DC6">
          <w:pPr>
            <w:pStyle w:val="HeaderNumberRight"/>
          </w:pPr>
        </w:p>
      </w:tc>
    </w:tr>
    <w:tr w:rsidR="009F4DC6">
      <w:trPr>
        <w:cantSplit/>
      </w:trPr>
      <w:tc>
        <w:tcPr>
          <w:tcW w:w="7312" w:type="dxa"/>
          <w:gridSpan w:val="2"/>
        </w:tcPr>
        <w:p w:rsidR="009F4DC6" w:rsidRDefault="009F4DC6">
          <w:pPr>
            <w:pStyle w:val="HeaderSectionRight"/>
          </w:pPr>
        </w:p>
      </w:tc>
    </w:tr>
  </w:tbl>
  <w:p w:rsidR="009F4DC6" w:rsidRDefault="009F4DC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9F4DC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1F3C2D">
    <w:pPr>
      <w:pStyle w:val="headerpartodd"/>
      <w:ind w:left="0" w:firstLine="0"/>
      <w:rPr>
        <w:i/>
      </w:rPr>
    </w:pPr>
    <w:r>
      <w:rPr>
        <w:i/>
      </w:rPr>
      <w:fldChar w:fldCharType="begin"/>
    </w:r>
    <w:r>
      <w:rPr>
        <w:i/>
      </w:rPr>
      <w:instrText xml:space="preserve"> Styleref "Name of Act/Reg" </w:instrText>
    </w:r>
    <w:r>
      <w:rPr>
        <w:i/>
      </w:rPr>
      <w:fldChar w:fldCharType="separate"/>
    </w:r>
    <w:r w:rsidR="00792A78">
      <w:rPr>
        <w:i/>
        <w:noProof/>
      </w:rPr>
      <w:t>Spencer’s Brook-Northam Railway Extension Act 1963</w:t>
    </w:r>
    <w:r>
      <w:rPr>
        <w:i/>
      </w:rPr>
      <w:fldChar w:fldCharType="end"/>
    </w:r>
  </w:p>
  <w:p w:rsidR="009F4DC6" w:rsidRDefault="009F4DC6">
    <w:pPr>
      <w:pStyle w:val="headerpartodd"/>
      <w:ind w:left="0" w:firstLine="0"/>
      <w:rPr>
        <w:b w:val="0"/>
        <w:i/>
      </w:rPr>
    </w:pPr>
  </w:p>
  <w:p w:rsidR="009F4DC6" w:rsidRDefault="009F4DC6">
    <w:pPr>
      <w:pStyle w:val="headerpart"/>
    </w:pPr>
  </w:p>
  <w:p w:rsidR="009F4DC6" w:rsidRDefault="009F4DC6">
    <w:pPr>
      <w:pStyle w:val="headerpart"/>
    </w:pPr>
  </w:p>
  <w:p w:rsidR="009F4DC6" w:rsidRDefault="009F4DC6">
    <w:pPr>
      <w:pBdr>
        <w:bottom w:val="single" w:sz="6" w:space="1" w:color="auto"/>
      </w:pBdr>
      <w:rPr>
        <w:b/>
      </w:rPr>
    </w:pPr>
  </w:p>
  <w:p w:rsidR="009F4DC6" w:rsidRDefault="009F4DC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C6" w:rsidRDefault="001F3C2D">
    <w:pPr>
      <w:pStyle w:val="headerpartodd"/>
      <w:ind w:left="0" w:firstLine="0"/>
      <w:jc w:val="right"/>
      <w:rPr>
        <w:i/>
      </w:rPr>
    </w:pPr>
    <w:r>
      <w:rPr>
        <w:i/>
      </w:rPr>
      <w:fldChar w:fldCharType="begin"/>
    </w:r>
    <w:r>
      <w:rPr>
        <w:i/>
      </w:rPr>
      <w:instrText xml:space="preserve"> Styleref "Name of Act/Reg" </w:instrText>
    </w:r>
    <w:r>
      <w:rPr>
        <w:i/>
      </w:rPr>
      <w:fldChar w:fldCharType="separate"/>
    </w:r>
    <w:r w:rsidR="00792A78">
      <w:rPr>
        <w:i/>
        <w:noProof/>
      </w:rPr>
      <w:t>Spencer’s Brook-Northam Railway Extension Act 1963</w:t>
    </w:r>
    <w:r>
      <w:rPr>
        <w:i/>
      </w:rPr>
      <w:fldChar w:fldCharType="end"/>
    </w:r>
  </w:p>
  <w:p w:rsidR="009F4DC6" w:rsidRDefault="009F4DC6">
    <w:pPr>
      <w:pStyle w:val="headerpartodd"/>
      <w:ind w:left="0" w:firstLine="0"/>
      <w:jc w:val="right"/>
      <w:rPr>
        <w:b w:val="0"/>
        <w:i/>
      </w:rPr>
    </w:pPr>
  </w:p>
  <w:p w:rsidR="009F4DC6" w:rsidRDefault="009F4DC6">
    <w:pPr>
      <w:pStyle w:val="headerpart"/>
      <w:jc w:val="right"/>
    </w:pPr>
  </w:p>
  <w:p w:rsidR="009F4DC6" w:rsidRDefault="009F4DC6">
    <w:pPr>
      <w:pStyle w:val="headerpart"/>
      <w:jc w:val="right"/>
    </w:pPr>
  </w:p>
  <w:p w:rsidR="009F4DC6" w:rsidRDefault="009F4DC6">
    <w:pPr>
      <w:pBdr>
        <w:bottom w:val="single" w:sz="6" w:space="1" w:color="auto"/>
      </w:pBdr>
      <w:jc w:val="right"/>
      <w:rPr>
        <w:b/>
      </w:rPr>
    </w:pPr>
  </w:p>
  <w:p w:rsidR="009F4DC6" w:rsidRDefault="009F4D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C2D"/>
    <w:rsid w:val="001F3C2D"/>
    <w:rsid w:val="002D23E1"/>
    <w:rsid w:val="00792A78"/>
    <w:rsid w:val="009F4DC6"/>
    <w:rsid w:val="00D83C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2003</Characters>
  <Application>Microsoft Office Word</Application>
  <DocSecurity>0</DocSecurity>
  <Lines>95</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2333</CharactersWithSpaces>
  <SharedDoc>false</SharedDoc>
  <HLinks>
    <vt:vector size="12" baseType="variant">
      <vt:variant>
        <vt:i4>65542</vt:i4>
      </vt:variant>
      <vt:variant>
        <vt:i4>1691</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Spencer's Brook-Northam Railway Extension Act 1963 - 01-a0-04</dc:title>
  <dc:subject/>
  <dc:creator>Dave Harrold</dc:creator>
  <cp:keywords/>
  <cp:lastModifiedBy>svcMRProcess</cp:lastModifiedBy>
  <cp:revision>4</cp:revision>
  <cp:lastPrinted>2005-05-18T01:49:00Z</cp:lastPrinted>
  <dcterms:created xsi:type="dcterms:W3CDTF">2013-02-20T15:01:00Z</dcterms:created>
  <dcterms:modified xsi:type="dcterms:W3CDTF">2013-02-20T15:01:00Z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1963</vt:lpwstr>
  </property>
  <property fmtid="{D5CDD505-2E9C-101B-9397-08002B2CF9AE}" pid="3" name="CommencementDate">
    <vt:lpwstr>20050610</vt:lpwstr>
  </property>
  <property fmtid="{D5CDD505-2E9C-101B-9397-08002B2CF9AE}" pid="4" name="ReprintNo">
    <vt:lpwstr>1</vt:lpwstr>
  </property>
  <property fmtid="{D5CDD505-2E9C-101B-9397-08002B2CF9AE}" pid="5" name="DocumentType">
    <vt:lpwstr>Act</vt:lpwstr>
  </property>
  <property fmtid="{D5CDD505-2E9C-101B-9397-08002B2CF9AE}" pid="6" name="OwlsUID">
    <vt:i4>768</vt:i4>
  </property>
  <property fmtid="{D5CDD505-2E9C-101B-9397-08002B2CF9AE}" pid="7" name="AsAtDate">
    <vt:lpwstr>10 Jun 2005</vt:lpwstr>
  </property>
  <property fmtid="{D5CDD505-2E9C-101B-9397-08002B2CF9AE}" pid="8" name="Suffix">
    <vt:lpwstr>01-a0-04</vt:lpwstr>
  </property>
</Properties>
</file>