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Children’s Court of Western Australia Act 1988</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Children’s Court (Fees) Regulations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Children’s Court (Fees) Regulations 2005</w:t>
      </w:r>
      <w:r>
        <w:fldChar w:fldCharType="end"/>
      </w:r>
    </w:p>
    <w:p>
      <w:pPr>
        <w:pStyle w:val="Arrangement"/>
        <w:pBdr>
          <w:bottom w:val="single" w:sz="4" w:space="11" w:color="auto"/>
        </w:pBdr>
        <w:spacing w:after="360"/>
        <w:ind w:left="2302" w:right="2302"/>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_Toc287361817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_Toc287361818 \h </w:instrText>
      </w:r>
      <w:r>
        <w:fldChar w:fldCharType="separate"/>
      </w:r>
      <w:r>
        <w:t>1</w:t>
      </w:r>
      <w:r>
        <w:fldChar w:fldCharType="end"/>
      </w:r>
    </w:p>
    <w:p>
      <w:pPr>
        <w:pStyle w:val="TOC8"/>
        <w:rPr>
          <w:sz w:val="24"/>
          <w:szCs w:val="24"/>
          <w:lang w:val="en-US"/>
        </w:rPr>
      </w:pPr>
      <w:r>
        <w:t>3.</w:t>
      </w:r>
      <w:r>
        <w:tab/>
        <w:t>Terms used in these regulations</w:t>
      </w:r>
      <w:r>
        <w:tab/>
      </w:r>
      <w:r>
        <w:fldChar w:fldCharType="begin"/>
      </w:r>
      <w:r>
        <w:instrText xml:space="preserve"> PAGEREF _Toc287361819 \h </w:instrText>
      </w:r>
      <w:r>
        <w:fldChar w:fldCharType="separate"/>
      </w:r>
      <w:r>
        <w:t>1</w:t>
      </w:r>
      <w:r>
        <w:fldChar w:fldCharType="end"/>
      </w:r>
    </w:p>
    <w:p>
      <w:pPr>
        <w:pStyle w:val="TOC8"/>
        <w:rPr>
          <w:sz w:val="24"/>
          <w:szCs w:val="24"/>
          <w:lang w:val="en-US"/>
        </w:rPr>
      </w:pPr>
      <w:r>
        <w:t>4.</w:t>
      </w:r>
      <w:r>
        <w:tab/>
      </w:r>
      <w:r>
        <w:rPr>
          <w:snapToGrid w:val="0"/>
        </w:rPr>
        <w:t>Fees to be charged</w:t>
      </w:r>
      <w:r>
        <w:tab/>
      </w:r>
      <w:r>
        <w:fldChar w:fldCharType="begin"/>
      </w:r>
      <w:r>
        <w:instrText xml:space="preserve"> PAGEREF _Toc287361820 \h </w:instrText>
      </w:r>
      <w:r>
        <w:fldChar w:fldCharType="separate"/>
      </w:r>
      <w:r>
        <w:t>2</w:t>
      </w:r>
      <w:r>
        <w:fldChar w:fldCharType="end"/>
      </w:r>
    </w:p>
    <w:p>
      <w:pPr>
        <w:pStyle w:val="TOC8"/>
        <w:rPr>
          <w:sz w:val="24"/>
          <w:szCs w:val="24"/>
          <w:lang w:val="en-US"/>
        </w:rPr>
      </w:pPr>
      <w:r>
        <w:t>5.</w:t>
      </w:r>
      <w:r>
        <w:tab/>
      </w:r>
      <w:r>
        <w:rPr>
          <w:snapToGrid w:val="0"/>
        </w:rPr>
        <w:t>Exemptions</w:t>
      </w:r>
      <w:r>
        <w:tab/>
      </w:r>
      <w:r>
        <w:fldChar w:fldCharType="begin"/>
      </w:r>
      <w:r>
        <w:instrText xml:space="preserve"> PAGEREF _Toc287361821 \h </w:instrText>
      </w:r>
      <w:r>
        <w:fldChar w:fldCharType="separate"/>
      </w:r>
      <w:r>
        <w:t>2</w:t>
      </w:r>
      <w:r>
        <w:fldChar w:fldCharType="end"/>
      </w:r>
    </w:p>
    <w:p>
      <w:pPr>
        <w:pStyle w:val="TOC8"/>
        <w:rPr>
          <w:sz w:val="24"/>
          <w:szCs w:val="24"/>
          <w:lang w:val="en-US"/>
        </w:rPr>
      </w:pPr>
      <w:r>
        <w:t>6.</w:t>
      </w:r>
      <w:r>
        <w:tab/>
        <w:t>Fees subject to conditions or waiver</w:t>
      </w:r>
      <w:r>
        <w:tab/>
      </w:r>
      <w:r>
        <w:fldChar w:fldCharType="begin"/>
      </w:r>
      <w:r>
        <w:instrText xml:space="preserve"> PAGEREF _Toc287361822 \h </w:instrText>
      </w:r>
      <w:r>
        <w:fldChar w:fldCharType="separate"/>
      </w:r>
      <w:r>
        <w:t>2</w:t>
      </w:r>
      <w:r>
        <w:fldChar w:fldCharType="end"/>
      </w:r>
    </w:p>
    <w:p>
      <w:pPr>
        <w:pStyle w:val="TOC8"/>
        <w:rPr>
          <w:sz w:val="24"/>
          <w:szCs w:val="24"/>
          <w:lang w:val="en-US"/>
        </w:rPr>
      </w:pPr>
      <w:r>
        <w:t>7.</w:t>
      </w:r>
      <w:r>
        <w:tab/>
        <w:t>F</w:t>
      </w:r>
      <w:r>
        <w:rPr>
          <w:snapToGrid w:val="0"/>
        </w:rPr>
        <w:t>ees to be paid before documents etc. filed</w:t>
      </w:r>
      <w:r>
        <w:tab/>
      </w:r>
      <w:r>
        <w:fldChar w:fldCharType="begin"/>
      </w:r>
      <w:r>
        <w:instrText xml:space="preserve"> PAGEREF _Toc287361823 \h </w:instrText>
      </w:r>
      <w:r>
        <w:fldChar w:fldCharType="separate"/>
      </w:r>
      <w:r>
        <w:t>3</w:t>
      </w:r>
      <w:r>
        <w:fldChar w:fldCharType="end"/>
      </w:r>
    </w:p>
    <w:p>
      <w:pPr>
        <w:pStyle w:val="TOC8"/>
        <w:rPr>
          <w:sz w:val="24"/>
          <w:szCs w:val="24"/>
          <w:lang w:val="en-US"/>
        </w:rPr>
      </w:pPr>
      <w:r>
        <w:t>8.</w:t>
      </w:r>
      <w:r>
        <w:tab/>
      </w:r>
      <w:r>
        <w:rPr>
          <w:snapToGrid w:val="0"/>
        </w:rPr>
        <w:t>Court, registrar or deputy registrar may remit fees</w:t>
      </w:r>
      <w:r>
        <w:tab/>
      </w:r>
      <w:r>
        <w:fldChar w:fldCharType="begin"/>
      </w:r>
      <w:r>
        <w:instrText xml:space="preserve"> PAGEREF _Toc287361824 \h </w:instrText>
      </w:r>
      <w:r>
        <w:fldChar w:fldCharType="separate"/>
      </w:r>
      <w:r>
        <w:t>3</w:t>
      </w:r>
      <w:r>
        <w:fldChar w:fldCharType="end"/>
      </w:r>
    </w:p>
    <w:p>
      <w:pPr>
        <w:pStyle w:val="TOC8"/>
        <w:rPr>
          <w:sz w:val="24"/>
          <w:szCs w:val="24"/>
          <w:lang w:val="en-US"/>
        </w:rPr>
      </w:pPr>
      <w:r>
        <w:t>9.</w:t>
      </w:r>
      <w:r>
        <w:tab/>
      </w:r>
      <w:r>
        <w:rPr>
          <w:snapToGrid w:val="0"/>
        </w:rPr>
        <w:t>Conventions</w:t>
      </w:r>
      <w:r>
        <w:tab/>
      </w:r>
      <w:r>
        <w:fldChar w:fldCharType="begin"/>
      </w:r>
      <w:r>
        <w:instrText xml:space="preserve"> PAGEREF _Toc287361825 \h </w:instrText>
      </w:r>
      <w:r>
        <w:fldChar w:fldCharType="separate"/>
      </w:r>
      <w:r>
        <w:t>6</w:t>
      </w:r>
      <w:r>
        <w:fldChar w:fldCharType="end"/>
      </w:r>
    </w:p>
    <w:p>
      <w:pPr>
        <w:pStyle w:val="TOC8"/>
        <w:rPr>
          <w:sz w:val="24"/>
          <w:szCs w:val="24"/>
          <w:lang w:val="en-US"/>
        </w:rPr>
      </w:pPr>
      <w:r>
        <w:t>10.</w:t>
      </w:r>
      <w:r>
        <w:tab/>
        <w:t>Resolution of disputes as to fees</w:t>
      </w:r>
      <w:r>
        <w:tab/>
      </w:r>
      <w:r>
        <w:fldChar w:fldCharType="begin"/>
      </w:r>
      <w:r>
        <w:instrText xml:space="preserve"> PAGEREF _Toc287361826 \h </w:instrText>
      </w:r>
      <w:r>
        <w:fldChar w:fldCharType="separate"/>
      </w:r>
      <w:r>
        <w:t>6</w:t>
      </w:r>
      <w:r>
        <w:fldChar w:fldCharType="end"/>
      </w:r>
    </w:p>
    <w:p>
      <w:pPr>
        <w:pStyle w:val="TOC8"/>
        <w:rPr>
          <w:sz w:val="24"/>
          <w:szCs w:val="24"/>
          <w:lang w:val="en-US"/>
        </w:rPr>
      </w:pPr>
      <w:r>
        <w:t>11.</w:t>
      </w:r>
      <w:r>
        <w:tab/>
        <w:t>Recovery of unpaid fees</w:t>
      </w:r>
      <w:r>
        <w:tab/>
      </w:r>
      <w:r>
        <w:fldChar w:fldCharType="begin"/>
      </w:r>
      <w:r>
        <w:instrText xml:space="preserve"> PAGEREF _Toc287361827 \h </w:instrText>
      </w:r>
      <w:r>
        <w:fldChar w:fldCharType="separate"/>
      </w:r>
      <w:r>
        <w:t>6</w:t>
      </w:r>
      <w:r>
        <w:fldChar w:fldCharType="end"/>
      </w:r>
    </w:p>
    <w:p>
      <w:pPr>
        <w:pStyle w:val="TOC2"/>
        <w:tabs>
          <w:tab w:val="right" w:leader="dot" w:pos="7086"/>
        </w:tabs>
        <w:rPr>
          <w:b w:val="0"/>
          <w:sz w:val="24"/>
          <w:szCs w:val="24"/>
          <w:lang w:val="en-US"/>
        </w:rPr>
      </w:pPr>
      <w:r>
        <w:t>Schedule 1 — Fees</w:t>
      </w:r>
    </w:p>
    <w:p>
      <w:pPr>
        <w:pStyle w:val="TOC4"/>
        <w:tabs>
          <w:tab w:val="right" w:leader="dot" w:pos="7086"/>
        </w:tabs>
        <w:rPr>
          <w:b w:val="0"/>
          <w:sz w:val="24"/>
          <w:szCs w:val="24"/>
          <w:lang w:val="en-US"/>
        </w:rPr>
      </w:pPr>
      <w:r>
        <w:t>Division 1</w:t>
      </w:r>
      <w:r>
        <w:rPr>
          <w:b w:val="0"/>
        </w:rPr>
        <w:t> — </w:t>
      </w:r>
      <w:r>
        <w:t>General</w:t>
      </w:r>
    </w:p>
    <w:p>
      <w:pPr>
        <w:pStyle w:val="TOC4"/>
        <w:tabs>
          <w:tab w:val="right" w:leader="dot" w:pos="7086"/>
        </w:tabs>
        <w:rPr>
          <w:b w:val="0"/>
          <w:sz w:val="24"/>
          <w:szCs w:val="24"/>
          <w:lang w:val="en-US"/>
        </w:rPr>
      </w:pPr>
      <w:r>
        <w:t>Division 2</w:t>
      </w:r>
      <w:r>
        <w:rPr>
          <w:b w:val="0"/>
        </w:rPr>
        <w:t> — </w:t>
      </w:r>
      <w:r>
        <w:t>Civil jurisdiction</w:t>
      </w:r>
    </w:p>
    <w:p>
      <w:pPr>
        <w:pStyle w:val="TOC4"/>
        <w:tabs>
          <w:tab w:val="right" w:leader="dot" w:pos="7086"/>
        </w:tabs>
        <w:rPr>
          <w:b w:val="0"/>
          <w:sz w:val="24"/>
          <w:szCs w:val="24"/>
          <w:lang w:val="en-US"/>
        </w:rPr>
      </w:pPr>
      <w:r>
        <w:t>Division 3</w:t>
      </w:r>
      <w:r>
        <w:rPr>
          <w:b w:val="0"/>
        </w:rPr>
        <w:t> — </w:t>
      </w:r>
      <w:r>
        <w:t>Criminal jurisdiction</w:t>
      </w:r>
    </w:p>
    <w:p>
      <w:pPr>
        <w:pStyle w:val="TOC2"/>
        <w:tabs>
          <w:tab w:val="right" w:leader="dot" w:pos="7086"/>
        </w:tabs>
        <w:rPr>
          <w:b w:val="0"/>
          <w:sz w:val="24"/>
          <w:szCs w:val="24"/>
          <w:lang w:val="en-US"/>
        </w:rPr>
      </w:pPr>
      <w:r>
        <w:t>Schedule 2 — Forms</w:t>
      </w:r>
    </w:p>
    <w:p>
      <w:pPr>
        <w:pStyle w:val="TOC8"/>
        <w:rPr>
          <w:sz w:val="24"/>
          <w:szCs w:val="24"/>
          <w:lang w:val="en-US"/>
        </w:rPr>
      </w:pPr>
      <w:r>
        <w:t>1.</w:t>
      </w:r>
      <w:r>
        <w:tab/>
        <w:t>Application to remit fees</w:t>
      </w:r>
      <w:r>
        <w:tab/>
      </w:r>
      <w:r>
        <w:fldChar w:fldCharType="begin"/>
      </w:r>
      <w:r>
        <w:instrText xml:space="preserve"> PAGEREF _Toc287361833 \h </w:instrText>
      </w:r>
      <w:r>
        <w:fldChar w:fldCharType="separate"/>
      </w:r>
      <w:r>
        <w:t>11</w:t>
      </w:r>
      <w:r>
        <w:fldChar w:fldCharType="end"/>
      </w:r>
    </w:p>
    <w:p>
      <w:pPr>
        <w:pStyle w:val="TOC8"/>
        <w:rPr>
          <w:sz w:val="24"/>
          <w:szCs w:val="24"/>
          <w:lang w:val="en-US"/>
        </w:rPr>
      </w:pPr>
      <w:r>
        <w:t>2.</w:t>
      </w:r>
      <w:r>
        <w:tab/>
        <w:t>Application for determination of dispute about fees</w:t>
      </w:r>
      <w:r>
        <w:tab/>
      </w:r>
      <w:r>
        <w:fldChar w:fldCharType="begin"/>
      </w:r>
      <w:r>
        <w:instrText xml:space="preserve"> PAGEREF _Toc287361834 \h </w:instrText>
      </w:r>
      <w:r>
        <w:fldChar w:fldCharType="separate"/>
      </w:r>
      <w:r>
        <w:t>15</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_Toc287361836 \h </w:instrText>
      </w:r>
      <w:r>
        <w:fldChar w:fldCharType="separate"/>
      </w:r>
      <w:r>
        <w:t>16</w:t>
      </w:r>
      <w:r>
        <w:fldChar w:fldCharType="end"/>
      </w:r>
    </w:p>
    <w:p>
      <w:pPr>
        <w:pStyle w:val="TOC2"/>
        <w:tabs>
          <w:tab w:val="right" w:leader="dot" w:pos="7086"/>
        </w:tabs>
        <w:rPr>
          <w:b w:val="0"/>
          <w:sz w:val="24"/>
          <w:szCs w:val="24"/>
          <w:lang w:val="en-US"/>
        </w:rPr>
      </w:pPr>
      <w:r>
        <w:t>Defined Terms</w:t>
      </w:r>
    </w:p>
    <w:p>
      <w:pPr>
        <w:pStyle w:val="TOC4"/>
        <w:keepNext w:val="0"/>
        <w:spacing w:before="0" w:after="0"/>
        <w:rPr>
          <w:sz w:val="16"/>
        </w:rPr>
      </w:pPr>
      <w:r>
        <w:fldChar w:fldCharType="end"/>
      </w:r>
      <w:r>
        <w:rPr>
          <w:rStyle w:val="CharPartNo"/>
          <w:sz w:val="16"/>
        </w:rPr>
        <w:t xml:space="preserve"> </w:t>
      </w:r>
      <w:r>
        <w:rPr>
          <w:rStyle w:val="CharPartText"/>
          <w:sz w:val="16"/>
        </w:rPr>
        <w:t xml:space="preserve"> </w:t>
      </w:r>
      <w:r>
        <w:rPr>
          <w:rStyle w:val="CharDivNo"/>
          <w:sz w:val="16"/>
        </w:rPr>
        <w:t xml:space="preserve"> </w:t>
      </w:r>
      <w:r>
        <w:rPr>
          <w:rStyle w:val="CharDivText"/>
          <w:sz w:val="16"/>
        </w:rPr>
        <w:t xml:space="preserve"> </w:t>
      </w:r>
      <w:r>
        <w:rPr>
          <w:rStyle w:val="CharSchNo"/>
          <w:sz w:val="16"/>
        </w:rPr>
        <w:t xml:space="preserve"> </w:t>
      </w:r>
      <w:r>
        <w:rPr>
          <w:rStyle w:val="CharSchText"/>
          <w:sz w:val="16"/>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Children’s Court of Western Australia Act 1988</w:t>
      </w:r>
    </w:p>
    <w:p>
      <w:pPr>
        <w:pStyle w:val="NameofActReg"/>
      </w:pPr>
      <w:r>
        <w:t>Children’s Court (Fees) Regulations 2005</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100634711"/>
      <w:bookmarkStart w:id="8" w:name="_Toc138836650"/>
      <w:bookmarkStart w:id="9" w:name="_Toc287361817"/>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w:t>
      </w:r>
      <w:r>
        <w:rPr>
          <w:spacing w:val="-2"/>
        </w:rPr>
        <w:t>regulations</w:t>
      </w:r>
      <w:r>
        <w:t xml:space="preserve"> are the </w:t>
      </w:r>
      <w:r>
        <w:rPr>
          <w:i/>
        </w:rPr>
        <w:t>Children’s Court (Fees) Regulations 2005</w:t>
      </w:r>
      <w:r>
        <w:rPr>
          <w:vertAlign w:val="superscript"/>
        </w:rPr>
        <w:t> 1</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100634712"/>
      <w:bookmarkStart w:id="17" w:name="_Toc138836651"/>
      <w:bookmarkStart w:id="18" w:name="_Toc287361818"/>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19" w:name="_Toc96402830"/>
      <w:bookmarkStart w:id="20" w:name="_Toc100634713"/>
      <w:bookmarkStart w:id="21" w:name="_Toc138836652"/>
      <w:bookmarkStart w:id="22" w:name="_Toc287361819"/>
      <w:r>
        <w:rPr>
          <w:rStyle w:val="CharSectno"/>
        </w:rPr>
        <w:t>3</w:t>
      </w:r>
      <w:r>
        <w:t>.</w:t>
      </w:r>
      <w:r>
        <w:tab/>
        <w:t>Terms used in these regulations</w:t>
      </w:r>
      <w:bookmarkEnd w:id="19"/>
      <w:bookmarkEnd w:id="20"/>
      <w:bookmarkEnd w:id="21"/>
      <w:bookmarkEnd w:id="22"/>
    </w:p>
    <w:p>
      <w:pPr>
        <w:pStyle w:val="Subsection"/>
      </w:pPr>
      <w:r>
        <w:tab/>
      </w:r>
      <w:r>
        <w:tab/>
        <w:t xml:space="preserve">In these regulations unless the contrary intention appears — </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pPr>
      <w:r>
        <w:tab/>
        <w:t>[Regulation 3 amended in Gazette 23 Jun 2006 p. 2182.]</w:t>
      </w:r>
    </w:p>
    <w:p>
      <w:pPr>
        <w:pStyle w:val="Heading5"/>
        <w:rPr>
          <w:snapToGrid w:val="0"/>
        </w:rPr>
      </w:pPr>
      <w:bookmarkStart w:id="23" w:name="_Toc437922206"/>
      <w:bookmarkStart w:id="24" w:name="_Toc483972641"/>
      <w:bookmarkStart w:id="25" w:name="_Toc506018772"/>
      <w:bookmarkStart w:id="26" w:name="_Toc519738591"/>
      <w:bookmarkStart w:id="27" w:name="_Toc520868379"/>
      <w:bookmarkStart w:id="28" w:name="_Toc533482756"/>
      <w:bookmarkStart w:id="29" w:name="_Toc61252559"/>
      <w:bookmarkStart w:id="30" w:name="_Toc96402831"/>
      <w:bookmarkStart w:id="31" w:name="_Toc100634714"/>
      <w:bookmarkStart w:id="32" w:name="_Toc138836653"/>
      <w:bookmarkStart w:id="33" w:name="_Toc287361820"/>
      <w:r>
        <w:rPr>
          <w:rStyle w:val="CharSectno"/>
        </w:rPr>
        <w:t>4</w:t>
      </w:r>
      <w:r>
        <w:t>.</w:t>
      </w:r>
      <w:r>
        <w:tab/>
      </w:r>
      <w:r>
        <w:rPr>
          <w:snapToGrid w:val="0"/>
        </w:rPr>
        <w:t>Fees to be charged</w:t>
      </w:r>
      <w:bookmarkEnd w:id="23"/>
      <w:bookmarkEnd w:id="24"/>
      <w:bookmarkEnd w:id="25"/>
      <w:bookmarkEnd w:id="26"/>
      <w:bookmarkEnd w:id="27"/>
      <w:bookmarkEnd w:id="28"/>
      <w:bookmarkEnd w:id="29"/>
      <w:bookmarkEnd w:id="30"/>
      <w:bookmarkEnd w:id="31"/>
      <w:bookmarkEnd w:id="32"/>
      <w:bookmarkEnd w:id="33"/>
    </w:p>
    <w:p>
      <w:pPr>
        <w:pStyle w:val="Subsection"/>
        <w:rPr>
          <w:snapToGrid w:val="0"/>
        </w:rPr>
      </w:pPr>
      <w:r>
        <w:rPr>
          <w:snapToGrid w:val="0"/>
        </w:rPr>
        <w:tab/>
        <w:t>(1)</w:t>
      </w:r>
      <w:r>
        <w:rPr>
          <w:snapToGrid w:val="0"/>
        </w:rPr>
        <w:tab/>
        <w:t>Subject to the provisions of these regulations, the fees specified in Schedule </w:t>
      </w:r>
      <w:bookmarkStart w:id="34" w:name="_Hlt533230123"/>
      <w:r>
        <w:rPr>
          <w:snapToGrid w:val="0"/>
        </w:rPr>
        <w:t>1</w:t>
      </w:r>
      <w:bookmarkEnd w:id="34"/>
      <w:r>
        <w:rPr>
          <w:snapToGrid w:val="0"/>
        </w:rPr>
        <w:t xml:space="preserve"> are to be charged in respect of the matters referred to in the Act section 53 in relation to which they are applicable.</w:t>
      </w:r>
    </w:p>
    <w:p>
      <w:pPr>
        <w:pStyle w:val="Subsection"/>
        <w:rPr>
          <w:snapToGrid w:val="0"/>
        </w:rPr>
      </w:pPr>
      <w:r>
        <w:rPr>
          <w:snapToGrid w:val="0"/>
        </w:rPr>
        <w:tab/>
        <w:t>(2)</w:t>
      </w:r>
      <w:r>
        <w:rPr>
          <w:snapToGrid w:val="0"/>
        </w:rPr>
        <w:tab/>
        <w:t>A note to an item in Schedule 1 has effect according to its tenor as if it were a provision of these regulations.</w:t>
      </w:r>
    </w:p>
    <w:p>
      <w:pPr>
        <w:pStyle w:val="Heading5"/>
        <w:rPr>
          <w:snapToGrid w:val="0"/>
        </w:rPr>
      </w:pPr>
      <w:bookmarkStart w:id="35" w:name="_Toc437922207"/>
      <w:bookmarkStart w:id="36" w:name="_Toc483972642"/>
      <w:bookmarkStart w:id="37" w:name="_Toc506018773"/>
      <w:bookmarkStart w:id="38" w:name="_Toc519738592"/>
      <w:bookmarkStart w:id="39" w:name="_Toc520868380"/>
      <w:bookmarkStart w:id="40" w:name="_Toc533482757"/>
      <w:bookmarkStart w:id="41" w:name="_Toc61252560"/>
      <w:bookmarkStart w:id="42" w:name="_Toc96402832"/>
      <w:bookmarkStart w:id="43" w:name="_Toc96756225"/>
      <w:bookmarkStart w:id="44" w:name="_Toc100634715"/>
      <w:bookmarkStart w:id="45" w:name="_Toc138836654"/>
      <w:bookmarkStart w:id="46" w:name="_Toc287361821"/>
      <w:r>
        <w:rPr>
          <w:rStyle w:val="CharSectno"/>
        </w:rPr>
        <w:t>5</w:t>
      </w:r>
      <w:r>
        <w:t>.</w:t>
      </w:r>
      <w:r>
        <w:tab/>
      </w:r>
      <w:r>
        <w:rPr>
          <w:snapToGrid w:val="0"/>
        </w:rPr>
        <w:t>Exemptions</w:t>
      </w:r>
      <w:bookmarkEnd w:id="35"/>
      <w:bookmarkEnd w:id="36"/>
      <w:bookmarkEnd w:id="37"/>
      <w:bookmarkEnd w:id="38"/>
      <w:bookmarkEnd w:id="39"/>
      <w:bookmarkEnd w:id="40"/>
      <w:bookmarkEnd w:id="41"/>
      <w:bookmarkEnd w:id="42"/>
      <w:bookmarkEnd w:id="43"/>
      <w:bookmarkEnd w:id="44"/>
      <w:bookmarkEnd w:id="45"/>
      <w:bookmarkEnd w:id="46"/>
    </w:p>
    <w:p>
      <w:pPr>
        <w:pStyle w:val="Subsection"/>
        <w:rPr>
          <w:snapToGrid w:val="0"/>
        </w:rPr>
      </w:pPr>
      <w:r>
        <w:rPr>
          <w:snapToGrid w:val="0"/>
        </w:rPr>
        <w:tab/>
      </w:r>
      <w:r>
        <w:rPr>
          <w:snapToGrid w:val="0"/>
        </w:rPr>
        <w:tab/>
        <w:t xml:space="preserve">A fee is not to be charged in respect of an application under the </w:t>
      </w:r>
      <w:r>
        <w:rPr>
          <w:i/>
          <w:snapToGrid w:val="0"/>
        </w:rPr>
        <w:t>Restraining Orders Act 1997</w:t>
      </w:r>
      <w:r>
        <w:rPr>
          <w:snapToGrid w:val="0"/>
        </w:rPr>
        <w:t xml:space="preserve"> — </w:t>
      </w:r>
    </w:p>
    <w:p>
      <w:pPr>
        <w:pStyle w:val="Indenta"/>
      </w:pPr>
      <w:r>
        <w:tab/>
        <w:t>(a)</w:t>
      </w:r>
      <w:r>
        <w:tab/>
        <w:t>for a violence restraining order; or</w:t>
      </w:r>
    </w:p>
    <w:p>
      <w:pPr>
        <w:pStyle w:val="Indenta"/>
      </w:pPr>
      <w:r>
        <w:tab/>
        <w:t>(b)</w:t>
      </w:r>
      <w:r>
        <w:tab/>
        <w:t>to vary or cancel a restraining order.</w:t>
      </w:r>
    </w:p>
    <w:p>
      <w:pPr>
        <w:pStyle w:val="Heading5"/>
      </w:pPr>
      <w:bookmarkStart w:id="47" w:name="_Toc96756226"/>
      <w:bookmarkStart w:id="48" w:name="_Toc100634716"/>
      <w:bookmarkStart w:id="49" w:name="_Toc138836655"/>
      <w:bookmarkStart w:id="50" w:name="_Toc287361822"/>
      <w:r>
        <w:rPr>
          <w:rStyle w:val="CharSectno"/>
        </w:rPr>
        <w:t>6</w:t>
      </w:r>
      <w:r>
        <w:t>.</w:t>
      </w:r>
      <w:r>
        <w:tab/>
        <w:t>Fees subject to conditions or waiver</w:t>
      </w:r>
      <w:bookmarkEnd w:id="47"/>
      <w:bookmarkEnd w:id="48"/>
      <w:bookmarkEnd w:id="49"/>
      <w:bookmarkEnd w:id="50"/>
    </w:p>
    <w:p>
      <w:pPr>
        <w:pStyle w:val="Subsection"/>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keepLines/>
      </w:pPr>
      <w:r>
        <w:tab/>
        <w:t>(3)</w:t>
      </w:r>
      <w:r>
        <w:tab/>
        <w:t>If —</w:t>
      </w:r>
    </w:p>
    <w:p>
      <w:pPr>
        <w:pStyle w:val="Indenta"/>
        <w:keepNext/>
        <w:keepLines/>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spacing w:before="240"/>
        <w:rPr>
          <w:snapToGrid w:val="0"/>
        </w:rPr>
      </w:pPr>
      <w:bookmarkStart w:id="51" w:name="_Toc437922208"/>
      <w:bookmarkStart w:id="52" w:name="_Toc483972643"/>
      <w:bookmarkStart w:id="53" w:name="_Toc506018774"/>
      <w:bookmarkStart w:id="54" w:name="_Toc519738593"/>
      <w:bookmarkStart w:id="55" w:name="_Toc520868381"/>
      <w:bookmarkStart w:id="56" w:name="_Toc533482758"/>
      <w:bookmarkStart w:id="57" w:name="_Toc61252561"/>
      <w:bookmarkStart w:id="58" w:name="_Toc96402833"/>
      <w:bookmarkStart w:id="59" w:name="_Toc100634717"/>
      <w:bookmarkStart w:id="60" w:name="_Toc138836656"/>
      <w:bookmarkStart w:id="61" w:name="_Toc287361823"/>
      <w:r>
        <w:rPr>
          <w:rStyle w:val="CharSectno"/>
        </w:rPr>
        <w:t>7</w:t>
      </w:r>
      <w:r>
        <w:t>.</w:t>
      </w:r>
      <w:r>
        <w:tab/>
      </w:r>
      <w:r>
        <w:rPr>
          <w:rStyle w:val="CharSectno"/>
        </w:rPr>
        <w:t>F</w:t>
      </w:r>
      <w:r>
        <w:rPr>
          <w:snapToGrid w:val="0"/>
        </w:rPr>
        <w:t>ees to be paid before documents etc. filed</w:t>
      </w:r>
      <w:bookmarkEnd w:id="51"/>
      <w:bookmarkEnd w:id="52"/>
      <w:bookmarkEnd w:id="53"/>
      <w:bookmarkEnd w:id="54"/>
      <w:bookmarkEnd w:id="55"/>
      <w:bookmarkEnd w:id="56"/>
      <w:bookmarkEnd w:id="57"/>
      <w:bookmarkEnd w:id="58"/>
      <w:bookmarkEnd w:id="59"/>
      <w:bookmarkEnd w:id="60"/>
      <w:bookmarkEnd w:id="61"/>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spacing w:before="240"/>
        <w:rPr>
          <w:snapToGrid w:val="0"/>
        </w:rPr>
      </w:pPr>
      <w:bookmarkStart w:id="62" w:name="_Toc437922210"/>
      <w:bookmarkStart w:id="63" w:name="_Toc483972645"/>
      <w:bookmarkStart w:id="64" w:name="_Toc506018776"/>
      <w:bookmarkStart w:id="65" w:name="_Toc519738594"/>
      <w:bookmarkStart w:id="66" w:name="_Toc520868382"/>
      <w:bookmarkStart w:id="67" w:name="_Toc533482759"/>
      <w:bookmarkStart w:id="68" w:name="_Toc61252562"/>
      <w:bookmarkStart w:id="69" w:name="_Toc96402834"/>
      <w:bookmarkStart w:id="70" w:name="_Toc100634718"/>
      <w:bookmarkStart w:id="71" w:name="_Toc138836657"/>
      <w:bookmarkStart w:id="72" w:name="_Toc287361824"/>
      <w:r>
        <w:rPr>
          <w:rStyle w:val="CharSectno"/>
        </w:rPr>
        <w:t>8</w:t>
      </w:r>
      <w:r>
        <w:t>.</w:t>
      </w:r>
      <w:r>
        <w:tab/>
      </w:r>
      <w:r>
        <w:rPr>
          <w:snapToGrid w:val="0"/>
        </w:rPr>
        <w:t>Court, registrar or deputy registrar may remit fees</w:t>
      </w:r>
      <w:bookmarkEnd w:id="62"/>
      <w:bookmarkEnd w:id="63"/>
      <w:bookmarkEnd w:id="64"/>
      <w:bookmarkEnd w:id="65"/>
      <w:bookmarkEnd w:id="66"/>
      <w:bookmarkEnd w:id="67"/>
      <w:bookmarkEnd w:id="68"/>
      <w:bookmarkEnd w:id="69"/>
      <w:bookmarkEnd w:id="70"/>
      <w:bookmarkEnd w:id="71"/>
      <w:bookmarkEnd w:id="72"/>
    </w:p>
    <w:p>
      <w:pPr>
        <w:pStyle w:val="Subsection"/>
        <w:spacing w:before="180"/>
      </w:pPr>
      <w:r>
        <w:tab/>
        <w:t>(1)</w:t>
      </w:r>
      <w:r>
        <w:tab/>
        <w:t>This regulation does not apply to a fee referred to in Schedule 1 Division 1 items 2 and 3 and Division 2 item 2.</w:t>
      </w:r>
    </w:p>
    <w:p>
      <w:pPr>
        <w:pStyle w:val="Subsection"/>
        <w:spacing w:before="180"/>
        <w:rPr>
          <w:snapToGrid w:val="0"/>
        </w:rPr>
      </w:pPr>
      <w:r>
        <w:rPr>
          <w:snapToGrid w:val="0"/>
        </w:rPr>
        <w:tab/>
        <w:t>(2)</w:t>
      </w:r>
      <w:r>
        <w:rPr>
          <w:snapToGrid w:val="0"/>
        </w:rPr>
        <w:tab/>
        <w:t xml:space="preserve">The Court, a registrar or a deputy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a registrar or a deputy registrar thinks fit.</w:t>
      </w:r>
    </w:p>
    <w:p>
      <w:pPr>
        <w:pStyle w:val="Subsection"/>
        <w:spacing w:before="180"/>
      </w:pPr>
      <w:r>
        <w:tab/>
        <w:t>(3)</w:t>
      </w:r>
      <w:r>
        <w:tab/>
        <w:t>For the purpose of assessing financial hardship, the Court, a registrar or a deputy registrar is to have regard to the applicant’s income, day to day living expenses, liabilities and assets.</w:t>
      </w:r>
    </w:p>
    <w:p>
      <w:pPr>
        <w:pStyle w:val="Subsection"/>
        <w:spacing w:before="180"/>
      </w:pPr>
      <w:r>
        <w:tab/>
        <w:t>(4)</w:t>
      </w:r>
      <w:r>
        <w:tab/>
        <w:t>The Court, a registrar or a deputy registrar may direct that the payment of the whole or a part of a fee in relation to the filing of an application or other document be deferred until such time, and upon such conditions, if any, as the Court, registrar or deputy registrar thinks fit if the filing is attended by urgency that overrides the requirement of payment of the fee at the time of filing.</w:t>
      </w:r>
    </w:p>
    <w:p>
      <w:pPr>
        <w:pStyle w:val="Subsection"/>
        <w:keepNext/>
        <w:spacing w:before="180"/>
      </w:pPr>
      <w:r>
        <w:tab/>
        <w:t>(5)</w:t>
      </w:r>
      <w:r>
        <w:tab/>
        <w:t xml:space="preserve">The payment of a fee referred to in Schedule 1 Division 2 item 1 or 3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Except as otherwise directed by a registrar, an application for a fee or fees to be waived, reduced, refunded or deferred must be in the form of Form 1.</w:t>
      </w:r>
    </w:p>
    <w:p>
      <w:pPr>
        <w:pStyle w:val="Subsection"/>
      </w:pPr>
      <w:r>
        <w:tab/>
        <w:t>(7)</w:t>
      </w:r>
      <w:r>
        <w:tab/>
        <w:t>Form 1 must be completed in accordance with the directions specified in it.</w:t>
      </w:r>
    </w:p>
    <w:p>
      <w:pPr>
        <w:pStyle w:val="Subsection"/>
      </w:pPr>
      <w:r>
        <w:tab/>
        <w:t>(8)</w:t>
      </w:r>
      <w:r>
        <w:tab/>
        <w:t>If an application under subregulation (2) is dealt with by a registrar or deputy registrar, the registrar or deputy registrar may, before determining the application, require the applicant to provide the registrar or deputy registrar with such further information as the registrar or deputy registrar requires either in writing or orally.</w:t>
      </w:r>
    </w:p>
    <w:p>
      <w:pPr>
        <w:pStyle w:val="Subsection"/>
        <w:spacing w:before="120"/>
      </w:pPr>
      <w:r>
        <w:tab/>
        <w:t>(9)</w:t>
      </w:r>
      <w:r>
        <w:tab/>
        <w:t>A fee, payment of which has been deferred until an event occurs, becomes payable when that event occurs.</w:t>
      </w:r>
    </w:p>
    <w:p>
      <w:pPr>
        <w:pStyle w:val="Subsection"/>
        <w:spacing w:before="120"/>
      </w:pPr>
      <w:r>
        <w:tab/>
        <w:t>(10)</w:t>
      </w:r>
      <w:r>
        <w:tab/>
        <w:t>A person who makes a statement or representation in an application under subregulation (6) that the person knows or has reason to believe is false or misleading in a material particular commits an offence.</w:t>
      </w:r>
    </w:p>
    <w:p>
      <w:pPr>
        <w:pStyle w:val="Penstart"/>
        <w:spacing w:before="60"/>
      </w:pPr>
      <w:r>
        <w:tab/>
        <w:t>Penalty: $1 000.</w:t>
      </w:r>
    </w:p>
    <w:p>
      <w:pPr>
        <w:pStyle w:val="Subsection"/>
      </w:pPr>
      <w:r>
        <w:tab/>
        <w:t>(11)</w:t>
      </w:r>
      <w:r>
        <w:tab/>
        <w:t>If a fee payable by a person is waived, reduced, refunded or deferred in accordance with a direction under subregulation (2) and the Court, a registrar or a deputy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registrar or deputy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bookmarkStart w:id="73" w:name="_Toc437922211"/>
      <w:bookmarkStart w:id="74" w:name="_Toc483972646"/>
      <w:bookmarkStart w:id="75" w:name="_Toc506018777"/>
      <w:bookmarkStart w:id="76" w:name="_Toc519738595"/>
      <w:bookmarkStart w:id="77" w:name="_Toc520868383"/>
      <w:bookmarkStart w:id="78" w:name="_Toc533482760"/>
      <w:r>
        <w:tab/>
        <w:t>(12)</w:t>
      </w:r>
      <w:r>
        <w:tab/>
        <w:t>Despite the provisions of these regulations, a fee is not to be charged in respect of an application under subregulation (2).</w:t>
      </w:r>
    </w:p>
    <w:p>
      <w:pPr>
        <w:pStyle w:val="Footnotesection"/>
      </w:pPr>
      <w:r>
        <w:tab/>
        <w:t xml:space="preserve">[Regulation 8 amended in Gazette </w:t>
      </w:r>
      <w:r>
        <w:rPr>
          <w:szCs w:val="24"/>
        </w:rPr>
        <w:t>8 Mar 2011 p. 791.]</w:t>
      </w:r>
    </w:p>
    <w:p>
      <w:pPr>
        <w:pStyle w:val="Heading5"/>
        <w:rPr>
          <w:snapToGrid w:val="0"/>
        </w:rPr>
      </w:pPr>
      <w:bookmarkStart w:id="79" w:name="_Toc61252563"/>
      <w:bookmarkStart w:id="80" w:name="_Toc96402835"/>
      <w:bookmarkStart w:id="81" w:name="_Toc100634719"/>
      <w:bookmarkStart w:id="82" w:name="_Toc138836658"/>
      <w:bookmarkStart w:id="83" w:name="_Toc287361825"/>
      <w:r>
        <w:rPr>
          <w:rStyle w:val="CharSectno"/>
        </w:rPr>
        <w:t>9</w:t>
      </w:r>
      <w:r>
        <w:t>.</w:t>
      </w:r>
      <w:r>
        <w:tab/>
      </w:r>
      <w:r>
        <w:rPr>
          <w:snapToGrid w:val="0"/>
        </w:rPr>
        <w:t>Conventions</w:t>
      </w:r>
      <w:bookmarkEnd w:id="73"/>
      <w:bookmarkEnd w:id="74"/>
      <w:bookmarkEnd w:id="75"/>
      <w:bookmarkEnd w:id="76"/>
      <w:bookmarkEnd w:id="77"/>
      <w:bookmarkEnd w:id="78"/>
      <w:bookmarkEnd w:id="79"/>
      <w:bookmarkEnd w:id="80"/>
      <w:bookmarkEnd w:id="81"/>
      <w:bookmarkEnd w:id="82"/>
      <w:bookmarkEnd w:id="83"/>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84" w:name="_Toc96398500"/>
      <w:bookmarkStart w:id="85" w:name="_Toc100634720"/>
      <w:bookmarkStart w:id="86" w:name="_Toc138836659"/>
      <w:bookmarkStart w:id="87" w:name="_Toc287361826"/>
      <w:r>
        <w:rPr>
          <w:rStyle w:val="CharSectno"/>
        </w:rPr>
        <w:t>10</w:t>
      </w:r>
      <w:r>
        <w:t>.</w:t>
      </w:r>
      <w:r>
        <w:tab/>
        <w:t>Resolution of disputes as to fees</w:t>
      </w:r>
      <w:bookmarkEnd w:id="84"/>
      <w:bookmarkEnd w:id="85"/>
      <w:bookmarkEnd w:id="86"/>
      <w:bookmarkEnd w:id="87"/>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form of Form 2.</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88" w:name="_Toc97609766"/>
      <w:bookmarkStart w:id="89" w:name="_Toc100634721"/>
      <w:bookmarkStart w:id="90" w:name="_Toc138836660"/>
      <w:bookmarkStart w:id="91" w:name="_Toc287361827"/>
      <w:r>
        <w:rPr>
          <w:rStyle w:val="CharSectno"/>
        </w:rPr>
        <w:t>11</w:t>
      </w:r>
      <w:r>
        <w:t>.</w:t>
      </w:r>
      <w:r>
        <w:tab/>
        <w:t>Recovery of unpaid fees</w:t>
      </w:r>
      <w:bookmarkEnd w:id="88"/>
      <w:bookmarkEnd w:id="89"/>
      <w:bookmarkEnd w:id="90"/>
      <w:bookmarkEnd w:id="91"/>
    </w:p>
    <w:p>
      <w:pPr>
        <w:pStyle w:val="Subsection"/>
      </w:pPr>
      <w:r>
        <w:tab/>
      </w:r>
      <w:r>
        <w:tab/>
        <w:t>Any unpaid fee is a debt due to the State and may be recovered by action in a court of competent jurisdiction.</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92" w:name="_Toc100634722"/>
    </w:p>
    <w:p>
      <w:pPr>
        <w:pStyle w:val="yScheduleHeading"/>
      </w:pPr>
      <w:bookmarkStart w:id="93" w:name="_Toc138836661"/>
      <w:bookmarkStart w:id="94" w:name="_Toc138836729"/>
      <w:bookmarkStart w:id="95" w:name="_Toc139270566"/>
      <w:bookmarkStart w:id="96" w:name="_Toc171051333"/>
      <w:bookmarkStart w:id="97" w:name="_Toc193167423"/>
      <w:bookmarkStart w:id="98" w:name="_Toc202585849"/>
      <w:bookmarkStart w:id="99" w:name="_Toc203278490"/>
      <w:bookmarkStart w:id="100" w:name="_Toc203278679"/>
      <w:bookmarkStart w:id="101" w:name="_Toc207427461"/>
      <w:bookmarkStart w:id="102" w:name="_Toc207512132"/>
      <w:bookmarkStart w:id="103" w:name="_Toc207513777"/>
      <w:bookmarkStart w:id="104" w:name="_Toc209501438"/>
      <w:bookmarkStart w:id="105" w:name="_Toc232308348"/>
      <w:bookmarkStart w:id="106" w:name="_Toc239753840"/>
      <w:bookmarkStart w:id="107" w:name="_Toc287361828"/>
      <w:r>
        <w:rPr>
          <w:rStyle w:val="CharSchNo"/>
        </w:rPr>
        <w:t>Schedule 1</w:t>
      </w:r>
      <w:r>
        <w:t> — </w:t>
      </w:r>
      <w:r>
        <w:rPr>
          <w:rStyle w:val="CharSchText"/>
        </w:rPr>
        <w:t>Fees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yShoulderClause"/>
      </w:pPr>
      <w:r>
        <w:t>[r. 4]</w:t>
      </w:r>
    </w:p>
    <w:p>
      <w:pPr>
        <w:pStyle w:val="yHeading3"/>
        <w:spacing w:after="120"/>
      </w:pPr>
      <w:bookmarkStart w:id="108" w:name="_Toc96756237"/>
      <w:bookmarkStart w:id="109" w:name="_Toc100634723"/>
      <w:bookmarkStart w:id="110" w:name="_Toc138836662"/>
      <w:bookmarkStart w:id="111" w:name="_Toc138836730"/>
      <w:bookmarkStart w:id="112" w:name="_Toc139270567"/>
      <w:bookmarkStart w:id="113" w:name="_Toc171051334"/>
      <w:bookmarkStart w:id="114" w:name="_Toc193167424"/>
      <w:bookmarkStart w:id="115" w:name="_Toc202585850"/>
      <w:bookmarkStart w:id="116" w:name="_Toc203278491"/>
      <w:bookmarkStart w:id="117" w:name="_Toc203278680"/>
      <w:bookmarkStart w:id="118" w:name="_Toc207427462"/>
      <w:bookmarkStart w:id="119" w:name="_Toc207512133"/>
      <w:bookmarkStart w:id="120" w:name="_Toc207513778"/>
      <w:bookmarkStart w:id="121" w:name="_Toc209501439"/>
      <w:bookmarkStart w:id="122" w:name="_Toc232308349"/>
      <w:bookmarkStart w:id="123" w:name="_Toc239753841"/>
      <w:bookmarkStart w:id="124" w:name="_Toc287361829"/>
      <w:r>
        <w:rPr>
          <w:rStyle w:val="CharSDivNo"/>
        </w:rPr>
        <w:t>Division 1</w:t>
      </w:r>
      <w:r>
        <w:rPr>
          <w:b w:val="0"/>
        </w:rPr>
        <w:t> — </w:t>
      </w:r>
      <w:r>
        <w:rPr>
          <w:rStyle w:val="CharSDivText"/>
        </w:rPr>
        <w:t>General</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tbl>
      <w:tblPr>
        <w:tblW w:w="0" w:type="auto"/>
        <w:tblInd w:w="392" w:type="dxa"/>
        <w:tblLayout w:type="fixed"/>
        <w:tblLook w:val="0000" w:firstRow="0" w:lastRow="0" w:firstColumn="0" w:lastColumn="0" w:noHBand="0" w:noVBand="0"/>
      </w:tblPr>
      <w:tblGrid>
        <w:gridCol w:w="567"/>
        <w:gridCol w:w="4429"/>
        <w:gridCol w:w="1800"/>
      </w:tblGrid>
      <w:tr>
        <w:trPr>
          <w:cantSplit/>
          <w:tblHeader/>
        </w:trPr>
        <w:tc>
          <w:tcPr>
            <w:tcW w:w="567" w:type="dxa"/>
            <w:tcBorders>
              <w:top w:val="single" w:sz="4" w:space="0" w:color="auto"/>
              <w:bottom w:val="single" w:sz="4" w:space="0" w:color="auto"/>
            </w:tcBorders>
          </w:tcPr>
          <w:p>
            <w:pPr>
              <w:pStyle w:val="yTable"/>
              <w:ind w:right="-66"/>
              <w:rPr>
                <w:b/>
                <w:bCs/>
                <w:sz w:val="20"/>
              </w:rPr>
            </w:pPr>
            <w:r>
              <w:rPr>
                <w:b/>
                <w:bCs/>
                <w:sz w:val="20"/>
              </w:rPr>
              <w:t>Item</w:t>
            </w:r>
          </w:p>
        </w:tc>
        <w:tc>
          <w:tcPr>
            <w:tcW w:w="4429" w:type="dxa"/>
            <w:tcBorders>
              <w:top w:val="single" w:sz="4" w:space="0" w:color="auto"/>
              <w:bottom w:val="single" w:sz="4" w:space="0" w:color="auto"/>
            </w:tcBorders>
          </w:tcPr>
          <w:p>
            <w:pPr>
              <w:pStyle w:val="yTable"/>
              <w:tabs>
                <w:tab w:val="left" w:pos="318"/>
                <w:tab w:val="left" w:pos="743"/>
              </w:tabs>
              <w:ind w:left="743" w:hanging="743"/>
              <w:jc w:val="center"/>
              <w:rPr>
                <w:b/>
                <w:bCs/>
                <w:sz w:val="20"/>
              </w:rPr>
            </w:pPr>
            <w:r>
              <w:rPr>
                <w:b/>
                <w:bCs/>
                <w:sz w:val="20"/>
              </w:rPr>
              <w:t>Matter</w:t>
            </w:r>
          </w:p>
        </w:tc>
        <w:tc>
          <w:tcPr>
            <w:tcW w:w="1800" w:type="dxa"/>
            <w:tcBorders>
              <w:top w:val="single" w:sz="4" w:space="0" w:color="auto"/>
              <w:bottom w:val="single" w:sz="4" w:space="0" w:color="auto"/>
            </w:tcBorders>
          </w:tcPr>
          <w:p>
            <w:pPr>
              <w:pStyle w:val="yTable"/>
              <w:jc w:val="center"/>
              <w:rPr>
                <w:b/>
                <w:bCs/>
                <w:sz w:val="20"/>
              </w:rPr>
            </w:pPr>
            <w:r>
              <w:rPr>
                <w:b/>
                <w:bCs/>
                <w:sz w:val="20"/>
              </w:rPr>
              <w:t>$</w:t>
            </w:r>
          </w:p>
        </w:tc>
      </w:tr>
      <w:tr>
        <w:trPr>
          <w:cantSplit/>
        </w:trPr>
        <w:tc>
          <w:tcPr>
            <w:tcW w:w="567" w:type="dxa"/>
            <w:tcBorders>
              <w:top w:val="single" w:sz="4" w:space="0" w:color="auto"/>
            </w:tcBorders>
          </w:tcPr>
          <w:p>
            <w:pPr>
              <w:pStyle w:val="yTable"/>
              <w:rPr>
                <w:sz w:val="20"/>
              </w:rPr>
            </w:pPr>
            <w:r>
              <w:rPr>
                <w:sz w:val="20"/>
              </w:rPr>
              <w:t>1.</w:t>
            </w:r>
          </w:p>
        </w:tc>
        <w:tc>
          <w:tcPr>
            <w:tcW w:w="4429" w:type="dxa"/>
            <w:tcBorders>
              <w:top w:val="single" w:sz="4" w:space="0" w:color="auto"/>
            </w:tcBorders>
          </w:tcPr>
          <w:p>
            <w:pPr>
              <w:pStyle w:val="yTable"/>
              <w:tabs>
                <w:tab w:val="left" w:pos="176"/>
                <w:tab w:val="left" w:pos="601"/>
              </w:tabs>
              <w:ind w:left="601" w:hanging="601"/>
              <w:rPr>
                <w:sz w:val="20"/>
              </w:rPr>
            </w:pPr>
            <w:r>
              <w:rPr>
                <w:sz w:val="20"/>
              </w:rPr>
              <w:tab/>
              <w:t>(a)</w:t>
            </w:r>
            <w:r>
              <w:rPr>
                <w:sz w:val="20"/>
              </w:rPr>
              <w:tab/>
              <w:t>for every order or conviction drawn up in the Court’s criminal jurisdiction..........................</w:t>
            </w:r>
          </w:p>
          <w:p>
            <w:pPr>
              <w:pStyle w:val="yTable"/>
              <w:tabs>
                <w:tab w:val="left" w:pos="176"/>
                <w:tab w:val="left" w:pos="601"/>
              </w:tabs>
              <w:ind w:left="601" w:hanging="601"/>
              <w:rPr>
                <w:sz w:val="20"/>
              </w:rPr>
            </w:pPr>
            <w:r>
              <w:rPr>
                <w:sz w:val="20"/>
              </w:rPr>
              <w:tab/>
              <w:t>(b)</w:t>
            </w:r>
            <w:r>
              <w:rPr>
                <w:sz w:val="20"/>
              </w:rPr>
              <w:tab/>
              <w:t>issue of a duplicate document or order .........</w:t>
            </w:r>
          </w:p>
        </w:tc>
        <w:tc>
          <w:tcPr>
            <w:tcW w:w="1800" w:type="dxa"/>
            <w:tcBorders>
              <w:top w:val="single" w:sz="4" w:space="0" w:color="auto"/>
            </w:tcBorders>
          </w:tcPr>
          <w:p>
            <w:pPr>
              <w:pStyle w:val="yTable"/>
              <w:spacing w:before="120"/>
              <w:ind w:right="34"/>
              <w:jc w:val="center"/>
              <w:rPr>
                <w:sz w:val="20"/>
              </w:rPr>
            </w:pPr>
            <w:r>
              <w:rPr>
                <w:sz w:val="20"/>
              </w:rPr>
              <w:br/>
              <w:t>14.50</w:t>
            </w:r>
            <w:r>
              <w:rPr>
                <w:sz w:val="20"/>
              </w:rPr>
              <w:br/>
              <w:t>14.50</w:t>
            </w:r>
          </w:p>
        </w:tc>
      </w:tr>
      <w:tr>
        <w:trPr>
          <w:cantSplit/>
        </w:trPr>
        <w:tc>
          <w:tcPr>
            <w:tcW w:w="567" w:type="dxa"/>
          </w:tcPr>
          <w:p>
            <w:pPr>
              <w:pStyle w:val="yTable"/>
              <w:rPr>
                <w:sz w:val="20"/>
              </w:rPr>
            </w:pPr>
            <w:r>
              <w:rPr>
                <w:sz w:val="20"/>
              </w:rPr>
              <w:t>2.</w:t>
            </w:r>
          </w:p>
        </w:tc>
        <w:tc>
          <w:tcPr>
            <w:tcW w:w="4429" w:type="dxa"/>
          </w:tcPr>
          <w:p>
            <w:pPr>
              <w:pStyle w:val="yTable"/>
              <w:rPr>
                <w:sz w:val="20"/>
              </w:rPr>
            </w:pPr>
            <w:r>
              <w:rPr>
                <w:sz w:val="20"/>
              </w:rPr>
              <w:t xml:space="preserve">For the service of any application, summons, originating process, notice or order of the Court or any other process requiring service............................ </w:t>
            </w:r>
          </w:p>
        </w:tc>
        <w:tc>
          <w:tcPr>
            <w:tcW w:w="1800" w:type="dxa"/>
          </w:tcPr>
          <w:p>
            <w:pPr>
              <w:pStyle w:val="yTable"/>
              <w:jc w:val="center"/>
              <w:rPr>
                <w:sz w:val="20"/>
              </w:rPr>
            </w:pPr>
            <w:r>
              <w:rPr>
                <w:sz w:val="20"/>
              </w:rPr>
              <w:br/>
            </w:r>
            <w:r>
              <w:rPr>
                <w:sz w:val="20"/>
              </w:rPr>
              <w:br/>
              <w:t>45.50</w:t>
            </w:r>
          </w:p>
        </w:tc>
      </w:tr>
      <w:tr>
        <w:trPr>
          <w:cantSplit/>
        </w:trPr>
        <w:tc>
          <w:tcPr>
            <w:tcW w:w="6796" w:type="dxa"/>
            <w:gridSpan w:val="3"/>
          </w:tcPr>
          <w:p>
            <w:pPr>
              <w:pStyle w:val="yTable"/>
              <w:rPr>
                <w:sz w:val="20"/>
              </w:rPr>
            </w:pPr>
            <w:r>
              <w:rPr>
                <w:sz w:val="20"/>
              </w:rPr>
              <w:t>NOTE</w:t>
            </w:r>
          </w:p>
          <w:p>
            <w:pPr>
              <w:pStyle w:val="yTable"/>
              <w:spacing w:before="0" w:after="60"/>
              <w:rPr>
                <w:sz w:val="20"/>
              </w:rPr>
            </w:pPr>
            <w:r>
              <w:rPr>
                <w:sz w:val="20"/>
              </w:rPr>
              <w:t>The fee is payable whether or not the service is successful and covers up to 3 attempts at service at the same address.</w:t>
            </w:r>
          </w:p>
        </w:tc>
      </w:tr>
      <w:tr>
        <w:trPr>
          <w:cantSplit/>
        </w:trPr>
        <w:tc>
          <w:tcPr>
            <w:tcW w:w="567" w:type="dxa"/>
          </w:tcPr>
          <w:p>
            <w:pPr>
              <w:pStyle w:val="yTable"/>
              <w:rPr>
                <w:sz w:val="20"/>
              </w:rPr>
            </w:pPr>
            <w:r>
              <w:rPr>
                <w:sz w:val="20"/>
              </w:rPr>
              <w:t>3.</w:t>
            </w:r>
          </w:p>
        </w:tc>
        <w:tc>
          <w:tcPr>
            <w:tcW w:w="4429" w:type="dxa"/>
          </w:tcPr>
          <w:p>
            <w:pPr>
              <w:pStyle w:val="yTable"/>
              <w:rPr>
                <w:sz w:val="20"/>
              </w:rPr>
            </w:pPr>
            <w:r>
              <w:rPr>
                <w:sz w:val="20"/>
              </w:rPr>
              <w:t>If it is necessary to travel to execute a warrant or other process, or on service of a summons, order of the Court, other process or document, or on making an arrest or for all attempts, attendances and inspections, from the enforcement officer’s office</w:t>
            </w:r>
            <w:r>
              <w:t xml:space="preserve"> </w:t>
            </w:r>
            <w:r>
              <w:rPr>
                <w:sz w:val="20"/>
              </w:rPr>
              <w:t xml:space="preserve">or nearest Police Station — </w:t>
            </w:r>
          </w:p>
          <w:p>
            <w:pPr>
              <w:pStyle w:val="yTable"/>
              <w:tabs>
                <w:tab w:val="left" w:pos="176"/>
                <w:tab w:val="left" w:pos="601"/>
              </w:tabs>
              <w:spacing w:before="0"/>
              <w:ind w:left="601" w:hanging="601"/>
              <w:rPr>
                <w:sz w:val="20"/>
              </w:rPr>
            </w:pPr>
            <w:r>
              <w:rPr>
                <w:sz w:val="20"/>
              </w:rPr>
              <w:tab/>
              <w:t>(a)</w:t>
            </w:r>
            <w:r>
              <w:rPr>
                <w:sz w:val="20"/>
              </w:rPr>
              <w:tab/>
              <w:t>for each kilometre travelled (one way) in the metropolitan area;</w:t>
            </w:r>
          </w:p>
          <w:p>
            <w:pPr>
              <w:pStyle w:val="yTable"/>
              <w:tabs>
                <w:tab w:val="left" w:pos="176"/>
                <w:tab w:val="left" w:pos="601"/>
              </w:tabs>
              <w:spacing w:before="0"/>
              <w:ind w:left="601" w:hanging="601"/>
              <w:rPr>
                <w:sz w:val="20"/>
              </w:rPr>
            </w:pPr>
            <w:r>
              <w:rPr>
                <w:sz w:val="20"/>
              </w:rPr>
              <w:tab/>
              <w:t>(b)</w:t>
            </w:r>
            <w:r>
              <w:rPr>
                <w:sz w:val="20"/>
              </w:rPr>
              <w:tab/>
              <w:t>for each kilometre travelled (one way) outside the metropolitan area.</w:t>
            </w:r>
          </w:p>
        </w:tc>
        <w:tc>
          <w:tcPr>
            <w:tcW w:w="1800" w:type="dxa"/>
          </w:tcPr>
          <w:p>
            <w:pPr>
              <w:pStyle w:val="yTable"/>
              <w:spacing w:before="40"/>
              <w:jc w:val="center"/>
              <w:rPr>
                <w:sz w:val="20"/>
              </w:rPr>
            </w:pPr>
            <w:r>
              <w:rPr>
                <w:sz w:val="20"/>
              </w:rPr>
              <w:br/>
            </w:r>
            <w:r>
              <w:rPr>
                <w:sz w:val="20"/>
              </w:rPr>
              <w:br/>
            </w:r>
            <w:r>
              <w:rPr>
                <w:sz w:val="20"/>
              </w:rPr>
              <w:br/>
            </w:r>
            <w:r>
              <w:rPr>
                <w:sz w:val="20"/>
              </w:rPr>
              <w:br/>
            </w:r>
            <w:r>
              <w:rPr>
                <w:sz w:val="20"/>
              </w:rPr>
              <w:br/>
            </w:r>
            <w:r>
              <w:rPr>
                <w:sz w:val="20"/>
              </w:rPr>
              <w:br/>
            </w:r>
            <w:r>
              <w:rPr>
                <w:sz w:val="20"/>
              </w:rPr>
              <w:br/>
              <w:t>1.15</w:t>
            </w:r>
            <w:r>
              <w:rPr>
                <w:sz w:val="20"/>
              </w:rPr>
              <w:br/>
            </w:r>
            <w:r>
              <w:rPr>
                <w:sz w:val="20"/>
              </w:rPr>
              <w:br/>
              <w:t>1.25</w:t>
            </w:r>
          </w:p>
        </w:tc>
      </w:tr>
      <w:tr>
        <w:trPr>
          <w:cantSplit/>
        </w:trPr>
        <w:tc>
          <w:tcPr>
            <w:tcW w:w="6796" w:type="dxa"/>
            <w:gridSpan w:val="3"/>
          </w:tcPr>
          <w:p>
            <w:pPr>
              <w:pStyle w:val="yTable"/>
              <w:rPr>
                <w:sz w:val="20"/>
              </w:rPr>
            </w:pPr>
            <w:r>
              <w:rPr>
                <w:sz w:val="20"/>
              </w:rPr>
              <w:t>NOTE</w:t>
            </w:r>
          </w:p>
          <w:p>
            <w:pPr>
              <w:pStyle w:val="yTable"/>
              <w:spacing w:before="0" w:after="60"/>
              <w:rPr>
                <w:sz w:val="20"/>
              </w:rPr>
            </w:pPr>
            <w:r>
              <w:rPr>
                <w:sz w:val="20"/>
              </w:rPr>
              <w:t>If more than one process or document is executed or served by an enforcement officer at the same time on the same person or on different persons at the same address, only one allowance for kilometres is chargeable.</w:t>
            </w:r>
          </w:p>
        </w:tc>
      </w:tr>
      <w:tr>
        <w:trPr>
          <w:cantSplit/>
        </w:trPr>
        <w:tc>
          <w:tcPr>
            <w:tcW w:w="567" w:type="dxa"/>
          </w:tcPr>
          <w:p>
            <w:pPr>
              <w:pStyle w:val="yTable"/>
              <w:rPr>
                <w:sz w:val="20"/>
              </w:rPr>
            </w:pPr>
            <w:r>
              <w:rPr>
                <w:sz w:val="20"/>
              </w:rPr>
              <w:t>4.</w:t>
            </w:r>
          </w:p>
        </w:tc>
        <w:tc>
          <w:tcPr>
            <w:tcW w:w="4429" w:type="dxa"/>
          </w:tcPr>
          <w:p>
            <w:pPr>
              <w:pStyle w:val="yTable"/>
              <w:tabs>
                <w:tab w:val="left" w:pos="176"/>
                <w:tab w:val="left" w:pos="601"/>
              </w:tabs>
              <w:ind w:left="601" w:hanging="601"/>
              <w:rPr>
                <w:sz w:val="20"/>
              </w:rPr>
            </w:pPr>
            <w:r>
              <w:rPr>
                <w:sz w:val="20"/>
              </w:rPr>
              <w:tab/>
              <w:t>(a)</w:t>
            </w:r>
            <w:r>
              <w:rPr>
                <w:sz w:val="20"/>
              </w:rPr>
              <w:tab/>
              <w:t>for searching any record or proceeding other than a search by or on behalf of a party to the proceedings in the Court’s civil jurisdiction .....................................................</w:t>
            </w:r>
          </w:p>
          <w:p>
            <w:pPr>
              <w:pStyle w:val="yTable"/>
              <w:tabs>
                <w:tab w:val="left" w:pos="176"/>
                <w:tab w:val="left" w:pos="601"/>
              </w:tabs>
              <w:spacing w:before="0"/>
              <w:ind w:left="601" w:hanging="601"/>
              <w:rPr>
                <w:sz w:val="20"/>
              </w:rPr>
            </w:pPr>
            <w:r>
              <w:rPr>
                <w:sz w:val="20"/>
              </w:rPr>
              <w:tab/>
              <w:t>(b)</w:t>
            </w:r>
            <w:r>
              <w:rPr>
                <w:sz w:val="20"/>
              </w:rPr>
              <w:tab/>
              <w:t>listening to or viewing any electronic recording that requires supervision by an officer of the Court, a search fee of ...............</w:t>
            </w:r>
          </w:p>
          <w:p>
            <w:pPr>
              <w:pStyle w:val="yTable"/>
              <w:tabs>
                <w:tab w:val="left" w:pos="318"/>
              </w:tabs>
              <w:rPr>
                <w:sz w:val="20"/>
              </w:rPr>
            </w:pPr>
            <w:r>
              <w:rPr>
                <w:sz w:val="20"/>
              </w:rPr>
              <w:t>And in addition to the search fee, for each hour of the officer’s time .......................................................</w:t>
            </w:r>
          </w:p>
        </w:tc>
        <w:tc>
          <w:tcPr>
            <w:tcW w:w="1800" w:type="dxa"/>
          </w:tcPr>
          <w:p>
            <w:pPr>
              <w:pStyle w:val="yTable"/>
              <w:jc w:val="center"/>
              <w:rPr>
                <w:sz w:val="20"/>
              </w:rPr>
            </w:pPr>
            <w:r>
              <w:rPr>
                <w:sz w:val="20"/>
              </w:rPr>
              <w:br/>
            </w:r>
            <w:r>
              <w:rPr>
                <w:sz w:val="20"/>
              </w:rPr>
              <w:br/>
            </w:r>
            <w:r>
              <w:rPr>
                <w:sz w:val="20"/>
              </w:rPr>
              <w:br/>
              <w:t>26.50</w:t>
            </w:r>
          </w:p>
          <w:p>
            <w:pPr>
              <w:pStyle w:val="yTable"/>
              <w:spacing w:before="0"/>
              <w:jc w:val="center"/>
              <w:rPr>
                <w:sz w:val="20"/>
              </w:rPr>
            </w:pPr>
            <w:r>
              <w:rPr>
                <w:sz w:val="20"/>
              </w:rPr>
              <w:br/>
            </w:r>
            <w:r>
              <w:rPr>
                <w:sz w:val="20"/>
              </w:rPr>
              <w:br/>
              <w:t>26.50</w:t>
            </w:r>
          </w:p>
          <w:p>
            <w:pPr>
              <w:pStyle w:val="yTable"/>
              <w:spacing w:before="0"/>
              <w:jc w:val="center"/>
              <w:rPr>
                <w:sz w:val="20"/>
              </w:rPr>
            </w:pPr>
          </w:p>
          <w:p>
            <w:pPr>
              <w:pStyle w:val="yTable"/>
              <w:jc w:val="center"/>
              <w:rPr>
                <w:sz w:val="20"/>
              </w:rPr>
            </w:pPr>
            <w:r>
              <w:rPr>
                <w:sz w:val="20"/>
              </w:rPr>
              <w:t>65.50</w:t>
            </w:r>
          </w:p>
        </w:tc>
      </w:tr>
      <w:tr>
        <w:trPr>
          <w:cantSplit/>
        </w:trPr>
        <w:tc>
          <w:tcPr>
            <w:tcW w:w="567" w:type="dxa"/>
          </w:tcPr>
          <w:p>
            <w:pPr>
              <w:pStyle w:val="yTable"/>
              <w:rPr>
                <w:sz w:val="20"/>
              </w:rPr>
            </w:pPr>
            <w:r>
              <w:rPr>
                <w:sz w:val="20"/>
              </w:rPr>
              <w:t>5.</w:t>
            </w:r>
          </w:p>
        </w:tc>
        <w:tc>
          <w:tcPr>
            <w:tcW w:w="4429" w:type="dxa"/>
          </w:tcPr>
          <w:p>
            <w:pPr>
              <w:pStyle w:val="yTable"/>
              <w:tabs>
                <w:tab w:val="left" w:pos="176"/>
                <w:tab w:val="left" w:pos="601"/>
              </w:tabs>
              <w:ind w:left="601" w:right="12" w:hanging="601"/>
              <w:rPr>
                <w:sz w:val="20"/>
              </w:rPr>
            </w:pPr>
            <w:r>
              <w:rPr>
                <w:sz w:val="20"/>
              </w:rPr>
              <w:tab/>
              <w:t>(a)</w:t>
            </w:r>
            <w:r>
              <w:rPr>
                <w:sz w:val="20"/>
              </w:rPr>
              <w:tab/>
              <w:t>on an application or summons for the production of records or documents that are required to be produced to any court, tribunal, arbitrator or umpire ........................</w:t>
            </w:r>
          </w:p>
          <w:p>
            <w:pPr>
              <w:pStyle w:val="yTable"/>
              <w:tabs>
                <w:tab w:val="left" w:pos="176"/>
                <w:tab w:val="left" w:pos="601"/>
              </w:tabs>
              <w:ind w:left="601" w:hanging="601"/>
              <w:rPr>
                <w:sz w:val="20"/>
              </w:rPr>
            </w:pPr>
            <w:r>
              <w:rPr>
                <w:sz w:val="20"/>
              </w:rPr>
              <w:tab/>
              <w:t>(b)</w:t>
            </w:r>
            <w:r>
              <w:rPr>
                <w:sz w:val="20"/>
              </w:rPr>
              <w:tab/>
              <w:t>if an officer is required to attend at any court or place out of the Court building where the officer is based, the officer’s reasonable expenses and, in addition for each hour when the officer is necessarily absent from his or her office .............................................</w:t>
            </w:r>
          </w:p>
        </w:tc>
        <w:tc>
          <w:tcPr>
            <w:tcW w:w="1800" w:type="dxa"/>
          </w:tcPr>
          <w:p>
            <w:pPr>
              <w:pStyle w:val="yTable"/>
              <w:jc w:val="center"/>
              <w:rPr>
                <w:sz w:val="20"/>
              </w:rPr>
            </w:pPr>
            <w:r>
              <w:rPr>
                <w:sz w:val="20"/>
              </w:rPr>
              <w:br/>
            </w:r>
            <w:r>
              <w:rPr>
                <w:sz w:val="20"/>
              </w:rPr>
              <w:br/>
            </w:r>
            <w:r>
              <w:rPr>
                <w:sz w:val="20"/>
              </w:rPr>
              <w:br/>
              <w:t>39.00</w:t>
            </w:r>
          </w:p>
          <w:p>
            <w:pPr>
              <w:pStyle w:val="yTable"/>
              <w:jc w:val="center"/>
              <w:rPr>
                <w:sz w:val="20"/>
              </w:rPr>
            </w:pPr>
            <w:r>
              <w:rPr>
                <w:sz w:val="20"/>
              </w:rPr>
              <w:br/>
            </w:r>
            <w:r>
              <w:rPr>
                <w:sz w:val="20"/>
              </w:rPr>
              <w:br/>
            </w:r>
            <w:r>
              <w:rPr>
                <w:sz w:val="20"/>
              </w:rPr>
              <w:br/>
            </w:r>
            <w:r>
              <w:rPr>
                <w:sz w:val="20"/>
              </w:rPr>
              <w:br/>
            </w:r>
            <w:r>
              <w:rPr>
                <w:sz w:val="20"/>
              </w:rPr>
              <w:br/>
              <w:t>65.50</w:t>
            </w:r>
          </w:p>
        </w:tc>
      </w:tr>
      <w:tr>
        <w:trPr>
          <w:cantSplit/>
        </w:trPr>
        <w:tc>
          <w:tcPr>
            <w:tcW w:w="567" w:type="dxa"/>
          </w:tcPr>
          <w:p>
            <w:pPr>
              <w:pStyle w:val="yTable"/>
              <w:rPr>
                <w:sz w:val="20"/>
              </w:rPr>
            </w:pPr>
            <w:r>
              <w:rPr>
                <w:sz w:val="20"/>
              </w:rPr>
              <w:t>6.</w:t>
            </w:r>
          </w:p>
        </w:tc>
        <w:tc>
          <w:tcPr>
            <w:tcW w:w="4429" w:type="dxa"/>
          </w:tcPr>
          <w:p>
            <w:pPr>
              <w:pStyle w:val="yTable"/>
              <w:tabs>
                <w:tab w:val="left" w:pos="176"/>
                <w:tab w:val="left" w:pos="601"/>
              </w:tabs>
              <w:ind w:left="601" w:hanging="601"/>
              <w:rPr>
                <w:sz w:val="20"/>
              </w:rPr>
            </w:pPr>
            <w:r>
              <w:rPr>
                <w:sz w:val="20"/>
              </w:rPr>
              <w:tab/>
              <w:t>(a)</w:t>
            </w:r>
            <w:r>
              <w:rPr>
                <w:sz w:val="20"/>
              </w:rPr>
              <w:tab/>
              <w:t>copies of documents or exhibits for each page or part of a page ....................................</w:t>
            </w:r>
          </w:p>
          <w:p>
            <w:pPr>
              <w:pStyle w:val="yTable"/>
              <w:tabs>
                <w:tab w:val="left" w:pos="176"/>
                <w:tab w:val="left" w:pos="601"/>
              </w:tabs>
              <w:ind w:left="601" w:hanging="601"/>
              <w:rPr>
                <w:sz w:val="20"/>
              </w:rPr>
            </w:pPr>
            <w:r>
              <w:rPr>
                <w:sz w:val="20"/>
              </w:rPr>
              <w:tab/>
              <w:t>(b)</w:t>
            </w:r>
            <w:r>
              <w:rPr>
                <w:sz w:val="20"/>
              </w:rPr>
              <w:tab/>
              <w:t xml:space="preserve">for a copy of reasons for judgment — </w:t>
            </w:r>
          </w:p>
          <w:p>
            <w:pPr>
              <w:pStyle w:val="yTable"/>
              <w:tabs>
                <w:tab w:val="left" w:pos="601"/>
              </w:tabs>
              <w:ind w:left="1026" w:hanging="1026"/>
              <w:rPr>
                <w:sz w:val="20"/>
              </w:rPr>
            </w:pPr>
            <w:r>
              <w:rPr>
                <w:sz w:val="20"/>
              </w:rPr>
              <w:tab/>
              <w:t>(i)</w:t>
            </w:r>
            <w:r>
              <w:rPr>
                <w:sz w:val="20"/>
              </w:rPr>
              <w:tab/>
              <w:t>for each copy consisting of not more than 10 pages issued to a person not a party to the proceedings and for each copy in excess of one copy issued to a party to the proceedings ........................</w:t>
            </w:r>
          </w:p>
          <w:p>
            <w:pPr>
              <w:pStyle w:val="yTable"/>
              <w:tabs>
                <w:tab w:val="left" w:pos="601"/>
              </w:tabs>
              <w:ind w:left="1026" w:hanging="1026"/>
              <w:rPr>
                <w:sz w:val="20"/>
              </w:rPr>
            </w:pPr>
            <w:r>
              <w:rPr>
                <w:sz w:val="20"/>
              </w:rPr>
              <w:tab/>
              <w:t>(ii)</w:t>
            </w:r>
            <w:r>
              <w:rPr>
                <w:sz w:val="20"/>
              </w:rPr>
              <w:tab/>
              <w:t>for each copy consisting of 10 or more pages an additional fee per page of ......</w:t>
            </w:r>
          </w:p>
          <w:p>
            <w:pPr>
              <w:pStyle w:val="yTable"/>
              <w:tabs>
                <w:tab w:val="left" w:pos="176"/>
                <w:tab w:val="left" w:pos="601"/>
              </w:tabs>
              <w:ind w:left="601" w:hanging="601"/>
              <w:rPr>
                <w:sz w:val="20"/>
              </w:rPr>
            </w:pPr>
            <w:r>
              <w:rPr>
                <w:sz w:val="20"/>
              </w:rPr>
              <w:tab/>
              <w:t>(c)</w:t>
            </w:r>
            <w:r>
              <w:rPr>
                <w:sz w:val="20"/>
              </w:rPr>
              <w:tab/>
              <w:t>for certifying that a document is a true copy, an additional fee of ......................................</w:t>
            </w:r>
          </w:p>
        </w:tc>
        <w:tc>
          <w:tcPr>
            <w:tcW w:w="1800" w:type="dxa"/>
          </w:tcPr>
          <w:p>
            <w:pPr>
              <w:pStyle w:val="yTable"/>
              <w:jc w:val="center"/>
              <w:rPr>
                <w:sz w:val="20"/>
              </w:rPr>
            </w:pPr>
            <w:r>
              <w:rPr>
                <w:sz w:val="20"/>
              </w:rPr>
              <w:br/>
              <w:t>1.50</w:t>
            </w:r>
          </w:p>
          <w:p>
            <w:pPr>
              <w:pStyle w:val="yTable"/>
              <w:jc w:val="center"/>
              <w:rPr>
                <w:sz w:val="20"/>
              </w:rPr>
            </w:pPr>
            <w:r>
              <w:rPr>
                <w:sz w:val="20"/>
              </w:rPr>
              <w:br/>
            </w:r>
          </w:p>
          <w:p>
            <w:pPr>
              <w:pStyle w:val="yTable"/>
              <w:jc w:val="center"/>
              <w:rPr>
                <w:sz w:val="20"/>
              </w:rPr>
            </w:pPr>
            <w:r>
              <w:rPr>
                <w:sz w:val="20"/>
              </w:rPr>
              <w:br/>
            </w:r>
            <w:r>
              <w:rPr>
                <w:sz w:val="20"/>
              </w:rPr>
              <w:br/>
            </w:r>
            <w:r>
              <w:rPr>
                <w:sz w:val="20"/>
              </w:rPr>
              <w:br/>
              <w:t>9.20</w:t>
            </w:r>
          </w:p>
          <w:p>
            <w:pPr>
              <w:pStyle w:val="yTable"/>
              <w:jc w:val="center"/>
              <w:rPr>
                <w:sz w:val="20"/>
              </w:rPr>
            </w:pPr>
            <w:r>
              <w:rPr>
                <w:sz w:val="20"/>
              </w:rPr>
              <w:br/>
              <w:t>1.15</w:t>
            </w:r>
          </w:p>
          <w:p>
            <w:pPr>
              <w:pStyle w:val="yTable"/>
              <w:jc w:val="center"/>
              <w:rPr>
                <w:sz w:val="20"/>
              </w:rPr>
            </w:pPr>
            <w:r>
              <w:rPr>
                <w:sz w:val="20"/>
              </w:rPr>
              <w:br/>
              <w:t>12.75</w:t>
            </w:r>
          </w:p>
        </w:tc>
      </w:tr>
      <w:tr>
        <w:trPr>
          <w:cantSplit/>
        </w:trPr>
        <w:tc>
          <w:tcPr>
            <w:tcW w:w="6796" w:type="dxa"/>
            <w:gridSpan w:val="3"/>
          </w:tcPr>
          <w:p>
            <w:pPr>
              <w:pStyle w:val="yTable"/>
              <w:rPr>
                <w:sz w:val="20"/>
              </w:rPr>
            </w:pPr>
            <w:r>
              <w:rPr>
                <w:sz w:val="20"/>
              </w:rPr>
              <w:t>NOTE</w:t>
            </w:r>
          </w:p>
          <w:p>
            <w:pPr>
              <w:pStyle w:val="yTable"/>
              <w:spacing w:before="0" w:after="60"/>
              <w:rPr>
                <w:sz w:val="20"/>
              </w:rPr>
            </w:pPr>
            <w:r>
              <w:rPr>
                <w:sz w:val="20"/>
              </w:rPr>
              <w:t>Fee under item 6(a) for a copy of an application is not payable where circumstances under regulation 6(4) exist.</w:t>
            </w:r>
          </w:p>
        </w:tc>
      </w:tr>
      <w:tr>
        <w:trPr>
          <w:cantSplit/>
        </w:trPr>
        <w:tc>
          <w:tcPr>
            <w:tcW w:w="567" w:type="dxa"/>
          </w:tcPr>
          <w:p>
            <w:pPr>
              <w:pStyle w:val="yTable"/>
              <w:rPr>
                <w:sz w:val="20"/>
              </w:rPr>
            </w:pPr>
            <w:r>
              <w:rPr>
                <w:sz w:val="20"/>
              </w:rPr>
              <w:t>7.</w:t>
            </w:r>
          </w:p>
        </w:tc>
        <w:tc>
          <w:tcPr>
            <w:tcW w:w="4429" w:type="dxa"/>
          </w:tcPr>
          <w:p>
            <w:pPr>
              <w:pStyle w:val="yTable"/>
              <w:tabs>
                <w:tab w:val="left" w:pos="176"/>
                <w:tab w:val="left" w:pos="601"/>
              </w:tabs>
              <w:ind w:left="601" w:hanging="601"/>
              <w:rPr>
                <w:sz w:val="20"/>
              </w:rPr>
            </w:pPr>
            <w:r>
              <w:rPr>
                <w:sz w:val="20"/>
              </w:rPr>
              <w:tab/>
              <w:t>(a)</w:t>
            </w:r>
            <w:r>
              <w:rPr>
                <w:sz w:val="20"/>
              </w:rPr>
              <w:tab/>
              <w:t xml:space="preserve">for a copy of a transcript or notes of evidence, for each page or part of a page....... </w:t>
            </w:r>
          </w:p>
          <w:p>
            <w:pPr>
              <w:pStyle w:val="yTable"/>
              <w:tabs>
                <w:tab w:val="left" w:pos="176"/>
                <w:tab w:val="left" w:pos="601"/>
              </w:tabs>
              <w:ind w:left="601" w:hanging="601"/>
              <w:rPr>
                <w:sz w:val="20"/>
              </w:rPr>
            </w:pPr>
            <w:r>
              <w:rPr>
                <w:sz w:val="20"/>
              </w:rPr>
              <w:tab/>
              <w:t>(b)</w:t>
            </w:r>
            <w:r>
              <w:rPr>
                <w:sz w:val="20"/>
              </w:rPr>
              <w:tab/>
            </w:r>
            <w:r>
              <w:rPr>
                <w:rFonts w:ascii="Times" w:hAnsi="Times"/>
                <w:spacing w:val="-4"/>
                <w:sz w:val="20"/>
              </w:rPr>
              <w:t>for each copy of a transcript or notes of evidence in electronic format if a fee has been paid under paragraph (a) by the applicant for a copy of the transcript, for each day of transcript</w:t>
            </w:r>
            <w:r>
              <w:rPr>
                <w:sz w:val="20"/>
              </w:rPr>
              <w:t xml:space="preserve"> ........................................................</w:t>
            </w:r>
          </w:p>
          <w:p>
            <w:pPr>
              <w:pStyle w:val="yTable"/>
              <w:tabs>
                <w:tab w:val="left" w:pos="176"/>
                <w:tab w:val="left" w:pos="601"/>
              </w:tabs>
              <w:ind w:left="601" w:hanging="601"/>
              <w:rPr>
                <w:sz w:val="20"/>
              </w:rPr>
            </w:pPr>
            <w:r>
              <w:rPr>
                <w:sz w:val="20"/>
              </w:rPr>
              <w:tab/>
              <w:t>(c)</w:t>
            </w:r>
            <w:r>
              <w:rPr>
                <w:sz w:val="20"/>
              </w:rPr>
              <w:tab/>
              <w:t xml:space="preserve">for each copy of a transcript not in electronic format if a fee has been paid under paragraph (a) by the applicant for a copy of the transcript, for each page or part of a page </w:t>
            </w:r>
          </w:p>
        </w:tc>
        <w:tc>
          <w:tcPr>
            <w:tcW w:w="1800" w:type="dxa"/>
          </w:tcPr>
          <w:p>
            <w:pPr>
              <w:pStyle w:val="yTable"/>
              <w:jc w:val="center"/>
              <w:rPr>
                <w:sz w:val="20"/>
              </w:rPr>
            </w:pPr>
            <w:r>
              <w:rPr>
                <w:sz w:val="20"/>
              </w:rPr>
              <w:br/>
              <w:t>5.15</w:t>
            </w:r>
          </w:p>
          <w:p>
            <w:pPr>
              <w:pStyle w:val="yTable"/>
              <w:jc w:val="center"/>
              <w:rPr>
                <w:sz w:val="20"/>
              </w:rPr>
            </w:pPr>
            <w:r>
              <w:rPr>
                <w:sz w:val="20"/>
              </w:rPr>
              <w:br/>
            </w:r>
            <w:r>
              <w:rPr>
                <w:sz w:val="20"/>
              </w:rPr>
              <w:br/>
            </w:r>
            <w:r>
              <w:rPr>
                <w:sz w:val="20"/>
              </w:rPr>
              <w:br/>
            </w:r>
            <w:r>
              <w:rPr>
                <w:sz w:val="20"/>
              </w:rPr>
              <w:br/>
              <w:t>12.75</w:t>
            </w:r>
          </w:p>
          <w:p>
            <w:pPr>
              <w:pStyle w:val="yTable"/>
              <w:jc w:val="center"/>
              <w:rPr>
                <w:sz w:val="20"/>
              </w:rPr>
            </w:pPr>
            <w:r>
              <w:rPr>
                <w:sz w:val="20"/>
              </w:rPr>
              <w:br/>
            </w:r>
            <w:r>
              <w:rPr>
                <w:sz w:val="20"/>
              </w:rPr>
              <w:br/>
            </w:r>
            <w:r>
              <w:rPr>
                <w:sz w:val="20"/>
              </w:rPr>
              <w:br/>
              <w:t>1.50</w:t>
            </w:r>
          </w:p>
        </w:tc>
      </w:tr>
      <w:tr>
        <w:trPr>
          <w:cantSplit/>
        </w:trPr>
        <w:tc>
          <w:tcPr>
            <w:tcW w:w="6796" w:type="dxa"/>
            <w:gridSpan w:val="3"/>
            <w:tcBorders>
              <w:bottom w:val="single" w:sz="4" w:space="0" w:color="auto"/>
            </w:tcBorders>
          </w:tcPr>
          <w:p>
            <w:pPr>
              <w:pStyle w:val="yTable"/>
              <w:rPr>
                <w:sz w:val="20"/>
              </w:rPr>
            </w:pPr>
            <w:r>
              <w:rPr>
                <w:sz w:val="20"/>
              </w:rPr>
              <w:t>NOTE 1</w:t>
            </w:r>
          </w:p>
          <w:p>
            <w:pPr>
              <w:pStyle w:val="yTable"/>
              <w:spacing w:before="0"/>
              <w:rPr>
                <w:sz w:val="20"/>
              </w:rPr>
            </w:pPr>
            <w:r>
              <w:rPr>
                <w:sz w:val="20"/>
              </w:rPr>
              <w:t>A minimum fee of $18.30 is payable under item 7(a).</w:t>
            </w:r>
          </w:p>
          <w:p>
            <w:pPr>
              <w:pStyle w:val="yTable"/>
              <w:rPr>
                <w:sz w:val="20"/>
              </w:rPr>
            </w:pPr>
            <w:r>
              <w:rPr>
                <w:sz w:val="20"/>
              </w:rPr>
              <w:t>NOTE 2</w:t>
            </w:r>
          </w:p>
          <w:p>
            <w:pPr>
              <w:pStyle w:val="yTable"/>
              <w:spacing w:before="0"/>
              <w:rPr>
                <w:sz w:val="20"/>
              </w:rPr>
            </w:pPr>
            <w:r>
              <w:rPr>
                <w:sz w:val="20"/>
              </w:rPr>
              <w:t>Fees under this item are payable in the case of an indictable offence dealt with summarily.</w:t>
            </w:r>
          </w:p>
        </w:tc>
      </w:tr>
    </w:tbl>
    <w:p>
      <w:pPr>
        <w:pStyle w:val="yFootnotesection"/>
      </w:pPr>
      <w:bookmarkStart w:id="125" w:name="_Toc96756238"/>
      <w:bookmarkStart w:id="126" w:name="_Toc100634724"/>
      <w:r>
        <w:tab/>
        <w:t>[Division 1 amended in Gazette 23 Jun 2006 p. 2182; 26 Jun 2007 p. 3040</w:t>
      </w:r>
      <w:r>
        <w:noBreakHyphen/>
        <w:t>1; 27 Jun 2008 p. 3071; 4 Sep 2009 p. 3484; 8 Mar 2011 p. 791</w:t>
      </w:r>
      <w:r>
        <w:noBreakHyphen/>
        <w:t>2.]</w:t>
      </w:r>
    </w:p>
    <w:p>
      <w:pPr>
        <w:pStyle w:val="yHeading3"/>
        <w:spacing w:after="240"/>
      </w:pPr>
      <w:bookmarkStart w:id="127" w:name="_Toc138836663"/>
      <w:bookmarkStart w:id="128" w:name="_Toc138836731"/>
      <w:bookmarkStart w:id="129" w:name="_Toc139270568"/>
      <w:bookmarkStart w:id="130" w:name="_Toc171051335"/>
      <w:bookmarkStart w:id="131" w:name="_Toc193167425"/>
      <w:bookmarkStart w:id="132" w:name="_Toc202585851"/>
      <w:bookmarkStart w:id="133" w:name="_Toc203278492"/>
      <w:bookmarkStart w:id="134" w:name="_Toc203278681"/>
      <w:bookmarkStart w:id="135" w:name="_Toc207427463"/>
      <w:bookmarkStart w:id="136" w:name="_Toc207512134"/>
      <w:bookmarkStart w:id="137" w:name="_Toc207513779"/>
      <w:bookmarkStart w:id="138" w:name="_Toc209501440"/>
      <w:bookmarkStart w:id="139" w:name="_Toc232308350"/>
      <w:bookmarkStart w:id="140" w:name="_Toc239753842"/>
      <w:bookmarkStart w:id="141" w:name="_Toc287361830"/>
      <w:r>
        <w:rPr>
          <w:rStyle w:val="CharSDivNo"/>
        </w:rPr>
        <w:t>Division 2</w:t>
      </w:r>
      <w:r>
        <w:rPr>
          <w:b w:val="0"/>
        </w:rPr>
        <w:t> — </w:t>
      </w:r>
      <w:r>
        <w:rPr>
          <w:rStyle w:val="CharSDivText"/>
        </w:rPr>
        <w:t>Civil jurisdiction</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tbl>
      <w:tblPr>
        <w:tblW w:w="0" w:type="auto"/>
        <w:tblInd w:w="136" w:type="dxa"/>
        <w:tblLayout w:type="fixed"/>
        <w:tblLook w:val="0000" w:firstRow="0" w:lastRow="0" w:firstColumn="0" w:lastColumn="0" w:noHBand="0" w:noVBand="0"/>
      </w:tblPr>
      <w:tblGrid>
        <w:gridCol w:w="212"/>
        <w:gridCol w:w="306"/>
        <w:gridCol w:w="414"/>
        <w:gridCol w:w="5040"/>
        <w:gridCol w:w="1088"/>
        <w:gridCol w:w="14"/>
      </w:tblGrid>
      <w:tr>
        <w:trPr>
          <w:gridAfter w:val="1"/>
          <w:wAfter w:w="14" w:type="dxa"/>
          <w:cantSplit/>
          <w:tblHeader/>
        </w:trPr>
        <w:tc>
          <w:tcPr>
            <w:tcW w:w="518" w:type="dxa"/>
            <w:gridSpan w:val="2"/>
            <w:tcBorders>
              <w:top w:val="single" w:sz="4" w:space="0" w:color="auto"/>
              <w:bottom w:val="single" w:sz="4" w:space="0" w:color="auto"/>
            </w:tcBorders>
          </w:tcPr>
          <w:p>
            <w:pPr>
              <w:pStyle w:val="yTable"/>
              <w:ind w:right="-108" w:hanging="80"/>
              <w:jc w:val="center"/>
              <w:rPr>
                <w:b/>
                <w:sz w:val="20"/>
              </w:rPr>
            </w:pPr>
            <w:r>
              <w:rPr>
                <w:b/>
                <w:sz w:val="20"/>
              </w:rPr>
              <w:t>Item</w:t>
            </w:r>
          </w:p>
        </w:tc>
        <w:tc>
          <w:tcPr>
            <w:tcW w:w="5454" w:type="dxa"/>
            <w:gridSpan w:val="2"/>
            <w:tcBorders>
              <w:top w:val="single" w:sz="4" w:space="0" w:color="auto"/>
              <w:bottom w:val="single" w:sz="4" w:space="0" w:color="auto"/>
            </w:tcBorders>
          </w:tcPr>
          <w:p>
            <w:pPr>
              <w:pStyle w:val="yTable"/>
              <w:jc w:val="center"/>
              <w:rPr>
                <w:b/>
                <w:sz w:val="20"/>
              </w:rPr>
            </w:pPr>
            <w:r>
              <w:rPr>
                <w:b/>
                <w:sz w:val="20"/>
              </w:rPr>
              <w:t>Matter</w:t>
            </w:r>
          </w:p>
        </w:tc>
        <w:tc>
          <w:tcPr>
            <w:tcW w:w="1088" w:type="dxa"/>
            <w:tcBorders>
              <w:top w:val="single" w:sz="4" w:space="0" w:color="auto"/>
              <w:bottom w:val="single" w:sz="4" w:space="0" w:color="auto"/>
            </w:tcBorders>
          </w:tcPr>
          <w:p>
            <w:pPr>
              <w:pStyle w:val="yTable"/>
              <w:ind w:left="-250"/>
              <w:jc w:val="center"/>
              <w:rPr>
                <w:b/>
                <w:sz w:val="20"/>
              </w:rPr>
            </w:pPr>
            <w:r>
              <w:rPr>
                <w:b/>
                <w:sz w:val="20"/>
              </w:rPr>
              <w:t>$</w:t>
            </w:r>
          </w:p>
        </w:tc>
      </w:tr>
      <w:tr>
        <w:trPr>
          <w:gridBefore w:val="1"/>
          <w:gridAfter w:val="1"/>
          <w:wBefore w:w="212" w:type="dxa"/>
          <w:wAfter w:w="14" w:type="dxa"/>
        </w:trPr>
        <w:tc>
          <w:tcPr>
            <w:tcW w:w="720" w:type="dxa"/>
            <w:gridSpan w:val="2"/>
          </w:tcPr>
          <w:p>
            <w:pPr>
              <w:pStyle w:val="yTable"/>
            </w:pPr>
            <w:r>
              <w:rPr>
                <w:sz w:val="20"/>
              </w:rPr>
              <w:t>1.</w:t>
            </w:r>
          </w:p>
        </w:tc>
        <w:tc>
          <w:tcPr>
            <w:tcW w:w="5040" w:type="dxa"/>
          </w:tcPr>
          <w:p>
            <w:pPr>
              <w:pStyle w:val="yTable"/>
            </w:pPr>
            <w:r>
              <w:rPr>
                <w:sz w:val="20"/>
              </w:rPr>
              <w:t xml:space="preserve">On filing an application for a misconduct restraining order under the </w:t>
            </w:r>
            <w:r>
              <w:rPr>
                <w:i/>
                <w:iCs/>
                <w:sz w:val="20"/>
              </w:rPr>
              <w:t>Restraining Orders Act 1997</w:t>
            </w:r>
            <w:r>
              <w:rPr>
                <w:sz w:val="20"/>
              </w:rPr>
              <w:t xml:space="preserve"> .................................</w:t>
            </w:r>
          </w:p>
        </w:tc>
        <w:tc>
          <w:tcPr>
            <w:tcW w:w="1088" w:type="dxa"/>
          </w:tcPr>
          <w:p>
            <w:pPr>
              <w:pStyle w:val="yTable"/>
            </w:pPr>
            <w:r>
              <w:rPr>
                <w:sz w:val="20"/>
              </w:rPr>
              <w:br/>
              <w:t>76.00</w:t>
            </w:r>
          </w:p>
        </w:tc>
      </w:tr>
      <w:tr>
        <w:trPr>
          <w:gridBefore w:val="1"/>
          <w:gridAfter w:val="1"/>
          <w:wBefore w:w="212" w:type="dxa"/>
          <w:wAfter w:w="14" w:type="dxa"/>
        </w:trPr>
        <w:tc>
          <w:tcPr>
            <w:tcW w:w="720" w:type="dxa"/>
            <w:gridSpan w:val="2"/>
          </w:tcPr>
          <w:p>
            <w:pPr>
              <w:pStyle w:val="yTable"/>
            </w:pPr>
            <w:r>
              <w:rPr>
                <w:sz w:val="20"/>
              </w:rPr>
              <w:t>2.</w:t>
            </w:r>
          </w:p>
        </w:tc>
        <w:tc>
          <w:tcPr>
            <w:tcW w:w="5040" w:type="dxa"/>
          </w:tcPr>
          <w:p>
            <w:pPr>
              <w:pStyle w:val="yTable"/>
            </w:pPr>
            <w:r>
              <w:rPr>
                <w:sz w:val="20"/>
              </w:rPr>
              <w:t xml:space="preserve">On the execution of an arrest warrant of any kind — </w:t>
            </w:r>
          </w:p>
        </w:tc>
        <w:tc>
          <w:tcPr>
            <w:tcW w:w="1088" w:type="dxa"/>
          </w:tcPr>
          <w:p>
            <w:pPr>
              <w:pStyle w:val="yTable"/>
            </w:pPr>
          </w:p>
        </w:tc>
      </w:tr>
      <w:tr>
        <w:trPr>
          <w:gridBefore w:val="1"/>
          <w:gridAfter w:val="1"/>
          <w:wBefore w:w="212" w:type="dxa"/>
          <w:wAfter w:w="14" w:type="dxa"/>
        </w:trPr>
        <w:tc>
          <w:tcPr>
            <w:tcW w:w="720" w:type="dxa"/>
            <w:gridSpan w:val="2"/>
          </w:tcPr>
          <w:p>
            <w:pPr>
              <w:pStyle w:val="zytable"/>
              <w:ind w:left="0"/>
              <w:rPr>
                <w:sz w:val="20"/>
              </w:rPr>
            </w:pPr>
          </w:p>
        </w:tc>
        <w:tc>
          <w:tcPr>
            <w:tcW w:w="5040" w:type="dxa"/>
          </w:tcPr>
          <w:p>
            <w:pPr>
              <w:pStyle w:val="yTable"/>
              <w:tabs>
                <w:tab w:val="left" w:pos="459"/>
              </w:tabs>
              <w:ind w:left="459" w:hanging="459"/>
            </w:pPr>
            <w:r>
              <w:rPr>
                <w:sz w:val="20"/>
              </w:rPr>
              <w:t>(a)</w:t>
            </w:r>
            <w:r>
              <w:rPr>
                <w:sz w:val="20"/>
              </w:rPr>
              <w:tab/>
              <w:t>for arresting the person ...............................................</w:t>
            </w:r>
          </w:p>
        </w:tc>
        <w:tc>
          <w:tcPr>
            <w:tcW w:w="1088" w:type="dxa"/>
          </w:tcPr>
          <w:p>
            <w:pPr>
              <w:pStyle w:val="yTable"/>
            </w:pPr>
            <w:r>
              <w:rPr>
                <w:sz w:val="20"/>
              </w:rPr>
              <w:t>83.00</w:t>
            </w:r>
          </w:p>
        </w:tc>
      </w:tr>
      <w:tr>
        <w:trPr>
          <w:gridBefore w:val="1"/>
          <w:gridAfter w:val="1"/>
          <w:wBefore w:w="212" w:type="dxa"/>
          <w:wAfter w:w="14" w:type="dxa"/>
        </w:trPr>
        <w:tc>
          <w:tcPr>
            <w:tcW w:w="720" w:type="dxa"/>
            <w:gridSpan w:val="2"/>
          </w:tcPr>
          <w:p>
            <w:pPr>
              <w:pStyle w:val="zytable"/>
              <w:ind w:left="0"/>
              <w:rPr>
                <w:sz w:val="20"/>
              </w:rPr>
            </w:pPr>
          </w:p>
        </w:tc>
        <w:tc>
          <w:tcPr>
            <w:tcW w:w="5040" w:type="dxa"/>
          </w:tcPr>
          <w:p>
            <w:pPr>
              <w:pStyle w:val="yTable"/>
              <w:tabs>
                <w:tab w:val="left" w:pos="459"/>
              </w:tabs>
              <w:ind w:left="459" w:hanging="459"/>
            </w:pPr>
            <w:r>
              <w:rPr>
                <w:sz w:val="20"/>
              </w:rPr>
              <w:t>(b)</w:t>
            </w:r>
            <w:r>
              <w:rPr>
                <w:sz w:val="20"/>
              </w:rPr>
              <w:tab/>
              <w:t>for conveying the person to a court or a custodial place and releasing the person from arrest or custody .</w:t>
            </w:r>
          </w:p>
        </w:tc>
        <w:tc>
          <w:tcPr>
            <w:tcW w:w="1088" w:type="dxa"/>
          </w:tcPr>
          <w:p>
            <w:pPr>
              <w:pStyle w:val="yTable"/>
            </w:pPr>
            <w:r>
              <w:rPr>
                <w:sz w:val="20"/>
              </w:rPr>
              <w:br/>
              <w:t>83.00</w:t>
            </w:r>
          </w:p>
        </w:tc>
      </w:tr>
      <w:tr>
        <w:trPr>
          <w:gridBefore w:val="1"/>
          <w:gridAfter w:val="1"/>
          <w:wBefore w:w="212" w:type="dxa"/>
          <w:wAfter w:w="14" w:type="dxa"/>
        </w:trPr>
        <w:tc>
          <w:tcPr>
            <w:tcW w:w="720" w:type="dxa"/>
            <w:gridSpan w:val="2"/>
          </w:tcPr>
          <w:p>
            <w:pPr>
              <w:pStyle w:val="zytable"/>
              <w:ind w:left="0"/>
              <w:rPr>
                <w:sz w:val="20"/>
              </w:rPr>
            </w:pPr>
          </w:p>
        </w:tc>
        <w:tc>
          <w:tcPr>
            <w:tcW w:w="5040" w:type="dxa"/>
          </w:tcPr>
          <w:p>
            <w:pPr>
              <w:pStyle w:val="yTable"/>
              <w:tabs>
                <w:tab w:val="left" w:pos="459"/>
              </w:tabs>
              <w:ind w:left="459" w:hanging="459"/>
            </w:pPr>
            <w:r>
              <w:rPr>
                <w:sz w:val="20"/>
              </w:rPr>
              <w:t>(c)</w:t>
            </w:r>
            <w:r>
              <w:rPr>
                <w:sz w:val="20"/>
              </w:rPr>
              <w:tab/>
              <w:t>for each 30 minutes after 2 hours and 30 minutes that an enforcement officer is required to keep the person in custody until the person is conveyed to a court or a custodial place ..............................................................</w:t>
            </w:r>
          </w:p>
        </w:tc>
        <w:tc>
          <w:tcPr>
            <w:tcW w:w="1088" w:type="dxa"/>
          </w:tcPr>
          <w:p>
            <w:pPr>
              <w:pStyle w:val="yTable"/>
            </w:pPr>
            <w:r>
              <w:rPr>
                <w:sz w:val="20"/>
              </w:rPr>
              <w:br/>
            </w:r>
            <w:r>
              <w:rPr>
                <w:sz w:val="20"/>
              </w:rPr>
              <w:br/>
            </w:r>
            <w:r>
              <w:rPr>
                <w:sz w:val="20"/>
              </w:rPr>
              <w:br/>
              <w:t>22.00</w:t>
            </w:r>
          </w:p>
        </w:tc>
      </w:tr>
      <w:tr>
        <w:trPr>
          <w:gridBefore w:val="1"/>
          <w:gridAfter w:val="1"/>
          <w:wBefore w:w="212" w:type="dxa"/>
          <w:wAfter w:w="14" w:type="dxa"/>
          <w:cantSplit/>
        </w:trPr>
        <w:tc>
          <w:tcPr>
            <w:tcW w:w="6848" w:type="dxa"/>
            <w:gridSpan w:val="4"/>
          </w:tcPr>
          <w:p>
            <w:pPr>
              <w:pStyle w:val="yTable"/>
              <w:rPr>
                <w:sz w:val="16"/>
              </w:rPr>
            </w:pPr>
            <w:r>
              <w:rPr>
                <w:sz w:val="16"/>
              </w:rPr>
              <w:t>NOTE 1</w:t>
            </w:r>
          </w:p>
          <w:p>
            <w:pPr>
              <w:pStyle w:val="yTable"/>
              <w:spacing w:after="60"/>
              <w:rPr>
                <w:sz w:val="16"/>
              </w:rPr>
            </w:pPr>
            <w:r>
              <w:rPr>
                <w:sz w:val="16"/>
              </w:rPr>
              <w:t>The fee under paragraph (a) is payable whether or not the Sheriff’s functions under the warrant are performed and includes up to 3 attempts to perform the functions at the same address.</w:t>
            </w:r>
          </w:p>
        </w:tc>
      </w:tr>
      <w:tr>
        <w:trPr>
          <w:gridBefore w:val="1"/>
          <w:gridAfter w:val="1"/>
          <w:wBefore w:w="212" w:type="dxa"/>
          <w:wAfter w:w="14" w:type="dxa"/>
          <w:cantSplit/>
        </w:trPr>
        <w:tc>
          <w:tcPr>
            <w:tcW w:w="6848" w:type="dxa"/>
            <w:gridSpan w:val="4"/>
          </w:tcPr>
          <w:p>
            <w:pPr>
              <w:pStyle w:val="yTable"/>
              <w:rPr>
                <w:sz w:val="16"/>
              </w:rPr>
            </w:pPr>
            <w:r>
              <w:rPr>
                <w:sz w:val="16"/>
              </w:rPr>
              <w:t>NOTE 2</w:t>
            </w:r>
          </w:p>
          <w:p>
            <w:pPr>
              <w:pStyle w:val="yTable"/>
              <w:rPr>
                <w:sz w:val="16"/>
              </w:rPr>
            </w:pPr>
            <w:r>
              <w:rPr>
                <w:sz w:val="16"/>
              </w:rPr>
              <w:t xml:space="preserve">The fee under paragraph (a) includes — </w:t>
            </w:r>
          </w:p>
          <w:p>
            <w:pPr>
              <w:pStyle w:val="yTable"/>
              <w:tabs>
                <w:tab w:val="left" w:pos="459"/>
              </w:tabs>
              <w:spacing w:before="0"/>
              <w:rPr>
                <w:sz w:val="16"/>
              </w:rPr>
            </w:pPr>
            <w:r>
              <w:rPr>
                <w:sz w:val="16"/>
              </w:rPr>
              <w:t>(a)</w:t>
            </w:r>
            <w:r>
              <w:rPr>
                <w:sz w:val="16"/>
              </w:rPr>
              <w:tab/>
              <w:t>receipt of the warrant; and</w:t>
            </w:r>
          </w:p>
          <w:p>
            <w:pPr>
              <w:pStyle w:val="yTable"/>
              <w:tabs>
                <w:tab w:val="left" w:pos="459"/>
              </w:tabs>
              <w:spacing w:before="0"/>
              <w:rPr>
                <w:sz w:val="16"/>
              </w:rPr>
            </w:pPr>
            <w:r>
              <w:rPr>
                <w:sz w:val="16"/>
              </w:rPr>
              <w:t>(b)</w:t>
            </w:r>
            <w:r>
              <w:rPr>
                <w:sz w:val="16"/>
              </w:rPr>
              <w:tab/>
              <w:t>attendances and inquiries before attempting arrest; and</w:t>
            </w:r>
          </w:p>
          <w:p>
            <w:pPr>
              <w:pStyle w:val="yTable"/>
              <w:tabs>
                <w:tab w:val="left" w:pos="459"/>
              </w:tabs>
              <w:spacing w:before="0"/>
              <w:rPr>
                <w:sz w:val="16"/>
              </w:rPr>
            </w:pPr>
            <w:r>
              <w:rPr>
                <w:sz w:val="16"/>
              </w:rPr>
              <w:t>(c)</w:t>
            </w:r>
            <w:r>
              <w:rPr>
                <w:sz w:val="16"/>
              </w:rPr>
              <w:tab/>
              <w:t>giving any notice; and</w:t>
            </w:r>
          </w:p>
          <w:p>
            <w:pPr>
              <w:pStyle w:val="yTable"/>
              <w:tabs>
                <w:tab w:val="left" w:pos="459"/>
              </w:tabs>
              <w:spacing w:before="0" w:after="60"/>
              <w:rPr>
                <w:sz w:val="16"/>
              </w:rPr>
            </w:pPr>
            <w:r>
              <w:rPr>
                <w:sz w:val="16"/>
              </w:rPr>
              <w:t>(d)</w:t>
            </w:r>
            <w:r>
              <w:rPr>
                <w:sz w:val="16"/>
              </w:rPr>
              <w:tab/>
              <w:t>making any report.</w:t>
            </w:r>
          </w:p>
        </w:tc>
      </w:tr>
      <w:tr>
        <w:trPr>
          <w:gridBefore w:val="1"/>
          <w:wBefore w:w="212" w:type="dxa"/>
          <w:cantSplit/>
        </w:trPr>
        <w:tc>
          <w:tcPr>
            <w:tcW w:w="720" w:type="dxa"/>
            <w:gridSpan w:val="2"/>
            <w:tcBorders>
              <w:bottom w:val="single" w:sz="4" w:space="0" w:color="auto"/>
            </w:tcBorders>
          </w:tcPr>
          <w:p>
            <w:pPr>
              <w:pStyle w:val="yTable"/>
              <w:rPr>
                <w:sz w:val="20"/>
              </w:rPr>
            </w:pPr>
            <w:r>
              <w:rPr>
                <w:sz w:val="20"/>
              </w:rPr>
              <w:t>3.</w:t>
            </w:r>
          </w:p>
        </w:tc>
        <w:tc>
          <w:tcPr>
            <w:tcW w:w="5040" w:type="dxa"/>
            <w:tcBorders>
              <w:bottom w:val="single" w:sz="4" w:space="0" w:color="auto"/>
            </w:tcBorders>
          </w:tcPr>
          <w:p>
            <w:pPr>
              <w:pStyle w:val="yTable"/>
              <w:spacing w:after="20"/>
              <w:ind w:right="-28"/>
              <w:rPr>
                <w:sz w:val="20"/>
              </w:rPr>
            </w:pPr>
            <w:r>
              <w:rPr>
                <w:sz w:val="20"/>
              </w:rPr>
              <w:t>For an application for an extraordinary drivers licence .........</w:t>
            </w:r>
          </w:p>
        </w:tc>
        <w:tc>
          <w:tcPr>
            <w:tcW w:w="1102" w:type="dxa"/>
            <w:gridSpan w:val="2"/>
            <w:tcBorders>
              <w:bottom w:val="single" w:sz="4" w:space="0" w:color="auto"/>
            </w:tcBorders>
          </w:tcPr>
          <w:p>
            <w:pPr>
              <w:pStyle w:val="yTable"/>
              <w:jc w:val="center"/>
              <w:rPr>
                <w:sz w:val="20"/>
              </w:rPr>
            </w:pPr>
            <w:r>
              <w:rPr>
                <w:sz w:val="20"/>
              </w:rPr>
              <w:t>158.50</w:t>
            </w:r>
          </w:p>
        </w:tc>
      </w:tr>
    </w:tbl>
    <w:p>
      <w:pPr>
        <w:pStyle w:val="yFootnotesection"/>
      </w:pPr>
      <w:bookmarkStart w:id="142" w:name="_Toc96756239"/>
      <w:bookmarkStart w:id="143" w:name="_Toc100634725"/>
      <w:r>
        <w:tab/>
        <w:t>[Division 2 amended in Gazette 30 Aug 2005 p. 4054; 23 Jun 2006 p. 2183; 26 Jun 2007 p. 3041; 27 Jun 2008 p. 3071; 9 Jun 2009 p. 1925; 4 Sep 2009 p. 3484-5; 8 Mar 2011 p. 792.]</w:t>
      </w:r>
    </w:p>
    <w:p>
      <w:pPr>
        <w:pStyle w:val="yHeading3"/>
        <w:keepLines/>
        <w:pageBreakBefore/>
        <w:spacing w:after="240"/>
      </w:pPr>
      <w:bookmarkStart w:id="144" w:name="_Toc138836664"/>
      <w:bookmarkStart w:id="145" w:name="_Toc138836732"/>
      <w:bookmarkStart w:id="146" w:name="_Toc139270569"/>
      <w:bookmarkStart w:id="147" w:name="_Toc171051336"/>
      <w:bookmarkStart w:id="148" w:name="_Toc193167426"/>
      <w:bookmarkStart w:id="149" w:name="_Toc202585852"/>
      <w:bookmarkStart w:id="150" w:name="_Toc203278493"/>
      <w:bookmarkStart w:id="151" w:name="_Toc203278682"/>
      <w:bookmarkStart w:id="152" w:name="_Toc207427464"/>
      <w:bookmarkStart w:id="153" w:name="_Toc207512135"/>
      <w:bookmarkStart w:id="154" w:name="_Toc207513780"/>
      <w:bookmarkStart w:id="155" w:name="_Toc209501441"/>
      <w:bookmarkStart w:id="156" w:name="_Toc232308351"/>
      <w:bookmarkStart w:id="157" w:name="_Toc239753843"/>
      <w:bookmarkStart w:id="158" w:name="_Toc287361831"/>
      <w:r>
        <w:rPr>
          <w:rStyle w:val="CharSDivNo"/>
        </w:rPr>
        <w:t>Division 3</w:t>
      </w:r>
      <w:r>
        <w:rPr>
          <w:b w:val="0"/>
        </w:rPr>
        <w:t> — </w:t>
      </w:r>
      <w:r>
        <w:rPr>
          <w:rStyle w:val="CharSDivText"/>
        </w:rPr>
        <w:t>Criminal jurisdiction</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tbl>
      <w:tblPr>
        <w:tblW w:w="0" w:type="auto"/>
        <w:tblInd w:w="392" w:type="dxa"/>
        <w:tblLayout w:type="fixed"/>
        <w:tblLook w:val="0000" w:firstRow="0" w:lastRow="0" w:firstColumn="0" w:lastColumn="0" w:noHBand="0" w:noVBand="0"/>
      </w:tblPr>
      <w:tblGrid>
        <w:gridCol w:w="850"/>
        <w:gridCol w:w="4866"/>
        <w:gridCol w:w="1088"/>
      </w:tblGrid>
      <w:tr>
        <w:trPr>
          <w:cantSplit/>
          <w:tblHeader/>
        </w:trPr>
        <w:tc>
          <w:tcPr>
            <w:tcW w:w="850" w:type="dxa"/>
            <w:tcBorders>
              <w:top w:val="single" w:sz="4" w:space="0" w:color="auto"/>
              <w:bottom w:val="single" w:sz="4" w:space="0" w:color="auto"/>
            </w:tcBorders>
          </w:tcPr>
          <w:p>
            <w:pPr>
              <w:pStyle w:val="yTable"/>
              <w:keepNext/>
              <w:keepLines/>
              <w:ind w:right="-108"/>
              <w:jc w:val="center"/>
              <w:rPr>
                <w:b/>
                <w:sz w:val="20"/>
              </w:rPr>
            </w:pPr>
            <w:r>
              <w:rPr>
                <w:b/>
                <w:sz w:val="20"/>
              </w:rPr>
              <w:t>Item</w:t>
            </w:r>
          </w:p>
        </w:tc>
        <w:tc>
          <w:tcPr>
            <w:tcW w:w="4866" w:type="dxa"/>
            <w:tcBorders>
              <w:top w:val="single" w:sz="4" w:space="0" w:color="auto"/>
              <w:bottom w:val="single" w:sz="4" w:space="0" w:color="auto"/>
            </w:tcBorders>
          </w:tcPr>
          <w:p>
            <w:pPr>
              <w:pStyle w:val="yTable"/>
              <w:keepNext/>
              <w:keepLines/>
              <w:jc w:val="center"/>
              <w:rPr>
                <w:b/>
                <w:sz w:val="20"/>
              </w:rPr>
            </w:pPr>
            <w:r>
              <w:rPr>
                <w:b/>
                <w:sz w:val="20"/>
              </w:rPr>
              <w:t>Matter</w:t>
            </w:r>
          </w:p>
        </w:tc>
        <w:tc>
          <w:tcPr>
            <w:tcW w:w="1088" w:type="dxa"/>
            <w:tcBorders>
              <w:top w:val="single" w:sz="4" w:space="0" w:color="auto"/>
              <w:bottom w:val="single" w:sz="4" w:space="0" w:color="auto"/>
            </w:tcBorders>
          </w:tcPr>
          <w:p>
            <w:pPr>
              <w:pStyle w:val="yTable"/>
              <w:keepNext/>
              <w:keepLines/>
              <w:jc w:val="center"/>
              <w:rPr>
                <w:b/>
                <w:sz w:val="20"/>
              </w:rPr>
            </w:pPr>
            <w:r>
              <w:rPr>
                <w:b/>
                <w:sz w:val="20"/>
              </w:rPr>
              <w:t>$</w:t>
            </w:r>
          </w:p>
        </w:tc>
      </w:tr>
      <w:tr>
        <w:trPr>
          <w:cantSplit/>
        </w:trPr>
        <w:tc>
          <w:tcPr>
            <w:tcW w:w="850" w:type="dxa"/>
          </w:tcPr>
          <w:p>
            <w:pPr>
              <w:pStyle w:val="yTable"/>
              <w:jc w:val="center"/>
              <w:rPr>
                <w:sz w:val="20"/>
              </w:rPr>
            </w:pPr>
            <w:r>
              <w:rPr>
                <w:sz w:val="20"/>
              </w:rPr>
              <w:t>1.</w:t>
            </w:r>
          </w:p>
        </w:tc>
        <w:tc>
          <w:tcPr>
            <w:tcW w:w="4866" w:type="dxa"/>
          </w:tcPr>
          <w:p>
            <w:pPr>
              <w:pStyle w:val="yTable"/>
              <w:keepNext/>
              <w:keepLines/>
              <w:rPr>
                <w:sz w:val="20"/>
              </w:rPr>
            </w:pPr>
            <w:r>
              <w:rPr>
                <w:sz w:val="20"/>
              </w:rPr>
              <w:t xml:space="preserve">On filing — </w:t>
            </w:r>
          </w:p>
        </w:tc>
        <w:tc>
          <w:tcPr>
            <w:tcW w:w="1088" w:type="dxa"/>
          </w:tcPr>
          <w:p>
            <w:pPr>
              <w:pStyle w:val="yTable"/>
              <w:keepNext/>
              <w:keepLines/>
              <w:jc w:val="center"/>
              <w:rPr>
                <w:sz w:val="20"/>
              </w:rPr>
            </w:pPr>
          </w:p>
        </w:tc>
      </w:tr>
      <w:tr>
        <w:trPr>
          <w:cantSplit/>
        </w:trPr>
        <w:tc>
          <w:tcPr>
            <w:tcW w:w="850" w:type="dxa"/>
          </w:tcPr>
          <w:p>
            <w:pPr>
              <w:pStyle w:val="yTable"/>
              <w:jc w:val="center"/>
              <w:rPr>
                <w:sz w:val="20"/>
              </w:rPr>
            </w:pPr>
          </w:p>
        </w:tc>
        <w:tc>
          <w:tcPr>
            <w:tcW w:w="4866" w:type="dxa"/>
          </w:tcPr>
          <w:p>
            <w:pPr>
              <w:pStyle w:val="yTable"/>
              <w:keepNext/>
              <w:keepLines/>
              <w:tabs>
                <w:tab w:val="left" w:pos="459"/>
              </w:tabs>
              <w:ind w:left="459" w:hanging="459"/>
              <w:rPr>
                <w:sz w:val="20"/>
              </w:rPr>
            </w:pPr>
            <w:r>
              <w:rPr>
                <w:sz w:val="20"/>
              </w:rPr>
              <w:t>(a)</w:t>
            </w:r>
            <w:r>
              <w:rPr>
                <w:sz w:val="20"/>
              </w:rPr>
              <w:tab/>
              <w:t>a prosecution notice;</w:t>
            </w:r>
          </w:p>
        </w:tc>
        <w:tc>
          <w:tcPr>
            <w:tcW w:w="1088" w:type="dxa"/>
          </w:tcPr>
          <w:p>
            <w:pPr>
              <w:pStyle w:val="yTable"/>
              <w:keepNext/>
              <w:keepLines/>
              <w:jc w:val="center"/>
              <w:rPr>
                <w:sz w:val="20"/>
              </w:rPr>
            </w:pPr>
          </w:p>
        </w:tc>
      </w:tr>
      <w:tr>
        <w:trPr>
          <w:cantSplit/>
        </w:trPr>
        <w:tc>
          <w:tcPr>
            <w:tcW w:w="850" w:type="dxa"/>
          </w:tcPr>
          <w:p>
            <w:pPr>
              <w:pStyle w:val="yTable"/>
              <w:jc w:val="center"/>
              <w:rPr>
                <w:sz w:val="20"/>
              </w:rPr>
            </w:pPr>
          </w:p>
        </w:tc>
        <w:tc>
          <w:tcPr>
            <w:tcW w:w="4866" w:type="dxa"/>
          </w:tcPr>
          <w:p>
            <w:pPr>
              <w:pStyle w:val="yTable"/>
              <w:keepNext/>
              <w:keepLines/>
              <w:tabs>
                <w:tab w:val="left" w:pos="459"/>
              </w:tabs>
              <w:ind w:left="459" w:hanging="459"/>
              <w:rPr>
                <w:sz w:val="20"/>
              </w:rPr>
            </w:pPr>
            <w:r>
              <w:rPr>
                <w:sz w:val="20"/>
              </w:rPr>
              <w:t>(b)</w:t>
            </w:r>
            <w:r>
              <w:rPr>
                <w:sz w:val="20"/>
              </w:rPr>
              <w:tab/>
              <w:t xml:space="preserve">an application under the </w:t>
            </w:r>
            <w:r>
              <w:rPr>
                <w:i/>
                <w:sz w:val="20"/>
              </w:rPr>
              <w:t>Criminal Procedure Act 2004</w:t>
            </w:r>
            <w:r>
              <w:rPr>
                <w:sz w:val="20"/>
              </w:rPr>
              <w:t xml:space="preserve"> section 71 ...................................................</w:t>
            </w:r>
          </w:p>
        </w:tc>
        <w:tc>
          <w:tcPr>
            <w:tcW w:w="1088" w:type="dxa"/>
          </w:tcPr>
          <w:p>
            <w:pPr>
              <w:pStyle w:val="yTable"/>
              <w:keepNext/>
              <w:keepLines/>
              <w:jc w:val="center"/>
              <w:rPr>
                <w:sz w:val="20"/>
              </w:rPr>
            </w:pPr>
            <w:r>
              <w:rPr>
                <w:sz w:val="20"/>
              </w:rPr>
              <w:br/>
              <w:t>64.00</w:t>
            </w:r>
          </w:p>
        </w:tc>
      </w:tr>
      <w:tr>
        <w:trPr>
          <w:cantSplit/>
        </w:trPr>
        <w:tc>
          <w:tcPr>
            <w:tcW w:w="850" w:type="dxa"/>
          </w:tcPr>
          <w:p>
            <w:pPr>
              <w:pStyle w:val="yTable"/>
              <w:jc w:val="center"/>
              <w:rPr>
                <w:sz w:val="20"/>
              </w:rPr>
            </w:pPr>
            <w:r>
              <w:rPr>
                <w:sz w:val="20"/>
              </w:rPr>
              <w:t>2.</w:t>
            </w:r>
          </w:p>
        </w:tc>
        <w:tc>
          <w:tcPr>
            <w:tcW w:w="4866" w:type="dxa"/>
          </w:tcPr>
          <w:p>
            <w:pPr>
              <w:pStyle w:val="yTable"/>
              <w:rPr>
                <w:sz w:val="20"/>
              </w:rPr>
            </w:pPr>
            <w:r>
              <w:rPr>
                <w:sz w:val="20"/>
              </w:rPr>
              <w:t>For the issue of a summons or court hearing notice to an accused ...............................................................................</w:t>
            </w:r>
          </w:p>
        </w:tc>
        <w:tc>
          <w:tcPr>
            <w:tcW w:w="1088" w:type="dxa"/>
          </w:tcPr>
          <w:p>
            <w:pPr>
              <w:pStyle w:val="yTable"/>
              <w:jc w:val="center"/>
              <w:rPr>
                <w:sz w:val="20"/>
              </w:rPr>
            </w:pPr>
            <w:r>
              <w:rPr>
                <w:sz w:val="20"/>
              </w:rPr>
              <w:br/>
              <w:t>12.25</w:t>
            </w:r>
          </w:p>
        </w:tc>
      </w:tr>
      <w:tr>
        <w:trPr>
          <w:cantSplit/>
        </w:trPr>
        <w:tc>
          <w:tcPr>
            <w:tcW w:w="850" w:type="dxa"/>
            <w:tcBorders>
              <w:bottom w:val="single" w:sz="4" w:space="0" w:color="auto"/>
            </w:tcBorders>
          </w:tcPr>
          <w:p>
            <w:pPr>
              <w:pStyle w:val="yTable"/>
              <w:jc w:val="center"/>
              <w:rPr>
                <w:sz w:val="20"/>
              </w:rPr>
            </w:pPr>
            <w:r>
              <w:rPr>
                <w:sz w:val="20"/>
              </w:rPr>
              <w:t>3.</w:t>
            </w:r>
          </w:p>
        </w:tc>
        <w:tc>
          <w:tcPr>
            <w:tcW w:w="4866" w:type="dxa"/>
            <w:tcBorders>
              <w:bottom w:val="single" w:sz="4" w:space="0" w:color="auto"/>
            </w:tcBorders>
          </w:tcPr>
          <w:p>
            <w:pPr>
              <w:pStyle w:val="yTable"/>
              <w:rPr>
                <w:sz w:val="20"/>
              </w:rPr>
            </w:pPr>
            <w:r>
              <w:rPr>
                <w:sz w:val="20"/>
              </w:rPr>
              <w:t xml:space="preserve">For a warrant of any kind — </w:t>
            </w:r>
          </w:p>
          <w:p>
            <w:pPr>
              <w:pStyle w:val="yTable"/>
              <w:tabs>
                <w:tab w:val="left" w:pos="459"/>
              </w:tabs>
              <w:ind w:left="513" w:hanging="513"/>
              <w:rPr>
                <w:sz w:val="20"/>
              </w:rPr>
            </w:pPr>
            <w:r>
              <w:rPr>
                <w:sz w:val="20"/>
              </w:rPr>
              <w:t>(a)</w:t>
            </w:r>
            <w:r>
              <w:rPr>
                <w:sz w:val="20"/>
              </w:rPr>
              <w:tab/>
              <w:t>issue of it ...................................................................</w:t>
            </w:r>
          </w:p>
          <w:p>
            <w:pPr>
              <w:pStyle w:val="yTable"/>
              <w:tabs>
                <w:tab w:val="left" w:pos="459"/>
              </w:tabs>
              <w:ind w:left="513" w:hanging="513"/>
              <w:rPr>
                <w:sz w:val="20"/>
              </w:rPr>
            </w:pPr>
            <w:r>
              <w:rPr>
                <w:sz w:val="20"/>
              </w:rPr>
              <w:t>(b)</w:t>
            </w:r>
            <w:r>
              <w:rPr>
                <w:sz w:val="20"/>
              </w:rPr>
              <w:tab/>
              <w:t>execution of it ...........................................................</w:t>
            </w:r>
          </w:p>
        </w:tc>
        <w:tc>
          <w:tcPr>
            <w:tcW w:w="1088" w:type="dxa"/>
            <w:tcBorders>
              <w:bottom w:val="single" w:sz="4" w:space="0" w:color="auto"/>
            </w:tcBorders>
          </w:tcPr>
          <w:p>
            <w:pPr>
              <w:pStyle w:val="yTable"/>
              <w:jc w:val="center"/>
              <w:rPr>
                <w:sz w:val="20"/>
              </w:rPr>
            </w:pPr>
          </w:p>
          <w:p>
            <w:pPr>
              <w:pStyle w:val="yTable"/>
              <w:jc w:val="center"/>
              <w:rPr>
                <w:sz w:val="20"/>
              </w:rPr>
            </w:pPr>
            <w:r>
              <w:rPr>
                <w:sz w:val="20"/>
              </w:rPr>
              <w:t>64.00</w:t>
            </w:r>
          </w:p>
          <w:p>
            <w:pPr>
              <w:pStyle w:val="yTable"/>
              <w:jc w:val="center"/>
              <w:rPr>
                <w:sz w:val="20"/>
              </w:rPr>
            </w:pPr>
            <w:r>
              <w:rPr>
                <w:sz w:val="20"/>
              </w:rPr>
              <w:t>83.00</w:t>
            </w:r>
          </w:p>
        </w:tc>
      </w:tr>
    </w:tbl>
    <w:p>
      <w:pPr>
        <w:pStyle w:val="yFootnotesection"/>
      </w:pPr>
      <w:bookmarkStart w:id="159" w:name="_Toc100634726"/>
      <w:r>
        <w:tab/>
        <w:t>[Division 3 amended in Gazette 23 Jun 2006 p. 2183; 26 Jun 2007 p. 3041; 27 Jun 2008 p. 3072; 4 Sep 2009 p. 3484</w:t>
      </w:r>
      <w:r>
        <w:noBreakHyphen/>
        <w:t>5; 8 Mar 2011 p. 792.]</w:t>
      </w:r>
    </w:p>
    <w:p>
      <w:pPr>
        <w:pStyle w:val="yScheduleHeading"/>
        <w:sectPr>
          <w:headerReference w:type="even" r:id="rId26"/>
          <w:headerReference w:type="default" r:id="rId27"/>
          <w:endnotePr>
            <w:numFmt w:val="decimal"/>
          </w:endnotePr>
          <w:pgSz w:w="11906" w:h="16838" w:code="9"/>
          <w:pgMar w:top="2376" w:right="2405" w:bottom="3542" w:left="2405" w:header="706" w:footer="3380" w:gutter="0"/>
          <w:cols w:space="720"/>
          <w:noEndnote/>
          <w:docGrid w:linePitch="326"/>
        </w:sectPr>
      </w:pPr>
      <w:bookmarkStart w:id="160" w:name="_Toc138836665"/>
      <w:bookmarkStart w:id="161" w:name="_Toc138836733"/>
      <w:bookmarkStart w:id="162" w:name="_Toc139270570"/>
      <w:bookmarkStart w:id="163" w:name="_Toc171051337"/>
    </w:p>
    <w:p>
      <w:pPr>
        <w:pStyle w:val="yScheduleHeading"/>
      </w:pPr>
      <w:bookmarkStart w:id="164" w:name="_Toc193167427"/>
      <w:bookmarkStart w:id="165" w:name="_Toc202585853"/>
      <w:bookmarkStart w:id="166" w:name="_Toc203278494"/>
      <w:bookmarkStart w:id="167" w:name="_Toc203278683"/>
      <w:bookmarkStart w:id="168" w:name="_Toc207427465"/>
      <w:bookmarkStart w:id="169" w:name="_Toc207512136"/>
      <w:bookmarkStart w:id="170" w:name="_Toc207513781"/>
      <w:bookmarkStart w:id="171" w:name="_Toc209501442"/>
      <w:bookmarkStart w:id="172" w:name="_Toc232308352"/>
      <w:bookmarkStart w:id="173" w:name="_Toc239753844"/>
      <w:bookmarkStart w:id="174" w:name="_Toc287361832"/>
      <w:r>
        <w:rPr>
          <w:rStyle w:val="CharSchNo"/>
        </w:rPr>
        <w:t>Schedule 2</w:t>
      </w:r>
      <w:r>
        <w:rPr>
          <w:rStyle w:val="CharSDivNo"/>
        </w:rPr>
        <w:t> </w:t>
      </w:r>
      <w:r>
        <w:t>—</w:t>
      </w:r>
      <w:r>
        <w:rPr>
          <w:rStyle w:val="CharSDivText"/>
        </w:rPr>
        <w:t> </w:t>
      </w:r>
      <w:r>
        <w:rPr>
          <w:rStyle w:val="CharSchText"/>
        </w:rPr>
        <w:t>Forms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yShoulderClause"/>
      </w:pPr>
      <w:r>
        <w:t>[r. 8(6), 10(2)]</w:t>
      </w:r>
    </w:p>
    <w:p>
      <w:pPr>
        <w:pStyle w:val="yHeading5"/>
        <w:spacing w:after="120"/>
      </w:pPr>
      <w:bookmarkStart w:id="175" w:name="_Toc96398511"/>
      <w:bookmarkStart w:id="176" w:name="_Toc100634727"/>
      <w:bookmarkStart w:id="177" w:name="_Toc138836666"/>
      <w:bookmarkStart w:id="178" w:name="_Toc207512137"/>
      <w:bookmarkStart w:id="179" w:name="_Toc287361833"/>
      <w:r>
        <w:t>1.</w:t>
      </w:r>
      <w:r>
        <w:tab/>
        <w:t>Application to remit fees</w:t>
      </w:r>
      <w:bookmarkEnd w:id="175"/>
      <w:bookmarkEnd w:id="176"/>
      <w:bookmarkEnd w:id="177"/>
      <w:bookmarkEnd w:id="178"/>
      <w:bookmarkEnd w:id="179"/>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489"/>
        <w:gridCol w:w="992"/>
      </w:tblGrid>
      <w:tr>
        <w:tc>
          <w:tcPr>
            <w:tcW w:w="6804" w:type="dxa"/>
            <w:gridSpan w:val="7"/>
          </w:tcPr>
          <w:p>
            <w:pPr>
              <w:pStyle w:val="yTable"/>
              <w:jc w:val="center"/>
              <w:rPr>
                <w:b/>
              </w:rPr>
            </w:pPr>
            <w:r>
              <w:rPr>
                <w:b/>
              </w:rPr>
              <w:t>Form 1</w:t>
            </w:r>
          </w:p>
          <w:p>
            <w:pPr>
              <w:pStyle w:val="yTable"/>
              <w:jc w:val="center"/>
              <w:rPr>
                <w:b/>
              </w:rPr>
            </w:pPr>
            <w:r>
              <w:rPr>
                <w:b/>
                <w:i/>
              </w:rPr>
              <w:t>Children’s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Children’s Court of Western Australia</w:t>
            </w:r>
          </w:p>
        </w:tc>
        <w:tc>
          <w:tcPr>
            <w:tcW w:w="3189" w:type="dxa"/>
            <w:gridSpan w:val="4"/>
          </w:tcPr>
          <w:p>
            <w:pPr>
              <w:pStyle w:val="yTable"/>
            </w:pPr>
            <w:r>
              <w:t>No.         of  2    </w:t>
            </w:r>
          </w:p>
        </w:tc>
      </w:tr>
      <w:tr>
        <w:trPr>
          <w:cantSplit/>
          <w:trHeight w:val="433"/>
        </w:trPr>
        <w:tc>
          <w:tcPr>
            <w:tcW w:w="1701" w:type="dxa"/>
            <w:vMerge w:val="restart"/>
          </w:tcPr>
          <w:p>
            <w:pPr>
              <w:pStyle w:val="yTable"/>
              <w:rPr>
                <w:b/>
              </w:rPr>
            </w:pPr>
            <w:r>
              <w:rPr>
                <w:b/>
              </w:rPr>
              <w:t>Applicant:</w:t>
            </w:r>
          </w:p>
        </w:tc>
        <w:tc>
          <w:tcPr>
            <w:tcW w:w="5103" w:type="dxa"/>
            <w:gridSpan w:val="6"/>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6"/>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2"/>
          </w:tcPr>
          <w:p>
            <w:pPr>
              <w:pStyle w:val="yTable"/>
            </w:pPr>
            <w:r>
              <w:t>......................................</w:t>
            </w:r>
          </w:p>
          <w:p>
            <w:pPr>
              <w:pStyle w:val="yTable"/>
              <w:spacing w:before="0"/>
            </w:pPr>
            <w:r>
              <w:t>MDL No.</w:t>
            </w:r>
          </w:p>
        </w:tc>
      </w:tr>
      <w:tr>
        <w:trPr>
          <w:cantSplit/>
          <w:trHeight w:val="431"/>
        </w:trPr>
        <w:tc>
          <w:tcPr>
            <w:tcW w:w="6804" w:type="dxa"/>
            <w:gridSpan w:val="7"/>
          </w:tcPr>
          <w:p>
            <w:pPr>
              <w:pStyle w:val="yTable"/>
            </w:pPr>
            <w:r>
              <w:t>The following reason is the reason</w:t>
            </w:r>
            <w:r>
              <w:rPr>
                <w:vertAlign w:val="superscript"/>
              </w:rPr>
              <w:t>1</w:t>
            </w:r>
            <w:r>
              <w:t xml:space="preserve"> for applying to have the above fee waived/ reduced/ refunded/ deferred*.</w:t>
            </w:r>
          </w:p>
          <w:p>
            <w:pPr>
              <w:pStyle w:val="yTable"/>
            </w:pPr>
            <w:r>
              <w:t>.....................................................................................................................</w:t>
            </w:r>
          </w:p>
          <w:p>
            <w:pPr>
              <w:pStyle w:val="yTable"/>
            </w:pPr>
            <w:r>
              <w:t>.....................................................................................................................</w:t>
            </w:r>
          </w:p>
          <w:p>
            <w:pPr>
              <w:pStyle w:val="yTable"/>
            </w:pPr>
            <w:r>
              <w:t>.....................................................................................................................</w:t>
            </w:r>
          </w:p>
          <w:p>
            <w:pPr>
              <w:pStyle w:val="yTable"/>
            </w:pPr>
            <w:r>
              <w:t>.....................................................................................................................</w:t>
            </w:r>
          </w:p>
          <w:p>
            <w:pPr>
              <w:pStyle w:val="yTable"/>
              <w:tabs>
                <w:tab w:val="left" w:pos="459"/>
              </w:tabs>
              <w:rPr>
                <w:i/>
                <w:sz w:val="16"/>
              </w:rPr>
            </w:pPr>
            <w:r>
              <w:rPr>
                <w:iCs/>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7"/>
          </w:tcPr>
          <w:p>
            <w:pPr>
              <w:pStyle w:val="yTable"/>
            </w:pPr>
            <w:r>
              <w:t xml:space="preserve">If the reason is that it is in the interests of justice to do so, why is that so? </w:t>
            </w:r>
          </w:p>
          <w:p>
            <w:pPr>
              <w:pStyle w:val="yTable"/>
            </w:pPr>
            <w:r>
              <w:t>.....................................................................................................................</w:t>
            </w:r>
          </w:p>
          <w:p>
            <w:pPr>
              <w:pStyle w:val="yTable"/>
            </w:pPr>
            <w:r>
              <w:t>.....................................................................................................................</w:t>
            </w:r>
          </w:p>
          <w:p>
            <w:pPr>
              <w:pStyle w:val="yTable"/>
            </w:pPr>
            <w:r>
              <w:t>.....................................................................................................................</w:t>
            </w:r>
          </w:p>
          <w:p>
            <w:pPr>
              <w:pStyle w:val="yTable"/>
            </w:pPr>
            <w:r>
              <w:t>......................................................................................................................</w:t>
            </w:r>
          </w:p>
        </w:tc>
      </w:tr>
      <w:tr>
        <w:trPr>
          <w:cantSplit/>
          <w:trHeight w:val="429"/>
        </w:trPr>
        <w:tc>
          <w:tcPr>
            <w:tcW w:w="6804" w:type="dxa"/>
            <w:gridSpan w:val="7"/>
          </w:tcPr>
          <w:p>
            <w:pPr>
              <w:pStyle w:val="yTable"/>
            </w:pPr>
            <w:r>
              <w:t>If the reason is financial hardship the information required in the following part of this form must be provided by the applicant.</w:t>
            </w:r>
          </w:p>
        </w:tc>
      </w:tr>
      <w:tr>
        <w:trPr>
          <w:cantSplit/>
          <w:trHeight w:val="429"/>
        </w:trPr>
        <w:tc>
          <w:tcPr>
            <w:tcW w:w="6804" w:type="dxa"/>
            <w:gridSpan w:val="7"/>
          </w:tcPr>
          <w:p>
            <w:pPr>
              <w:pStyle w:val="yTable"/>
            </w:pPr>
            <w:r>
              <w:t>I am employed as a ................................  by ...............................................</w:t>
            </w:r>
          </w:p>
          <w:p>
            <w:pPr>
              <w:pStyle w:val="yTable"/>
            </w:pPr>
            <w:r>
              <w:t>Their business address is ....................................................................</w:t>
            </w:r>
            <w:r>
              <w:rPr>
                <w:sz w:val="20"/>
              </w:rPr>
              <w:t>.........</w:t>
            </w:r>
            <w:r>
              <w:t>..</w:t>
            </w:r>
          </w:p>
        </w:tc>
      </w:tr>
      <w:tr>
        <w:trPr>
          <w:cantSplit/>
          <w:trHeight w:val="429"/>
        </w:trPr>
        <w:tc>
          <w:tcPr>
            <w:tcW w:w="6804" w:type="dxa"/>
            <w:gridSpan w:val="7"/>
          </w:tcPr>
          <w:p>
            <w:pPr>
              <w:pStyle w:val="yTable"/>
            </w:pPr>
            <w:r>
              <w:t>I am unemployed/ a pensioner* and registered with the Department of Social Security at ..........................................................................................</w:t>
            </w:r>
          </w:p>
        </w:tc>
      </w:tr>
      <w:tr>
        <w:trPr>
          <w:cantSplit/>
          <w:trHeight w:val="429"/>
        </w:trPr>
        <w:tc>
          <w:tcPr>
            <w:tcW w:w="6804" w:type="dxa"/>
            <w:gridSpan w:val="7"/>
          </w:tcPr>
          <w:p>
            <w:pPr>
              <w:pStyle w:val="yTable"/>
            </w:pPr>
            <w:r>
              <w:t>I am single/ married/ separated.*</w:t>
            </w:r>
          </w:p>
        </w:tc>
      </w:tr>
      <w:tr>
        <w:trPr>
          <w:cantSplit/>
          <w:trHeight w:val="429"/>
        </w:trPr>
        <w:tc>
          <w:tcPr>
            <w:tcW w:w="6804" w:type="dxa"/>
            <w:gridSpan w:val="7"/>
          </w:tcPr>
          <w:p>
            <w:pPr>
              <w:pStyle w:val="yTable"/>
            </w:pPr>
            <w:r>
              <w:t>I have/ do not have* a dependant wife/ husband/de facto partner* and .............. dependant children.</w:t>
            </w:r>
          </w:p>
        </w:tc>
      </w:tr>
      <w:tr>
        <w:trPr>
          <w:cantSplit/>
          <w:trHeight w:val="429"/>
        </w:trPr>
        <w:tc>
          <w:tcPr>
            <w:tcW w:w="6804" w:type="dxa"/>
            <w:gridSpan w:val="7"/>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4"/>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Other debts owing (give details)</w:t>
            </w: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3"/>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keepNext/>
              <w:rPr>
                <w:b/>
              </w:rPr>
            </w:pPr>
            <w:r>
              <w:rPr>
                <w:b/>
              </w:rPr>
              <w:t>ASSETS</w:t>
            </w:r>
          </w:p>
        </w:tc>
        <w:tc>
          <w:tcPr>
            <w:tcW w:w="3189" w:type="dxa"/>
            <w:gridSpan w:val="4"/>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7"/>
          </w:tcPr>
          <w:p>
            <w:pPr>
              <w:pStyle w:val="yTable"/>
            </w:pPr>
            <w:r>
              <w:t xml:space="preserve">My assets and liabilities are as follows — </w:t>
            </w:r>
          </w:p>
        </w:tc>
      </w:tr>
      <w:tr>
        <w:trPr>
          <w:cantSplit/>
          <w:trHeight w:val="429"/>
        </w:trPr>
        <w:tc>
          <w:tcPr>
            <w:tcW w:w="6804" w:type="dxa"/>
            <w:gridSpan w:val="7"/>
          </w:tcPr>
          <w:p>
            <w:pPr>
              <w:pStyle w:val="yTable"/>
            </w:pPr>
            <w:r>
              <w:t>House or other real property (give addresses)</w:t>
            </w:r>
          </w:p>
        </w:tc>
      </w:tr>
      <w:tr>
        <w:trPr>
          <w:cantSplit/>
          <w:trHeight w:val="429"/>
        </w:trPr>
        <w:tc>
          <w:tcPr>
            <w:tcW w:w="5812" w:type="dxa"/>
            <w:gridSpan w:val="6"/>
            <w:tcBorders>
              <w:top w:val="single" w:sz="4" w:space="0" w:color="auto"/>
            </w:tcBorders>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6"/>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7"/>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2"/>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41"/>
        </w:trPr>
        <w:tc>
          <w:tcPr>
            <w:tcW w:w="3686"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1"/>
        </w:trPr>
        <w:tc>
          <w:tcPr>
            <w:tcW w:w="3686"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6804" w:type="dxa"/>
            <w:gridSpan w:val="7"/>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6"/>
          </w:tcPr>
          <w:p>
            <w:pPr>
              <w:pStyle w:val="yTable"/>
            </w:pPr>
            <w:r>
              <w:t>Collection of coins, stamps, etc.</w:t>
            </w:r>
          </w:p>
        </w:tc>
        <w:tc>
          <w:tcPr>
            <w:tcW w:w="992" w:type="dxa"/>
          </w:tcPr>
          <w:p>
            <w:pPr>
              <w:pStyle w:val="yTable"/>
            </w:pPr>
          </w:p>
        </w:tc>
      </w:tr>
      <w:tr>
        <w:trPr>
          <w:cantSplit/>
          <w:trHeight w:val="429"/>
        </w:trPr>
        <w:tc>
          <w:tcPr>
            <w:tcW w:w="5812" w:type="dxa"/>
            <w:gridSpan w:val="6"/>
          </w:tcPr>
          <w:p>
            <w:pPr>
              <w:pStyle w:val="yTable"/>
            </w:pPr>
            <w:r>
              <w:t>Other collectables</w:t>
            </w:r>
          </w:p>
        </w:tc>
        <w:tc>
          <w:tcPr>
            <w:tcW w:w="992" w:type="dxa"/>
          </w:tcPr>
          <w:p>
            <w:pPr>
              <w:pStyle w:val="yTable"/>
            </w:pPr>
          </w:p>
        </w:tc>
      </w:tr>
      <w:tr>
        <w:trPr>
          <w:cantSplit/>
          <w:trHeight w:val="429"/>
        </w:trPr>
        <w:tc>
          <w:tcPr>
            <w:tcW w:w="5812" w:type="dxa"/>
            <w:gridSpan w:val="6"/>
          </w:tcPr>
          <w:p>
            <w:pPr>
              <w:pStyle w:val="yTable"/>
            </w:pPr>
            <w:r>
              <w:t>Interest in business or company</w:t>
            </w:r>
          </w:p>
        </w:tc>
        <w:tc>
          <w:tcPr>
            <w:tcW w:w="992" w:type="dxa"/>
          </w:tcPr>
          <w:p>
            <w:pPr>
              <w:pStyle w:val="yTable"/>
            </w:pPr>
          </w:p>
        </w:tc>
      </w:tr>
      <w:tr>
        <w:trPr>
          <w:cantSplit/>
          <w:trHeight w:val="429"/>
        </w:trPr>
        <w:tc>
          <w:tcPr>
            <w:tcW w:w="5812" w:type="dxa"/>
            <w:gridSpan w:val="6"/>
          </w:tcPr>
          <w:p>
            <w:pPr>
              <w:pStyle w:val="yTable"/>
            </w:pPr>
            <w:r>
              <w:t>Other assets</w:t>
            </w:r>
          </w:p>
        </w:tc>
        <w:tc>
          <w:tcPr>
            <w:tcW w:w="992" w:type="dxa"/>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5812" w:type="dxa"/>
            <w:gridSpan w:val="6"/>
          </w:tcPr>
          <w:p>
            <w:pPr>
              <w:pStyle w:val="yTable"/>
              <w:rPr>
                <w:b/>
              </w:rPr>
            </w:pPr>
            <w:r>
              <w:rPr>
                <w:b/>
              </w:rPr>
              <w:t>LIABILITIES</w:t>
            </w:r>
          </w:p>
        </w:tc>
        <w:tc>
          <w:tcPr>
            <w:tcW w:w="992" w:type="dxa"/>
          </w:tcPr>
          <w:p>
            <w:pPr>
              <w:pStyle w:val="yTable"/>
            </w:pPr>
          </w:p>
        </w:tc>
      </w:tr>
      <w:tr>
        <w:trPr>
          <w:cantSplit/>
          <w:trHeight w:val="429"/>
        </w:trPr>
        <w:tc>
          <w:tcPr>
            <w:tcW w:w="5812" w:type="dxa"/>
            <w:gridSpan w:val="6"/>
          </w:tcPr>
          <w:p>
            <w:pPr>
              <w:pStyle w:val="yTable"/>
            </w:pPr>
            <w:r>
              <w:t>Mortgage to ....................................................... for $</w:t>
            </w:r>
          </w:p>
        </w:tc>
        <w:tc>
          <w:tcPr>
            <w:tcW w:w="992" w:type="dxa"/>
          </w:tcPr>
          <w:p>
            <w:pPr>
              <w:pStyle w:val="yTable"/>
            </w:pPr>
          </w:p>
        </w:tc>
      </w:tr>
      <w:tr>
        <w:trPr>
          <w:cantSplit/>
          <w:trHeight w:val="429"/>
        </w:trPr>
        <w:tc>
          <w:tcPr>
            <w:tcW w:w="5812" w:type="dxa"/>
            <w:gridSpan w:val="6"/>
          </w:tcPr>
          <w:p>
            <w:pPr>
              <w:pStyle w:val="yTable"/>
            </w:pPr>
            <w:r>
              <w:t>Other to ............................................................. for $</w:t>
            </w:r>
          </w:p>
        </w:tc>
        <w:tc>
          <w:tcPr>
            <w:tcW w:w="992" w:type="dxa"/>
          </w:tcPr>
          <w:p>
            <w:pPr>
              <w:pStyle w:val="yTable"/>
            </w:pPr>
          </w:p>
        </w:tc>
      </w:tr>
      <w:tr>
        <w:trPr>
          <w:cantSplit/>
          <w:trHeight w:val="429"/>
        </w:trPr>
        <w:tc>
          <w:tcPr>
            <w:tcW w:w="5812" w:type="dxa"/>
            <w:gridSpan w:val="6"/>
          </w:tcPr>
          <w:p>
            <w:pPr>
              <w:pStyle w:val="yTable"/>
            </w:pPr>
            <w:r>
              <w:t>Time to pay order ............................................. for $</w:t>
            </w:r>
          </w:p>
        </w:tc>
        <w:tc>
          <w:tcPr>
            <w:tcW w:w="992" w:type="dxa"/>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5812" w:type="dxa"/>
            <w:gridSpan w:val="6"/>
          </w:tcPr>
          <w:p>
            <w:pPr>
              <w:pStyle w:val="yTable"/>
            </w:pPr>
          </w:p>
        </w:tc>
        <w:tc>
          <w:tcPr>
            <w:tcW w:w="992" w:type="dxa"/>
          </w:tcPr>
          <w:p>
            <w:pPr>
              <w:pStyle w:val="yTable"/>
            </w:pPr>
          </w:p>
        </w:tc>
      </w:tr>
      <w:tr>
        <w:trPr>
          <w:cantSplit/>
          <w:trHeight w:val="429"/>
        </w:trPr>
        <w:tc>
          <w:tcPr>
            <w:tcW w:w="2552" w:type="dxa"/>
            <w:gridSpan w:val="2"/>
          </w:tcPr>
          <w:p>
            <w:pPr>
              <w:pStyle w:val="yTable"/>
              <w:rPr>
                <w:b/>
              </w:rPr>
            </w:pPr>
            <w:r>
              <w:rPr>
                <w:b/>
              </w:rPr>
              <w:t>Signature of applicant:</w:t>
            </w:r>
          </w:p>
        </w:tc>
        <w:tc>
          <w:tcPr>
            <w:tcW w:w="4252" w:type="dxa"/>
            <w:gridSpan w:val="5"/>
          </w:tcPr>
          <w:p>
            <w:pPr>
              <w:pStyle w:val="yTable"/>
            </w:pPr>
          </w:p>
        </w:tc>
      </w:tr>
      <w:tr>
        <w:trPr>
          <w:cantSplit/>
          <w:trHeight w:val="429"/>
        </w:trPr>
        <w:tc>
          <w:tcPr>
            <w:tcW w:w="2552" w:type="dxa"/>
            <w:gridSpan w:val="2"/>
          </w:tcPr>
          <w:p>
            <w:pPr>
              <w:pStyle w:val="yTable"/>
              <w:rPr>
                <w:b/>
              </w:rPr>
            </w:pPr>
            <w:r>
              <w:rPr>
                <w:b/>
              </w:rPr>
              <w:t>Date:</w:t>
            </w:r>
          </w:p>
        </w:tc>
        <w:tc>
          <w:tcPr>
            <w:tcW w:w="4252" w:type="dxa"/>
            <w:gridSpan w:val="5"/>
          </w:tcPr>
          <w:p>
            <w:pPr>
              <w:pStyle w:val="yTable"/>
            </w:pPr>
          </w:p>
        </w:tc>
      </w:tr>
      <w:tr>
        <w:trPr>
          <w:cantSplit/>
          <w:trHeight w:val="429"/>
        </w:trPr>
        <w:tc>
          <w:tcPr>
            <w:tcW w:w="6804" w:type="dxa"/>
            <w:gridSpan w:val="7"/>
          </w:tcPr>
          <w:p>
            <w:pPr>
              <w:pStyle w:val="yTable"/>
              <w:tabs>
                <w:tab w:val="left" w:pos="459"/>
              </w:tabs>
              <w:rPr>
                <w:i/>
                <w:sz w:val="16"/>
              </w:rPr>
            </w:pPr>
            <w:r>
              <w:rPr>
                <w:i/>
              </w:rPr>
              <w:t>*</w:t>
            </w:r>
            <w:r>
              <w:rPr>
                <w:i/>
              </w:rPr>
              <w:tab/>
            </w:r>
            <w:r>
              <w:rPr>
                <w:i/>
                <w:sz w:val="16"/>
              </w:rPr>
              <w:t>Strike out words that are not applicable.</w:t>
            </w:r>
          </w:p>
          <w:p>
            <w:pPr>
              <w:pStyle w:val="yTable"/>
              <w:tabs>
                <w:tab w:val="left" w:pos="459"/>
              </w:tabs>
              <w:spacing w:before="0"/>
              <w:ind w:left="459" w:hanging="459"/>
              <w:rPr>
                <w:i/>
              </w:rPr>
            </w:pPr>
            <w:r>
              <w:rPr>
                <w:i/>
                <w:sz w:val="16"/>
              </w:rPr>
              <w:t>Note:</w:t>
            </w:r>
            <w:r>
              <w:rPr>
                <w:i/>
                <w:sz w:val="16"/>
              </w:rPr>
              <w:tab/>
              <w:t>It is an offence under the Children’s Court (Fees) Regulations 2005 regulation 8(10) for a person to make a statement or representation in this application that the person knows or has reason to believe is false or misleading in a material particular.  The maximum fine is $1 000.</w:t>
            </w:r>
          </w:p>
        </w:tc>
      </w:tr>
    </w:tbl>
    <w:p>
      <w:pPr>
        <w:pStyle w:val="yHeading5"/>
        <w:pageBreakBefore/>
        <w:spacing w:after="120"/>
      </w:pPr>
      <w:bookmarkStart w:id="180" w:name="_Toc97609776"/>
      <w:bookmarkStart w:id="181" w:name="_Toc100634728"/>
      <w:bookmarkStart w:id="182" w:name="_Toc138836667"/>
      <w:bookmarkStart w:id="183" w:name="_Toc207512138"/>
      <w:bookmarkStart w:id="184" w:name="_Toc287361834"/>
      <w:r>
        <w:t>2.</w:t>
      </w:r>
      <w:r>
        <w:tab/>
        <w:t>Application for determination of dispute about fees</w:t>
      </w:r>
      <w:bookmarkEnd w:id="180"/>
      <w:bookmarkEnd w:id="181"/>
      <w:bookmarkEnd w:id="182"/>
      <w:bookmarkEnd w:id="183"/>
      <w:bookmarkEnd w:id="184"/>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2</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Children’s Court of Western Australia</w:t>
            </w:r>
          </w:p>
        </w:tc>
        <w:tc>
          <w:tcPr>
            <w:tcW w:w="3047" w:type="dxa"/>
            <w:gridSpan w:val="2"/>
          </w:tcPr>
          <w:p>
            <w:pPr>
              <w:pStyle w:val="zytable"/>
              <w:spacing w:before="0"/>
              <w:ind w:left="0" w:right="0"/>
            </w:pPr>
            <w:r>
              <w:t>No. ............ of.............20..........</w:t>
            </w:r>
          </w:p>
        </w:tc>
      </w:tr>
      <w:tr>
        <w:trPr>
          <w:cantSplit/>
        </w:trPr>
        <w:tc>
          <w:tcPr>
            <w:tcW w:w="6662" w:type="dxa"/>
            <w:gridSpan w:val="4"/>
          </w:tcPr>
          <w:p>
            <w:pPr>
              <w:pStyle w:val="zytable"/>
              <w:spacing w:before="0"/>
              <w:ind w:left="0" w:right="0"/>
            </w:pPr>
            <w:r>
              <w:rPr>
                <w:b/>
                <w:bCs/>
              </w:rPr>
              <w:t>Applicant:</w:t>
            </w:r>
            <w:r>
              <w:tab/>
              <w:t>................................................................................................</w:t>
            </w:r>
          </w:p>
        </w:tc>
      </w:tr>
      <w:tr>
        <w:trPr>
          <w:cantSplit/>
        </w:trPr>
        <w:tc>
          <w:tcPr>
            <w:tcW w:w="6662" w:type="dxa"/>
            <w:gridSpan w:val="4"/>
          </w:tcPr>
          <w:p>
            <w:pPr>
              <w:pStyle w:val="zytable"/>
              <w:spacing w:before="0"/>
              <w:ind w:left="0" w:right="0"/>
            </w:pPr>
            <w:r>
              <w:rPr>
                <w:b/>
                <w:bCs/>
              </w:rPr>
              <w:t>Respondent:</w:t>
            </w:r>
            <w:r>
              <w:t xml:space="preserve"> ..............................................................................................</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a registrar for a determination under the </w:t>
            </w:r>
            <w:r>
              <w:rPr>
                <w:i/>
              </w:rPr>
              <w:t>Children’s Court (Fees) Regulations 2005</w:t>
            </w:r>
            <w:r>
              <w:t xml:space="preserve"> regulation 10(1)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w:t>
            </w:r>
            <w:r>
              <w:b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r>
              <w:rPr>
                <w:i/>
                <w:iCs/>
              </w:rPr>
              <w:t xml:space="preserve">Children’s Court (Fees) Regulations 2005 </w:t>
            </w:r>
            <w:r>
              <w:rPr>
                <w:iCs/>
              </w:rPr>
              <w:t>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hint="eastAsia"/>
              </w:rPr>
              <w:t>❑</w:t>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hint="eastAsia"/>
              </w:rPr>
              <w:t>❑</w:t>
            </w:r>
            <w:r>
              <w:tab/>
              <w:t>the amount of the fee</w:t>
            </w:r>
          </w:p>
          <w:p>
            <w:pPr>
              <w:pStyle w:val="zytable"/>
              <w:tabs>
                <w:tab w:val="left" w:pos="567"/>
              </w:tabs>
              <w:spacing w:before="0"/>
              <w:ind w:left="0" w:right="0"/>
            </w:pPr>
            <w:r>
              <w:rPr>
                <w:rFonts w:ascii="MS Mincho" w:eastAsia="MS Mincho" w:hAnsi="MS Mincho" w:hint="eastAsia"/>
              </w:rPr>
              <w:t>❑</w:t>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r>
              <w:b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317"/>
              </w:tabs>
              <w:spacing w:before="0"/>
              <w:ind w:left="0" w:right="0"/>
              <w:rPr>
                <w:rFonts w:eastAsia="MS Mincho"/>
              </w:rPr>
            </w:pPr>
            <w:r>
              <w:rPr>
                <w:i/>
              </w:rPr>
              <w:t>*</w:t>
            </w:r>
            <w:r>
              <w:rPr>
                <w:i/>
              </w:rPr>
              <w:tab/>
            </w:r>
            <w:r>
              <w:rPr>
                <w:i/>
                <w:sz w:val="16"/>
              </w:rPr>
              <w:t>Strike out numbers that are not applicable.</w:t>
            </w:r>
          </w:p>
        </w:tc>
      </w:tr>
    </w:tbl>
    <w:p>
      <w:pPr>
        <w:pStyle w:val="yFootnotesection"/>
      </w:pPr>
      <w:r>
        <w:tab/>
        <w:t>[Form 2 amended in Gazette 11 Mar 2008 p. 817.]</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sectPr>
          <w:headerReference w:type="even" r:id="rId29"/>
          <w:headerReference w:type="default" r:id="rId30"/>
          <w:endnotePr>
            <w:numFmt w:val="decimal"/>
          </w:endnotePr>
          <w:pgSz w:w="11906" w:h="16838" w:code="9"/>
          <w:pgMar w:top="2376" w:right="2405" w:bottom="3542" w:left="2405" w:header="706" w:footer="3380" w:gutter="0"/>
          <w:cols w:space="720"/>
          <w:noEndnote/>
          <w:docGrid w:linePitch="326"/>
        </w:sectPr>
      </w:pPr>
    </w:p>
    <w:p>
      <w:pPr>
        <w:pStyle w:val="nHeading2"/>
      </w:pPr>
      <w:bookmarkStart w:id="185" w:name="_Toc102453637"/>
      <w:bookmarkStart w:id="186" w:name="_Toc102453907"/>
      <w:bookmarkStart w:id="187" w:name="_Toc113162208"/>
      <w:bookmarkStart w:id="188" w:name="_Toc138836668"/>
      <w:bookmarkStart w:id="189" w:name="_Toc138836736"/>
      <w:bookmarkStart w:id="190" w:name="_Toc139270573"/>
      <w:bookmarkStart w:id="191" w:name="_Toc171051340"/>
      <w:bookmarkStart w:id="192" w:name="_Toc193167430"/>
      <w:bookmarkStart w:id="193" w:name="_Toc202585856"/>
      <w:bookmarkStart w:id="194" w:name="_Toc203278497"/>
      <w:bookmarkStart w:id="195" w:name="_Toc203278686"/>
      <w:bookmarkStart w:id="196" w:name="_Toc207427468"/>
      <w:bookmarkStart w:id="197" w:name="_Toc207512139"/>
      <w:bookmarkStart w:id="198" w:name="_Toc207513784"/>
      <w:bookmarkStart w:id="199" w:name="_Toc209501445"/>
      <w:bookmarkStart w:id="200" w:name="_Toc232308355"/>
      <w:bookmarkStart w:id="201" w:name="_Toc239753847"/>
      <w:bookmarkStart w:id="202" w:name="_Toc287361835"/>
      <w:r>
        <w:t>Notes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nSubsection"/>
        <w:rPr>
          <w:snapToGrid w:val="0"/>
        </w:rPr>
      </w:pPr>
      <w:r>
        <w:rPr>
          <w:snapToGrid w:val="0"/>
          <w:vertAlign w:val="superscript"/>
        </w:rPr>
        <w:t>1</w:t>
      </w:r>
      <w:r>
        <w:rPr>
          <w:snapToGrid w:val="0"/>
        </w:rPr>
        <w:tab/>
        <w:t xml:space="preserve">This is a compilation of the </w:t>
      </w:r>
      <w:r>
        <w:rPr>
          <w:i/>
          <w:noProof/>
          <w:snapToGrid w:val="0"/>
        </w:rPr>
        <w:t>Children’s Court (Fees)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203" w:name="_Toc287361836"/>
      <w:r>
        <w:t>Compilation table</w:t>
      </w:r>
      <w:bookmarkEnd w:id="20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Children’s Court (Fees) Regulations 2005</w:t>
            </w:r>
          </w:p>
        </w:tc>
        <w:tc>
          <w:tcPr>
            <w:tcW w:w="1276" w:type="dxa"/>
            <w:tcBorders>
              <w:top w:val="single" w:sz="8" w:space="0" w:color="auto"/>
            </w:tcBorders>
          </w:tcPr>
          <w:p>
            <w:pPr>
              <w:pStyle w:val="nTable"/>
              <w:spacing w:after="40"/>
              <w:rPr>
                <w:sz w:val="19"/>
              </w:rPr>
            </w:pPr>
            <w:r>
              <w:rPr>
                <w:sz w:val="19"/>
              </w:rPr>
              <w:t>28 Apr 2005 p. 1415</w:t>
            </w:r>
            <w:r>
              <w:rPr>
                <w:sz w:val="19"/>
              </w:rPr>
              <w:noBreakHyphen/>
              <w:t>33</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2005 p. 7128)</w:t>
            </w:r>
          </w:p>
        </w:tc>
      </w:tr>
      <w:tr>
        <w:tc>
          <w:tcPr>
            <w:tcW w:w="3118" w:type="dxa"/>
          </w:tcPr>
          <w:p>
            <w:pPr>
              <w:pStyle w:val="nTable"/>
              <w:spacing w:after="40"/>
              <w:rPr>
                <w:i/>
                <w:sz w:val="19"/>
              </w:rPr>
            </w:pPr>
            <w:r>
              <w:rPr>
                <w:i/>
                <w:sz w:val="19"/>
              </w:rPr>
              <w:t>Children’s Court (Fees) Amendment Regulations 2005</w:t>
            </w:r>
          </w:p>
        </w:tc>
        <w:tc>
          <w:tcPr>
            <w:tcW w:w="1276" w:type="dxa"/>
          </w:tcPr>
          <w:p>
            <w:pPr>
              <w:pStyle w:val="nTable"/>
              <w:spacing w:after="40"/>
              <w:rPr>
                <w:sz w:val="19"/>
              </w:rPr>
            </w:pPr>
            <w:r>
              <w:rPr>
                <w:sz w:val="19"/>
              </w:rPr>
              <w:t>30 Aug 2005 p. 4054</w:t>
            </w:r>
          </w:p>
        </w:tc>
        <w:tc>
          <w:tcPr>
            <w:tcW w:w="2693" w:type="dxa"/>
          </w:tcPr>
          <w:p>
            <w:pPr>
              <w:pStyle w:val="nTable"/>
              <w:spacing w:after="40"/>
              <w:rPr>
                <w:sz w:val="19"/>
              </w:rPr>
            </w:pPr>
            <w:r>
              <w:rPr>
                <w:sz w:val="19"/>
              </w:rPr>
              <w:t>30 Aug 2005</w:t>
            </w:r>
          </w:p>
        </w:tc>
      </w:tr>
      <w:tr>
        <w:tc>
          <w:tcPr>
            <w:tcW w:w="3118" w:type="dxa"/>
          </w:tcPr>
          <w:p>
            <w:pPr>
              <w:pStyle w:val="nTable"/>
              <w:spacing w:after="40"/>
              <w:rPr>
                <w:i/>
                <w:sz w:val="19"/>
              </w:rPr>
            </w:pPr>
            <w:r>
              <w:rPr>
                <w:i/>
                <w:sz w:val="19"/>
              </w:rPr>
              <w:t>Children’s Court (Fees) Amendment Regulations 2006</w:t>
            </w:r>
          </w:p>
        </w:tc>
        <w:tc>
          <w:tcPr>
            <w:tcW w:w="1276" w:type="dxa"/>
          </w:tcPr>
          <w:p>
            <w:pPr>
              <w:pStyle w:val="nTable"/>
              <w:spacing w:after="40"/>
              <w:rPr>
                <w:sz w:val="19"/>
              </w:rPr>
            </w:pPr>
            <w:r>
              <w:rPr>
                <w:sz w:val="19"/>
              </w:rPr>
              <w:t>23 Jun 2006 p. 2181</w:t>
            </w:r>
            <w:r>
              <w:rPr>
                <w:sz w:val="19"/>
              </w:rPr>
              <w:noBreakHyphen/>
              <w:t>3</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Children’s Court (Fees) Amendment Regulations 2007</w:t>
            </w:r>
          </w:p>
        </w:tc>
        <w:tc>
          <w:tcPr>
            <w:tcW w:w="1276" w:type="dxa"/>
          </w:tcPr>
          <w:p>
            <w:pPr>
              <w:pStyle w:val="nTable"/>
              <w:spacing w:after="40"/>
              <w:rPr>
                <w:sz w:val="19"/>
              </w:rPr>
            </w:pPr>
            <w:r>
              <w:rPr>
                <w:sz w:val="19"/>
              </w:rPr>
              <w:t>26 Jun 2007 p. 3040</w:t>
            </w:r>
            <w:r>
              <w:rPr>
                <w:sz w:val="19"/>
              </w:rPr>
              <w:noBreakHyphen/>
              <w:t>1</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c>
          <w:tcPr>
            <w:tcW w:w="3118" w:type="dxa"/>
          </w:tcPr>
          <w:p>
            <w:pPr>
              <w:pStyle w:val="nTable"/>
              <w:spacing w:after="40"/>
              <w:rPr>
                <w:i/>
                <w:sz w:val="19"/>
              </w:rPr>
            </w:pPr>
            <w:r>
              <w:rPr>
                <w:i/>
                <w:sz w:val="19"/>
              </w:rPr>
              <w:t>Children’s Court (Fees) Amendment Regulations 2008</w:t>
            </w:r>
          </w:p>
        </w:tc>
        <w:tc>
          <w:tcPr>
            <w:tcW w:w="1276" w:type="dxa"/>
          </w:tcPr>
          <w:p>
            <w:pPr>
              <w:pStyle w:val="nTable"/>
              <w:spacing w:after="40"/>
              <w:rPr>
                <w:sz w:val="19"/>
              </w:rPr>
            </w:pPr>
            <w:r>
              <w:rPr>
                <w:sz w:val="19"/>
              </w:rPr>
              <w:t>11 Mar 2008 p. 817</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c>
          <w:tcPr>
            <w:tcW w:w="3118" w:type="dxa"/>
          </w:tcPr>
          <w:p>
            <w:pPr>
              <w:pStyle w:val="nTable"/>
              <w:spacing w:after="40"/>
              <w:rPr>
                <w:i/>
                <w:sz w:val="19"/>
              </w:rPr>
            </w:pPr>
            <w:r>
              <w:rPr>
                <w:i/>
                <w:sz w:val="19"/>
              </w:rPr>
              <w:t>Children’s Court (Fees) Amendment Regulations (No. 2) 2008</w:t>
            </w:r>
          </w:p>
        </w:tc>
        <w:tc>
          <w:tcPr>
            <w:tcW w:w="1276" w:type="dxa"/>
          </w:tcPr>
          <w:p>
            <w:pPr>
              <w:pStyle w:val="nTable"/>
              <w:spacing w:after="40"/>
              <w:rPr>
                <w:sz w:val="19"/>
              </w:rPr>
            </w:pPr>
            <w:r>
              <w:rPr>
                <w:sz w:val="19"/>
              </w:rPr>
              <w:t>27 Jun 2008 p. 3070</w:t>
            </w:r>
            <w:r>
              <w:rPr>
                <w:sz w:val="19"/>
              </w:rPr>
              <w:noBreakHyphen/>
              <w:t>2</w:t>
            </w:r>
          </w:p>
        </w:tc>
        <w:tc>
          <w:tcPr>
            <w:tcW w:w="2693" w:type="dxa"/>
          </w:tcPr>
          <w:p>
            <w:pPr>
              <w:pStyle w:val="nTable"/>
              <w:spacing w:after="40"/>
              <w:rPr>
                <w:snapToGrid w:val="0"/>
                <w:sz w:val="19"/>
                <w:lang w:val="en-US"/>
              </w:rPr>
            </w:pPr>
            <w:r>
              <w:rPr>
                <w:snapToGrid w:val="0"/>
                <w:sz w:val="19"/>
                <w:lang w:val="en-US"/>
              </w:rPr>
              <w:t>r. 1 and 2: 27 Jun 2008 (see r. 2(a));</w:t>
            </w:r>
            <w:r>
              <w:rPr>
                <w:snapToGrid w:val="0"/>
                <w:sz w:val="19"/>
                <w:lang w:val="en-US"/>
              </w:rPr>
              <w:br/>
              <w:t>Regulations other than r. 1 and 2: 1 Jul 2008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r>
              <w:rPr>
                <w:b/>
                <w:bCs/>
                <w:i/>
                <w:sz w:val="19"/>
              </w:rPr>
              <w:t>Children’s Court (Fees) Regulations 2005</w:t>
            </w:r>
            <w:r>
              <w:rPr>
                <w:b/>
                <w:bCs/>
                <w:snapToGrid w:val="0"/>
                <w:sz w:val="19"/>
                <w:lang w:val="en-US"/>
              </w:rPr>
              <w:t xml:space="preserve"> as at 5 Sep 2008</w:t>
            </w:r>
            <w:r>
              <w:rPr>
                <w:b/>
                <w:bCs/>
                <w:snapToGrid w:val="0"/>
                <w:sz w:val="19"/>
                <w:lang w:val="en-US"/>
              </w:rPr>
              <w:br/>
            </w:r>
            <w:r>
              <w:rPr>
                <w:snapToGrid w:val="0"/>
                <w:sz w:val="19"/>
                <w:lang w:val="en-US"/>
              </w:rPr>
              <w:t>(includes amendments listed above)</w:t>
            </w:r>
          </w:p>
        </w:tc>
      </w:tr>
      <w:tr>
        <w:tc>
          <w:tcPr>
            <w:tcW w:w="3118" w:type="dxa"/>
          </w:tcPr>
          <w:p>
            <w:pPr>
              <w:pStyle w:val="nTable"/>
              <w:spacing w:after="40"/>
              <w:rPr>
                <w:i/>
                <w:sz w:val="19"/>
              </w:rPr>
            </w:pPr>
            <w:r>
              <w:rPr>
                <w:i/>
                <w:sz w:val="19"/>
              </w:rPr>
              <w:t>Children’s Court (Fees) Amendment Regulations 2009</w:t>
            </w:r>
          </w:p>
        </w:tc>
        <w:tc>
          <w:tcPr>
            <w:tcW w:w="1276" w:type="dxa"/>
          </w:tcPr>
          <w:p>
            <w:pPr>
              <w:pStyle w:val="nTable"/>
              <w:spacing w:after="40"/>
              <w:rPr>
                <w:sz w:val="19"/>
              </w:rPr>
            </w:pPr>
            <w:r>
              <w:rPr>
                <w:sz w:val="19"/>
              </w:rPr>
              <w:t>9 Jun 2009 p. 1925</w:t>
            </w:r>
          </w:p>
        </w:tc>
        <w:tc>
          <w:tcPr>
            <w:tcW w:w="2693" w:type="dxa"/>
          </w:tcPr>
          <w:p>
            <w:pPr>
              <w:pStyle w:val="nTable"/>
              <w:spacing w:after="40"/>
              <w:rPr>
                <w:sz w:val="19"/>
              </w:rPr>
            </w:pPr>
            <w:r>
              <w:rPr>
                <w:snapToGrid w:val="0"/>
                <w:sz w:val="19"/>
                <w:lang w:val="en-US"/>
              </w:rPr>
              <w:t>r. 1 and 2: 9 Jun 2009 (see r. 2(a));</w:t>
            </w:r>
            <w:r>
              <w:rPr>
                <w:snapToGrid w:val="0"/>
                <w:sz w:val="19"/>
                <w:lang w:val="en-US"/>
              </w:rPr>
              <w:br/>
              <w:t>Regulations other than r. 1 and 2: 10 Jun 2009 (see r. 2(b))</w:t>
            </w:r>
          </w:p>
        </w:tc>
      </w:tr>
      <w:tr>
        <w:tc>
          <w:tcPr>
            <w:tcW w:w="3118" w:type="dxa"/>
          </w:tcPr>
          <w:p>
            <w:pPr>
              <w:pStyle w:val="nTable"/>
              <w:spacing w:after="40"/>
              <w:rPr>
                <w:i/>
                <w:sz w:val="19"/>
              </w:rPr>
            </w:pPr>
            <w:r>
              <w:rPr>
                <w:i/>
                <w:sz w:val="19"/>
              </w:rPr>
              <w:t>Children’s Court (Fees) Amendment Regulations (No. 2) 2009</w:t>
            </w:r>
          </w:p>
        </w:tc>
        <w:tc>
          <w:tcPr>
            <w:tcW w:w="1276" w:type="dxa"/>
          </w:tcPr>
          <w:p>
            <w:pPr>
              <w:pStyle w:val="nTable"/>
              <w:spacing w:after="40"/>
              <w:rPr>
                <w:sz w:val="19"/>
              </w:rPr>
            </w:pPr>
            <w:r>
              <w:rPr>
                <w:sz w:val="19"/>
              </w:rPr>
              <w:t>4 Sep 2009 p. 3483-5</w:t>
            </w:r>
          </w:p>
        </w:tc>
        <w:tc>
          <w:tcPr>
            <w:tcW w:w="2693" w:type="dxa"/>
          </w:tcPr>
          <w:p>
            <w:pPr>
              <w:pStyle w:val="nTable"/>
              <w:spacing w:after="40"/>
              <w:rPr>
                <w:snapToGrid w:val="0"/>
                <w:sz w:val="19"/>
                <w:lang w:val="en-US"/>
              </w:rPr>
            </w:pPr>
            <w:r>
              <w:rPr>
                <w:snapToGrid w:val="0"/>
                <w:sz w:val="19"/>
                <w:lang w:val="en-US"/>
              </w:rPr>
              <w:t>r. 1 and 2: 4 Sep 2009 (see r. 2(a));</w:t>
            </w:r>
            <w:r>
              <w:rPr>
                <w:snapToGrid w:val="0"/>
                <w:sz w:val="19"/>
                <w:lang w:val="en-US"/>
              </w:rPr>
              <w:br/>
              <w:t>Regulations other than r. 1 and 2: 5 Sep 2009 (see r. 2(b))</w:t>
            </w:r>
          </w:p>
        </w:tc>
      </w:tr>
      <w:tr>
        <w:tc>
          <w:tcPr>
            <w:tcW w:w="3118" w:type="dxa"/>
            <w:tcBorders>
              <w:bottom w:val="single" w:sz="4" w:space="0" w:color="auto"/>
            </w:tcBorders>
          </w:tcPr>
          <w:p>
            <w:pPr>
              <w:pStyle w:val="nTable"/>
              <w:spacing w:after="40"/>
              <w:rPr>
                <w:i/>
                <w:sz w:val="19"/>
              </w:rPr>
            </w:pPr>
            <w:r>
              <w:rPr>
                <w:i/>
                <w:sz w:val="19"/>
              </w:rPr>
              <w:t>Children’s Court (Fees) Amendment Regulations 2011</w:t>
            </w:r>
          </w:p>
        </w:tc>
        <w:tc>
          <w:tcPr>
            <w:tcW w:w="1276" w:type="dxa"/>
            <w:tcBorders>
              <w:bottom w:val="single" w:sz="4" w:space="0" w:color="auto"/>
            </w:tcBorders>
          </w:tcPr>
          <w:p>
            <w:pPr>
              <w:pStyle w:val="nTable"/>
              <w:spacing w:after="40"/>
              <w:rPr>
                <w:sz w:val="19"/>
              </w:rPr>
            </w:pPr>
            <w:r>
              <w:rPr>
                <w:sz w:val="19"/>
              </w:rPr>
              <w:t>8 Mar 2011 p. 791</w:t>
            </w:r>
            <w:r>
              <w:rPr>
                <w:sz w:val="19"/>
              </w:rPr>
              <w:noBreakHyphen/>
              <w:t>2</w:t>
            </w:r>
          </w:p>
        </w:tc>
        <w:tc>
          <w:tcPr>
            <w:tcW w:w="2693" w:type="dxa"/>
            <w:tcBorders>
              <w:bottom w:val="single" w:sz="4" w:space="0" w:color="auto"/>
            </w:tcBorders>
          </w:tcPr>
          <w:p>
            <w:pPr>
              <w:pStyle w:val="nTable"/>
              <w:spacing w:after="40"/>
              <w:rPr>
                <w:snapToGrid w:val="0"/>
                <w:sz w:val="19"/>
                <w:lang w:val="en-US"/>
              </w:rPr>
            </w:pPr>
            <w:r>
              <w:rPr>
                <w:snapToGrid w:val="0"/>
                <w:spacing w:val="-2"/>
                <w:sz w:val="19"/>
                <w:lang w:val="en-US"/>
              </w:rPr>
              <w:t>r. 1 and 2: 8 Mar 2011 (see r. 2(a));</w:t>
            </w:r>
            <w:r>
              <w:rPr>
                <w:snapToGrid w:val="0"/>
                <w:spacing w:val="-2"/>
                <w:sz w:val="19"/>
                <w:lang w:val="en-US"/>
              </w:rPr>
              <w:br/>
              <w:t>Regulations other than r. 1 and 2: 9 Mar 2011 (see r. 2(b))</w:t>
            </w:r>
          </w:p>
        </w:tc>
      </w:tr>
    </w:tbl>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04" w:name="_Toc203278688"/>
      <w:bookmarkStart w:id="205" w:name="_Toc207427470"/>
      <w:bookmarkStart w:id="206" w:name="_Toc207512141"/>
      <w:bookmarkStart w:id="207" w:name="_Toc207513786"/>
      <w:bookmarkStart w:id="208" w:name="_Toc209501447"/>
      <w:bookmarkStart w:id="209" w:name="_Toc232308357"/>
      <w:bookmarkStart w:id="210" w:name="_Toc239753849"/>
      <w:bookmarkStart w:id="211" w:name="_Toc287361837"/>
      <w:r>
        <w:rPr>
          <w:sz w:val="28"/>
        </w:rPr>
        <w:t>Defined Terms</w:t>
      </w:r>
      <w:bookmarkEnd w:id="204"/>
      <w:bookmarkEnd w:id="205"/>
      <w:bookmarkEnd w:id="206"/>
      <w:bookmarkEnd w:id="207"/>
      <w:bookmarkEnd w:id="208"/>
      <w:bookmarkEnd w:id="209"/>
      <w:bookmarkEnd w:id="210"/>
      <w:bookmarkEnd w:id="2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12" w:name="DefinedTerms"/>
      <w:bookmarkEnd w:id="212"/>
      <w:r>
        <w:t>civil jurisdiction</w:t>
      </w:r>
      <w:r>
        <w:tab/>
        <w:t>3</w:t>
      </w:r>
    </w:p>
    <w:p>
      <w:pPr>
        <w:pStyle w:val="DefinedTerms"/>
      </w:pPr>
      <w:r>
        <w:t>criminal jurisdiction</w:t>
      </w:r>
      <w:r>
        <w:tab/>
        <w:t>3</w:t>
      </w:r>
    </w:p>
    <w:p>
      <w:pPr>
        <w:pStyle w:val="DefinedTerms"/>
      </w:pPr>
      <w:r>
        <w:t>deputy registrar</w:t>
      </w:r>
      <w:r>
        <w:tab/>
        <w:t>3</w:t>
      </w:r>
    </w:p>
    <w:p>
      <w:pPr>
        <w:pStyle w:val="DefinedTerms"/>
      </w:pPr>
      <w:r>
        <w:t>enforcement officer</w:t>
      </w:r>
      <w:r>
        <w:tab/>
        <w:t>3</w:t>
      </w:r>
    </w:p>
    <w:p>
      <w:pPr>
        <w:pStyle w:val="DefinedTerms"/>
      </w:pPr>
      <w:r>
        <w:t>Form</w:t>
      </w:r>
      <w:r>
        <w:tab/>
        <w:t>3</w:t>
      </w:r>
    </w:p>
    <w:p>
      <w:pPr>
        <w:pStyle w:val="DefinedTerms"/>
      </w:pPr>
      <w:r>
        <w:t>prosecution notice</w:t>
      </w:r>
      <w:r>
        <w:tab/>
        <w:t>3</w:t>
      </w:r>
    </w:p>
    <w:p>
      <w:pPr>
        <w:pStyle w:val="DefinedTerms"/>
      </w:pPr>
      <w:r>
        <w:t>respondent</w:t>
      </w:r>
      <w:r>
        <w:tab/>
        <w:t>6(2)</w:t>
      </w:r>
    </w:p>
    <w:p>
      <w:pPr>
        <w:pStyle w:val="DefinedTerms"/>
      </w:pPr>
    </w:p>
    <w:p>
      <w:pPr>
        <w:pStyle w:val="DefinedTerms"/>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sectPr>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Children’s Court (Fees)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Children’s Court (Fees) Regulations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Children’s Court (Fees) Regulations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separate"/>
          </w:r>
          <w:r>
            <w:rPr>
              <w:bCs/>
              <w:noProof/>
            </w:rPr>
            <w:instrText>Division 3</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separate"/>
          </w:r>
          <w:r>
            <w:rPr>
              <w:bCs/>
              <w:noProof/>
            </w:rPr>
            <w:t>0</w:t>
          </w:r>
          <w:r>
            <w:rPr>
              <w:bCs/>
            </w:rPr>
            <w:fldChar w:fldCharType="end"/>
          </w:r>
        </w:p>
      </w:tc>
      <w:tc>
        <w:tcPr>
          <w:tcW w:w="5715" w:type="dxa"/>
        </w:tcPr>
        <w:p>
          <w:pPr>
            <w:pStyle w:val="HeaderTextLeft"/>
          </w:pPr>
          <w:fldSimple w:instr=" styleref CharSDivText ">
            <w:r>
              <w:rPr>
                <w:noProof/>
              </w:rPr>
              <w:t>Criminal jurisdiction</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Children’s Court (Fees) Regulations 2005</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Criminal jurisdiction</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1A0130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8FD41A7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4353"/>
    <w:docVar w:name="WAFER_20151208094353" w:val="RemoveTrackChanges"/>
    <w:docVar w:name="WAFER_20151208094353_GUID" w:val="84e9b172-79dd-4819-8226-adbc496fae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image" Target="media/image2.png"/><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3676</Words>
  <Characters>21064</Characters>
  <Application>Microsoft Office Word</Application>
  <DocSecurity>0</DocSecurity>
  <Lines>810</Lines>
  <Paragraphs>515</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Childrens Court (Fees) Regulations 2005</vt:lpstr>
      <vt:lpstr>Western Australia</vt:lpstr>
      <vt:lpstr>Children’s Court (Fees) Regulations 2005</vt:lpstr>
      <vt:lpstr>    Schedule 1 — Fees</vt:lpstr>
      <vt:lpstr>        Division 1 — General</vt:lpstr>
      <vt:lpstr>        Division 2 — Civil jurisdiction</vt:lpstr>
      <vt:lpstr>        Division 3 — Criminal jurisdiction</vt:lpstr>
      <vt:lpstr>    </vt:lpstr>
      <vt:lpstr>    Schedule 2 — Forms</vt:lpstr>
      <vt:lpstr>    Notes</vt:lpstr>
      <vt:lpstr>    Defined Terms</vt:lpstr>
    </vt:vector>
  </TitlesOfParts>
  <Manager/>
  <Company/>
  <LinksUpToDate>false</LinksUpToDate>
  <CharactersWithSpaces>24225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2005 - 01-d0-02</dc:title>
  <dc:subject/>
  <dc:creator/>
  <cp:keywords/>
  <dc:description/>
  <cp:lastModifiedBy>svcMRProcess</cp:lastModifiedBy>
  <cp:revision>4</cp:revision>
  <cp:lastPrinted>2008-08-28T00:50:00Z</cp:lastPrinted>
  <dcterms:created xsi:type="dcterms:W3CDTF">2018-09-10T06:08:00Z</dcterms:created>
  <dcterms:modified xsi:type="dcterms:W3CDTF">2018-09-10T06:09:00Z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CommencementDate">
    <vt:lpwstr>20110309</vt:lpwstr>
  </property>
  <property fmtid="{D5CDD505-2E9C-101B-9397-08002B2CF9AE}" pid="4" name="OwlsUID">
    <vt:i4>34705</vt:i4>
  </property>
  <property fmtid="{D5CDD505-2E9C-101B-9397-08002B2CF9AE}" pid="5" name="AsAtDate">
    <vt:lpwstr>09 Mar 2011</vt:lpwstr>
  </property>
  <property fmtid="{D5CDD505-2E9C-101B-9397-08002B2CF9AE}" pid="6" name="Suffix">
    <vt:lpwstr>01-d0-02</vt:lpwstr>
  </property>
  <property fmtid="{D5CDD505-2E9C-101B-9397-08002B2CF9AE}" pid="7" name="ReprintNo">
    <vt:lpwstr>1</vt:lpwstr>
  </property>
  <property fmtid="{D5CDD505-2E9C-101B-9397-08002B2CF9AE}" pid="8" name="DocumentType">
    <vt:lpwstr>Reg</vt:lpwstr>
  </property>
</Properties>
</file>