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_Toc287360169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_Toc287360170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_Toc287360171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_Toc287360172 \h </w:instrText>
      </w:r>
      <w:r>
        <w:fldChar w:fldCharType="separate"/>
      </w:r>
      <w:r>
        <w:t>2</w:t>
      </w:r>
      <w:r>
        <w:fldChar w:fldCharType="end"/>
      </w:r>
    </w:p>
    <w:p>
      <w:pPr>
        <w:pStyle w:val="TOC8"/>
        <w:rPr>
          <w:sz w:val="24"/>
          <w:szCs w:val="24"/>
          <w:lang w:val="en-US"/>
        </w:rPr>
      </w:pPr>
      <w:r>
        <w:t>5.</w:t>
      </w:r>
      <w:r>
        <w:tab/>
      </w:r>
      <w:r>
        <w:rPr>
          <w:snapToGrid w:val="0"/>
        </w:rPr>
        <w:t>Exemptions</w:t>
      </w:r>
      <w:r>
        <w:tab/>
      </w:r>
      <w:r>
        <w:fldChar w:fldCharType="begin"/>
      </w:r>
      <w:r>
        <w:instrText xml:space="preserve"> PAGEREF _Toc287360173 \h </w:instrText>
      </w:r>
      <w:r>
        <w:fldChar w:fldCharType="separate"/>
      </w:r>
      <w:r>
        <w:t>5</w:t>
      </w:r>
      <w:r>
        <w:fldChar w:fldCharType="end"/>
      </w:r>
    </w:p>
    <w:p>
      <w:pPr>
        <w:pStyle w:val="TOC8"/>
        <w:rPr>
          <w:sz w:val="24"/>
          <w:szCs w:val="24"/>
          <w:lang w:val="en-US"/>
        </w:rPr>
      </w:pPr>
      <w:r>
        <w:t>5A.</w:t>
      </w:r>
      <w:r>
        <w:tab/>
        <w:t>Disputes regarding fees</w:t>
      </w:r>
      <w:r>
        <w:tab/>
      </w:r>
      <w:r>
        <w:fldChar w:fldCharType="begin"/>
      </w:r>
      <w:r>
        <w:instrText xml:space="preserve"> PAGEREF _Toc287360174 \h </w:instrText>
      </w:r>
      <w:r>
        <w:fldChar w:fldCharType="separate"/>
      </w:r>
      <w:r>
        <w:t>6</w:t>
      </w:r>
      <w:r>
        <w:fldChar w:fldCharType="end"/>
      </w:r>
    </w:p>
    <w:p>
      <w:pPr>
        <w:pStyle w:val="TOC8"/>
        <w:rPr>
          <w:sz w:val="24"/>
          <w:szCs w:val="24"/>
          <w:lang w:val="en-US"/>
        </w:rPr>
      </w:pPr>
      <w:r>
        <w:t>6.</w:t>
      </w:r>
      <w:r>
        <w:tab/>
      </w:r>
      <w:r>
        <w:rPr>
          <w:snapToGrid w:val="0"/>
        </w:rPr>
        <w:t>Fees to be paid before documents filed or other things done</w:t>
      </w:r>
      <w:r>
        <w:tab/>
      </w:r>
      <w:r>
        <w:fldChar w:fldCharType="begin"/>
      </w:r>
      <w:r>
        <w:instrText xml:space="preserve"> PAGEREF _Toc287360175 \h </w:instrText>
      </w:r>
      <w:r>
        <w:fldChar w:fldCharType="separate"/>
      </w:r>
      <w:r>
        <w:t>6</w:t>
      </w:r>
      <w:r>
        <w:fldChar w:fldCharType="end"/>
      </w:r>
    </w:p>
    <w:p>
      <w:pPr>
        <w:pStyle w:val="TOC8"/>
        <w:rPr>
          <w:sz w:val="24"/>
          <w:szCs w:val="24"/>
          <w:lang w:val="en-US"/>
        </w:rPr>
      </w:pPr>
      <w:r>
        <w:t>7.</w:t>
      </w:r>
      <w:r>
        <w:tab/>
      </w:r>
      <w:r>
        <w:rPr>
          <w:snapToGrid w:val="0"/>
        </w:rPr>
        <w:t>Court or registrar may remit fees</w:t>
      </w:r>
      <w:r>
        <w:tab/>
      </w:r>
      <w:r>
        <w:fldChar w:fldCharType="begin"/>
      </w:r>
      <w:r>
        <w:instrText xml:space="preserve"> PAGEREF _Toc287360176 \h </w:instrText>
      </w:r>
      <w:r>
        <w:fldChar w:fldCharType="separate"/>
      </w:r>
      <w:r>
        <w:t>6</w:t>
      </w:r>
      <w:r>
        <w:fldChar w:fldCharType="end"/>
      </w:r>
    </w:p>
    <w:p>
      <w:pPr>
        <w:pStyle w:val="TOC8"/>
        <w:rPr>
          <w:sz w:val="24"/>
          <w:szCs w:val="24"/>
          <w:lang w:val="en-US"/>
        </w:rPr>
      </w:pPr>
      <w:r>
        <w:t>8.</w:t>
      </w:r>
      <w:r>
        <w:tab/>
      </w:r>
      <w:r>
        <w:rPr>
          <w:snapToGrid w:val="0"/>
        </w:rPr>
        <w:t>Conventions</w:t>
      </w:r>
      <w:r>
        <w:tab/>
      </w:r>
      <w:r>
        <w:fldChar w:fldCharType="begin"/>
      </w:r>
      <w:r>
        <w:instrText xml:space="preserve"> PAGEREF _Toc287360177 \h </w:instrText>
      </w:r>
      <w:r>
        <w:fldChar w:fldCharType="separate"/>
      </w:r>
      <w:r>
        <w:t>9</w:t>
      </w:r>
      <w:r>
        <w:fldChar w:fldCharType="end"/>
      </w:r>
    </w:p>
    <w:p>
      <w:pPr>
        <w:pStyle w:val="TOC8"/>
        <w:rPr>
          <w:sz w:val="24"/>
          <w:szCs w:val="24"/>
          <w:lang w:val="en-US"/>
        </w:rPr>
      </w:pPr>
      <w:r>
        <w:t>9.</w:t>
      </w:r>
      <w:r>
        <w:tab/>
        <w:t>Allocation of hearing date — Schedule 1 Division 1 item 5</w:t>
      </w:r>
      <w:r>
        <w:tab/>
      </w:r>
      <w:r>
        <w:fldChar w:fldCharType="begin"/>
      </w:r>
      <w:r>
        <w:instrText xml:space="preserve"> PAGEREF _Toc287360178 \h </w:instrText>
      </w:r>
      <w:r>
        <w:fldChar w:fldCharType="separate"/>
      </w:r>
      <w:r>
        <w:t>9</w:t>
      </w:r>
      <w:r>
        <w:fldChar w:fldCharType="end"/>
      </w:r>
    </w:p>
    <w:p>
      <w:pPr>
        <w:pStyle w:val="TOC8"/>
        <w:rPr>
          <w:sz w:val="24"/>
          <w:szCs w:val="24"/>
          <w:lang w:val="en-US"/>
        </w:rPr>
      </w:pPr>
      <w:r>
        <w:t>9A.</w:t>
      </w:r>
      <w:r>
        <w:tab/>
        <w:t>Court of Appeal allocation of hearing date — Schedule 1 Division 2 item 5</w:t>
      </w:r>
      <w:r>
        <w:tab/>
      </w:r>
      <w:r>
        <w:fldChar w:fldCharType="begin"/>
      </w:r>
      <w:r>
        <w:instrText xml:space="preserve"> PAGEREF _Toc287360179 \h </w:instrText>
      </w:r>
      <w:r>
        <w:fldChar w:fldCharType="separate"/>
      </w:r>
      <w:r>
        <w:t>11</w:t>
      </w:r>
      <w:r>
        <w:fldChar w:fldCharType="end"/>
      </w:r>
    </w:p>
    <w:p>
      <w:pPr>
        <w:pStyle w:val="TOC8"/>
        <w:rPr>
          <w:sz w:val="24"/>
          <w:szCs w:val="24"/>
          <w:lang w:val="en-US"/>
        </w:rPr>
      </w:pPr>
      <w:r>
        <w:t>10.</w:t>
      </w:r>
      <w:r>
        <w:tab/>
        <w:t>Schedule 1 Division 2 item 6 or Division 2 item 7 fee</w:t>
      </w:r>
      <w:r>
        <w:tab/>
      </w:r>
      <w:r>
        <w:fldChar w:fldCharType="begin"/>
      </w:r>
      <w:r>
        <w:instrText xml:space="preserve"> PAGEREF _Toc287360180 \h </w:instrText>
      </w:r>
      <w:r>
        <w:fldChar w:fldCharType="separate"/>
      </w:r>
      <w:r>
        <w:t>12</w:t>
      </w:r>
      <w:r>
        <w:fldChar w:fldCharType="end"/>
      </w:r>
    </w:p>
    <w:p>
      <w:pPr>
        <w:pStyle w:val="TOC8"/>
        <w:rPr>
          <w:sz w:val="24"/>
          <w:szCs w:val="24"/>
          <w:lang w:val="en-US"/>
        </w:rPr>
      </w:pPr>
      <w:r>
        <w:t>11.</w:t>
      </w:r>
      <w:r>
        <w:tab/>
        <w:t>Recovery of unpaid fees</w:t>
      </w:r>
      <w:r>
        <w:tab/>
      </w:r>
      <w:r>
        <w:fldChar w:fldCharType="begin"/>
      </w:r>
      <w:r>
        <w:instrText xml:space="preserve"> PAGEREF _Toc287360181 \h </w:instrText>
      </w:r>
      <w:r>
        <w:fldChar w:fldCharType="separate"/>
      </w:r>
      <w:r>
        <w:t>13</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 Division fees</w:t>
      </w:r>
    </w:p>
    <w:p>
      <w:pPr>
        <w:pStyle w:val="TOC4"/>
        <w:tabs>
          <w:tab w:val="right" w:leader="dot" w:pos="7086"/>
        </w:tabs>
        <w:rPr>
          <w:b w:val="0"/>
          <w:sz w:val="24"/>
          <w:szCs w:val="24"/>
          <w:lang w:val="en-US"/>
        </w:rPr>
      </w:pPr>
      <w:r>
        <w:t>Division 2</w:t>
      </w:r>
      <w:r>
        <w:rPr>
          <w:b w:val="0"/>
        </w:rPr>
        <w:t> — </w:t>
      </w:r>
      <w:r>
        <w:t>Court of Appeal fees</w:t>
      </w:r>
    </w:p>
    <w:p>
      <w:pPr>
        <w:pStyle w:val="TOC2"/>
        <w:tabs>
          <w:tab w:val="right" w:leader="dot" w:pos="7086"/>
        </w:tabs>
        <w:rPr>
          <w:b w:val="0"/>
          <w:sz w:val="24"/>
          <w:szCs w:val="24"/>
          <w:lang w:val="en-US"/>
        </w:rPr>
      </w:pPr>
      <w:r>
        <w:t>Schedule 2 — Sheriff’s fees</w:t>
      </w:r>
    </w:p>
    <w:p>
      <w:pPr>
        <w:pStyle w:val="TOC2"/>
        <w:tabs>
          <w:tab w:val="right" w:leader="dot" w:pos="7086"/>
        </w:tabs>
        <w:rPr>
          <w:b w:val="0"/>
          <w:sz w:val="24"/>
          <w:szCs w:val="24"/>
          <w:lang w:val="en-US"/>
        </w:rPr>
      </w:pPr>
      <w:r>
        <w:t>Schedule 3 — Probate fees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_Toc287360189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287360169"/>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28736017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287360171"/>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287360172"/>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287360173"/>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w:t>
      </w:r>
    </w:p>
    <w:p>
      <w:pPr>
        <w:pStyle w:val="Heading5"/>
      </w:pPr>
      <w:bookmarkStart w:id="60" w:name="_Toc287360174"/>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287360175"/>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287360176"/>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82" w:name="_Toc107626238"/>
      <w:bookmarkStart w:id="83" w:name="_Toc145814158"/>
      <w:bookmarkStart w:id="84" w:name="_Toc287360177"/>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287360178"/>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287360179"/>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287360180"/>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287360181"/>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287360182"/>
      <w:bookmarkStart w:id="109" w:name="_Toc533218894"/>
      <w:bookmarkStart w:id="110" w:name="_Toc533480360"/>
      <w:bookmarkStart w:id="111" w:name="_Toc107626249"/>
      <w:bookmarkStart w:id="112" w:name="_Toc139175209"/>
      <w:bookmarkStart w:id="113" w:name="_Toc139365940"/>
      <w:bookmarkStart w:id="114" w:name="_Toc141847811"/>
      <w:bookmarkStart w:id="115" w:name="_Toc142382645"/>
      <w:bookmarkStart w:id="116" w:name="_Toc144009328"/>
      <w:bookmarkStart w:id="117" w:name="_Toc144009444"/>
      <w:bookmarkStart w:id="118" w:name="_Toc144010742"/>
      <w:bookmarkStart w:id="119" w:name="_Toc144616506"/>
      <w:bookmarkStart w:id="120" w:name="_Toc145814169"/>
      <w:bookmarkStart w:id="121" w:name="_Toc170790395"/>
      <w:bookmarkStart w:id="122" w:name="_Toc171051025"/>
      <w:bookmarkStart w:id="123" w:name="_Toc202265391"/>
      <w:bookmarkStart w:id="124" w:name="_Toc232310903"/>
      <w:bookmarkStart w:id="125" w:name="_Toc233086412"/>
      <w:bookmarkStart w:id="126" w:name="_Toc233519305"/>
      <w:bookmarkStart w:id="127" w:name="_Toc233526464"/>
      <w:bookmarkEnd w:id="102"/>
      <w:r>
        <w:rPr>
          <w:rStyle w:val="CharSchNo"/>
        </w:rPr>
        <w:t>Schedule 1</w:t>
      </w:r>
      <w:r>
        <w:t> — </w:t>
      </w:r>
      <w:r>
        <w:rPr>
          <w:rStyle w:val="CharSchText"/>
        </w:rPr>
        <w:t>Fees</w:t>
      </w:r>
      <w:bookmarkEnd w:id="103"/>
      <w:bookmarkEnd w:id="104"/>
      <w:bookmarkEnd w:id="105"/>
      <w:bookmarkEnd w:id="106"/>
      <w:bookmarkEnd w:id="107"/>
      <w:bookmarkEnd w:id="108"/>
    </w:p>
    <w:p>
      <w:pPr>
        <w:pStyle w:val="yShoulderClause"/>
      </w:pPr>
      <w:r>
        <w:t>[r. 4]</w:t>
      </w:r>
    </w:p>
    <w:p>
      <w:pPr>
        <w:pStyle w:val="yFootnoteheading"/>
        <w:spacing w:before="100"/>
      </w:pPr>
      <w:r>
        <w:tab/>
        <w:t>[Heading inserted in Gazette 4 Sep 2009 p. 3462.]</w:t>
      </w:r>
    </w:p>
    <w:p>
      <w:pPr>
        <w:pStyle w:val="yHeading3"/>
      </w:pPr>
      <w:bookmarkStart w:id="128" w:name="_Toc239758529"/>
      <w:bookmarkStart w:id="129" w:name="_Toc239761853"/>
      <w:bookmarkStart w:id="130" w:name="_Toc244333852"/>
      <w:bookmarkStart w:id="131" w:name="_Toc245873244"/>
      <w:bookmarkStart w:id="132" w:name="_Toc268173681"/>
      <w:bookmarkStart w:id="133" w:name="_Toc287360183"/>
      <w:r>
        <w:rPr>
          <w:rStyle w:val="CharSDivNo"/>
        </w:rPr>
        <w:t>Division 1</w:t>
      </w:r>
      <w:r>
        <w:rPr>
          <w:b w:val="0"/>
        </w:rPr>
        <w:t> — </w:t>
      </w:r>
      <w:r>
        <w:rPr>
          <w:rStyle w:val="CharSDivText"/>
        </w:rPr>
        <w:t>General Division fees</w:t>
      </w:r>
      <w:bookmarkEnd w:id="128"/>
      <w:bookmarkEnd w:id="129"/>
      <w:bookmarkEnd w:id="130"/>
      <w:bookmarkEnd w:id="131"/>
      <w:bookmarkEnd w:id="132"/>
      <w:bookmarkEnd w:id="133"/>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t>784.00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1 529.00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t>784.00</w:t>
            </w:r>
          </w:p>
          <w:p>
            <w:pPr>
              <w:pStyle w:val="yTableNAm"/>
              <w:tabs>
                <w:tab w:val="clear" w:pos="567"/>
              </w:tabs>
              <w:ind w:right="206"/>
              <w:jc w:val="right"/>
            </w:pPr>
            <w:r>
              <w:br/>
              <w:t>784.00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t>261.00</w:t>
            </w:r>
          </w:p>
          <w:p>
            <w:pPr>
              <w:pStyle w:val="yTableNAm"/>
              <w:tabs>
                <w:tab w:val="clear" w:pos="567"/>
              </w:tabs>
              <w:ind w:right="206"/>
              <w:jc w:val="right"/>
            </w:pPr>
            <w:r>
              <w:br/>
            </w:r>
            <w:r>
              <w:br/>
              <w:t>261.00</w:t>
            </w:r>
          </w:p>
        </w:tc>
        <w:tc>
          <w:tcPr>
            <w:tcW w:w="1239" w:type="dxa"/>
          </w:tcPr>
          <w:p>
            <w:pPr>
              <w:pStyle w:val="yTableNAm"/>
              <w:tabs>
                <w:tab w:val="clear" w:pos="567"/>
              </w:tabs>
              <w:ind w:right="203"/>
              <w:jc w:val="right"/>
            </w:pPr>
          </w:p>
          <w:p>
            <w:pPr>
              <w:pStyle w:val="yTableNAm"/>
              <w:tabs>
                <w:tab w:val="clear" w:pos="567"/>
              </w:tabs>
              <w:ind w:right="203"/>
              <w:jc w:val="right"/>
            </w:pPr>
            <w:r>
              <w:t>1 529.00</w:t>
            </w:r>
          </w:p>
          <w:p>
            <w:pPr>
              <w:pStyle w:val="yTableNAm"/>
              <w:tabs>
                <w:tab w:val="clear" w:pos="567"/>
              </w:tabs>
              <w:ind w:right="203"/>
              <w:jc w:val="right"/>
            </w:pPr>
            <w:r>
              <w:br/>
              <w:t>1 529.00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t>511.50</w:t>
            </w:r>
          </w:p>
          <w:p>
            <w:pPr>
              <w:pStyle w:val="yTableNAm"/>
              <w:tabs>
                <w:tab w:val="clear" w:pos="567"/>
              </w:tabs>
              <w:ind w:right="203"/>
              <w:jc w:val="right"/>
            </w:pPr>
            <w:r>
              <w:br/>
            </w:r>
            <w:r>
              <w:br/>
              <w:t>511.50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t>525.00</w:t>
            </w:r>
          </w:p>
        </w:tc>
        <w:tc>
          <w:tcPr>
            <w:tcW w:w="1239" w:type="dxa"/>
          </w:tcPr>
          <w:p>
            <w:pPr>
              <w:pStyle w:val="yTableNAm"/>
              <w:tabs>
                <w:tab w:val="clear" w:pos="567"/>
              </w:tabs>
              <w:ind w:right="203"/>
              <w:jc w:val="right"/>
            </w:pPr>
            <w:r>
              <w:br/>
              <w:t>1 023.00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t>784.00</w:t>
            </w:r>
          </w:p>
        </w:tc>
        <w:tc>
          <w:tcPr>
            <w:tcW w:w="1239" w:type="dxa"/>
          </w:tcPr>
          <w:p>
            <w:pPr>
              <w:pStyle w:val="yTableNAm"/>
              <w:tabs>
                <w:tab w:val="clear" w:pos="567"/>
              </w:tabs>
              <w:ind w:right="203"/>
              <w:jc w:val="right"/>
            </w:pPr>
            <w:r>
              <w:br/>
            </w:r>
            <w:r>
              <w:br/>
              <w:t>1 529.00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t>525.00</w:t>
            </w:r>
          </w:p>
        </w:tc>
        <w:tc>
          <w:tcPr>
            <w:tcW w:w="1239" w:type="dxa"/>
          </w:tcPr>
          <w:p>
            <w:pPr>
              <w:pStyle w:val="yTableNAm"/>
              <w:tabs>
                <w:tab w:val="clear" w:pos="567"/>
              </w:tabs>
              <w:ind w:right="203"/>
              <w:jc w:val="right"/>
            </w:pPr>
            <w:r>
              <w:br/>
              <w:t>1 364.00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t>525.00</w:t>
            </w:r>
          </w:p>
        </w:tc>
        <w:tc>
          <w:tcPr>
            <w:tcW w:w="1239" w:type="dxa"/>
          </w:tcPr>
          <w:p>
            <w:pPr>
              <w:pStyle w:val="yTableNAm"/>
              <w:keepNext/>
              <w:tabs>
                <w:tab w:val="clear" w:pos="567"/>
              </w:tabs>
              <w:ind w:right="203"/>
              <w:jc w:val="right"/>
            </w:pPr>
            <w:r>
              <w:br/>
            </w:r>
            <w:r>
              <w:br/>
              <w:t>1 364.00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t>184.50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t>358.50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t>184.50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t>358.50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$1.00.</w:t>
            </w:r>
          </w:p>
        </w:tc>
        <w:tc>
          <w:tcPr>
            <w:tcW w:w="1276" w:type="dxa"/>
          </w:tcPr>
          <w:p>
            <w:pPr>
              <w:pStyle w:val="yTableNAm"/>
              <w:tabs>
                <w:tab w:val="clear" w:pos="567"/>
              </w:tabs>
              <w:spacing w:before="100"/>
              <w:ind w:right="204"/>
              <w:jc w:val="right"/>
            </w:pPr>
            <w:r>
              <w:br/>
            </w:r>
            <w:r>
              <w:br/>
              <w:t>26.50</w:t>
            </w:r>
          </w:p>
        </w:tc>
        <w:tc>
          <w:tcPr>
            <w:tcW w:w="1239" w:type="dxa"/>
          </w:tcPr>
          <w:p>
            <w:pPr>
              <w:pStyle w:val="yTableNAm"/>
              <w:tabs>
                <w:tab w:val="clear" w:pos="567"/>
              </w:tabs>
              <w:spacing w:before="100"/>
              <w:ind w:right="204"/>
              <w:jc w:val="right"/>
            </w:pPr>
            <w:r>
              <w:br/>
            </w:r>
            <w:r>
              <w:br/>
              <w:t>26.50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t>39.00</w:t>
            </w:r>
          </w:p>
          <w:p>
            <w:pPr>
              <w:pStyle w:val="yTableNAm"/>
              <w:tabs>
                <w:tab w:val="clear" w:pos="567"/>
              </w:tabs>
              <w:spacing w:before="60"/>
              <w:ind w:right="204"/>
              <w:jc w:val="right"/>
            </w:pPr>
            <w:r>
              <w:br/>
            </w:r>
            <w:r>
              <w:br/>
            </w:r>
            <w:r>
              <w:br/>
            </w:r>
            <w:r>
              <w:br/>
            </w:r>
            <w:r>
              <w:br/>
            </w:r>
            <w:r>
              <w:br/>
            </w:r>
            <w:r>
              <w:br/>
              <w:t>65.50</w:t>
            </w:r>
          </w:p>
        </w:tc>
        <w:tc>
          <w:tcPr>
            <w:tcW w:w="1239" w:type="dxa"/>
          </w:tcPr>
          <w:p>
            <w:pPr>
              <w:pStyle w:val="yTableNAm"/>
              <w:tabs>
                <w:tab w:val="clear" w:pos="567"/>
              </w:tabs>
              <w:spacing w:before="100"/>
              <w:ind w:right="204"/>
              <w:jc w:val="right"/>
            </w:pPr>
            <w:r>
              <w:br/>
            </w:r>
            <w:r>
              <w:br/>
            </w:r>
            <w:r>
              <w:br/>
            </w:r>
            <w:r>
              <w:br/>
              <w:t>39.00</w:t>
            </w:r>
          </w:p>
          <w:p>
            <w:pPr>
              <w:pStyle w:val="yTableNAm"/>
              <w:tabs>
                <w:tab w:val="clear" w:pos="567"/>
              </w:tabs>
              <w:spacing w:before="60"/>
              <w:ind w:right="204"/>
              <w:jc w:val="right"/>
            </w:pPr>
            <w:r>
              <w:br/>
            </w:r>
            <w:r>
              <w:br/>
            </w:r>
            <w:r>
              <w:br/>
            </w:r>
            <w:r>
              <w:br/>
            </w:r>
            <w:r>
              <w:br/>
            </w:r>
            <w:r>
              <w:br/>
            </w:r>
            <w:r>
              <w:br/>
              <w:t>65.50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9.20</w:t>
            </w:r>
          </w:p>
          <w:p>
            <w:pPr>
              <w:pStyle w:val="yTableNAm"/>
              <w:tabs>
                <w:tab w:val="clear" w:pos="567"/>
              </w:tabs>
              <w:ind w:right="206"/>
              <w:jc w:val="right"/>
            </w:pPr>
            <w:r>
              <w:br/>
            </w:r>
            <w:r>
              <w:br/>
              <w:t>1.15</w:t>
            </w:r>
          </w:p>
          <w:p>
            <w:pPr>
              <w:pStyle w:val="yTableNAm"/>
              <w:tabs>
                <w:tab w:val="clear" w:pos="567"/>
              </w:tabs>
              <w:ind w:right="206"/>
              <w:jc w:val="right"/>
            </w:pPr>
            <w:r>
              <w:br/>
            </w:r>
            <w:r>
              <w:br/>
              <w:t>12.75</w:t>
            </w:r>
          </w:p>
          <w:p>
            <w:pPr>
              <w:pStyle w:val="yTableNAm"/>
              <w:tabs>
                <w:tab w:val="clear" w:pos="567"/>
              </w:tabs>
              <w:ind w:right="206"/>
              <w:jc w:val="right"/>
            </w:pPr>
            <w:r>
              <w:br/>
              <w:t>27.50</w:t>
            </w:r>
          </w:p>
          <w:p>
            <w:pPr>
              <w:pStyle w:val="yTableNAm"/>
              <w:tabs>
                <w:tab w:val="clear" w:pos="567"/>
              </w:tabs>
              <w:ind w:right="206"/>
              <w:jc w:val="right"/>
            </w:pPr>
            <w:r>
              <w:br/>
            </w:r>
            <w:r>
              <w:br/>
            </w:r>
            <w:r>
              <w:br/>
            </w:r>
            <w:r>
              <w:br/>
              <w:t>52.50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9.20</w:t>
            </w:r>
          </w:p>
          <w:p>
            <w:pPr>
              <w:pStyle w:val="yTableNAm"/>
              <w:tabs>
                <w:tab w:val="clear" w:pos="567"/>
              </w:tabs>
              <w:ind w:right="203"/>
              <w:jc w:val="right"/>
            </w:pPr>
            <w:r>
              <w:br/>
            </w:r>
            <w:r>
              <w:br/>
              <w:t>1.15</w:t>
            </w:r>
          </w:p>
          <w:p>
            <w:pPr>
              <w:pStyle w:val="yTableNAm"/>
              <w:tabs>
                <w:tab w:val="clear" w:pos="567"/>
              </w:tabs>
              <w:ind w:right="203"/>
              <w:jc w:val="right"/>
            </w:pPr>
            <w:r>
              <w:br/>
            </w:r>
            <w:r>
              <w:br/>
              <w:t>12.75</w:t>
            </w:r>
          </w:p>
          <w:p>
            <w:pPr>
              <w:pStyle w:val="yTableNAm"/>
              <w:tabs>
                <w:tab w:val="clear" w:pos="567"/>
              </w:tabs>
              <w:ind w:right="203"/>
              <w:jc w:val="right"/>
            </w:pPr>
            <w:r>
              <w:br/>
              <w:t>27.50</w:t>
            </w:r>
          </w:p>
          <w:p>
            <w:pPr>
              <w:pStyle w:val="yTableNAm"/>
              <w:tabs>
                <w:tab w:val="clear" w:pos="567"/>
              </w:tabs>
              <w:ind w:right="203"/>
              <w:jc w:val="right"/>
            </w:pPr>
            <w:r>
              <w:br/>
            </w:r>
            <w:r>
              <w:br/>
            </w:r>
            <w:r>
              <w:br/>
            </w:r>
            <w:r>
              <w:br/>
              <w:t>52.50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5.15</w:t>
            </w:r>
          </w:p>
          <w:p>
            <w:pPr>
              <w:pStyle w:val="yTableNAm"/>
              <w:tabs>
                <w:tab w:val="clear" w:pos="567"/>
              </w:tabs>
              <w:ind w:right="206"/>
              <w:jc w:val="right"/>
            </w:pPr>
            <w:r>
              <w:br/>
            </w:r>
            <w:r>
              <w:br/>
            </w:r>
            <w:r>
              <w:br/>
            </w:r>
            <w:r>
              <w:br/>
              <w:t>12.75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5.15</w:t>
            </w:r>
          </w:p>
          <w:p>
            <w:pPr>
              <w:pStyle w:val="yTableNAm"/>
              <w:tabs>
                <w:tab w:val="clear" w:pos="567"/>
              </w:tabs>
              <w:ind w:right="203"/>
              <w:jc w:val="right"/>
            </w:pPr>
            <w:r>
              <w:br/>
            </w:r>
            <w:r>
              <w:br/>
            </w:r>
            <w:r>
              <w:br/>
            </w:r>
            <w:r>
              <w:br/>
              <w:t>12.75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t>220.00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w:t>
      </w:r>
    </w:p>
    <w:p>
      <w:pPr>
        <w:pStyle w:val="yHeading3"/>
      </w:pPr>
      <w:bookmarkStart w:id="134" w:name="_Toc239758530"/>
      <w:bookmarkStart w:id="135" w:name="_Toc239761854"/>
      <w:bookmarkStart w:id="136" w:name="_Toc244333853"/>
      <w:bookmarkStart w:id="137" w:name="_Toc245873245"/>
      <w:bookmarkStart w:id="138" w:name="_Toc268173682"/>
      <w:bookmarkStart w:id="139" w:name="_Toc287360184"/>
      <w:r>
        <w:rPr>
          <w:rStyle w:val="CharSDivNo"/>
        </w:rPr>
        <w:t>Division 2</w:t>
      </w:r>
      <w:r>
        <w:rPr>
          <w:b w:val="0"/>
        </w:rPr>
        <w:t> — </w:t>
      </w:r>
      <w:r>
        <w:rPr>
          <w:rStyle w:val="CharSDivText"/>
        </w:rPr>
        <w:t>Court of Appeal fees</w:t>
      </w:r>
      <w:bookmarkEnd w:id="134"/>
      <w:bookmarkEnd w:id="135"/>
      <w:bookmarkEnd w:id="136"/>
      <w:bookmarkEnd w:id="137"/>
      <w:bookmarkEnd w:id="138"/>
      <w:bookmarkEnd w:id="139"/>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t>130.50</w:t>
            </w:r>
          </w:p>
        </w:tc>
        <w:tc>
          <w:tcPr>
            <w:tcW w:w="1240" w:type="dxa"/>
          </w:tcPr>
          <w:p>
            <w:pPr>
              <w:pStyle w:val="yTableNAm"/>
              <w:tabs>
                <w:tab w:val="clear" w:pos="567"/>
              </w:tabs>
              <w:ind w:right="204"/>
              <w:jc w:val="right"/>
            </w:pPr>
            <w:r>
              <w:t>339.00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TableAm"/>
              <w:rPr>
                <w:sz w:val="22"/>
              </w:rPr>
            </w:pPr>
            <w:r>
              <w:rPr>
                <w:sz w:val="22"/>
              </w:rPr>
              <w:t>1 972.00</w:t>
            </w:r>
          </w:p>
          <w:p>
            <w:pPr>
              <w:pStyle w:val="yTableNAm"/>
              <w:tabs>
                <w:tab w:val="clear" w:pos="567"/>
              </w:tabs>
              <w:ind w:right="206"/>
              <w:jc w:val="right"/>
            </w:pP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5 125.00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t>261.00</w:t>
            </w:r>
          </w:p>
        </w:tc>
        <w:tc>
          <w:tcPr>
            <w:tcW w:w="1240" w:type="dxa"/>
          </w:tcPr>
          <w:p>
            <w:pPr>
              <w:pStyle w:val="yTableNAm"/>
              <w:tabs>
                <w:tab w:val="clear" w:pos="567"/>
              </w:tabs>
              <w:ind w:right="204"/>
              <w:jc w:val="right"/>
            </w:pPr>
            <w:r>
              <w:br/>
            </w:r>
            <w:r>
              <w:br/>
            </w:r>
            <w:r>
              <w:br/>
            </w:r>
            <w:r>
              <w:br/>
              <w:t>511.50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t>184.50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t>358.50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t>657.00</w:t>
            </w:r>
          </w:p>
        </w:tc>
        <w:tc>
          <w:tcPr>
            <w:tcW w:w="1240" w:type="dxa"/>
          </w:tcPr>
          <w:p>
            <w:pPr>
              <w:pStyle w:val="yTableNAm"/>
              <w:keepNext/>
              <w:tabs>
                <w:tab w:val="clear" w:pos="567"/>
              </w:tabs>
              <w:ind w:right="204"/>
              <w:jc w:val="right"/>
            </w:pPr>
            <w:r>
              <w:t>1 280.00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t>525.00</w:t>
            </w:r>
          </w:p>
        </w:tc>
        <w:tc>
          <w:tcPr>
            <w:tcW w:w="1240" w:type="dxa"/>
          </w:tcPr>
          <w:p>
            <w:pPr>
              <w:pStyle w:val="yTableNAm"/>
              <w:tabs>
                <w:tab w:val="clear" w:pos="567"/>
              </w:tabs>
              <w:ind w:right="204"/>
              <w:jc w:val="right"/>
            </w:pPr>
            <w:r>
              <w:br/>
              <w:t>1 364.00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t>525.00</w:t>
            </w:r>
          </w:p>
        </w:tc>
        <w:tc>
          <w:tcPr>
            <w:tcW w:w="1240" w:type="dxa"/>
          </w:tcPr>
          <w:p>
            <w:pPr>
              <w:pStyle w:val="yTableNAm"/>
              <w:tabs>
                <w:tab w:val="clear" w:pos="567"/>
              </w:tabs>
              <w:ind w:right="204"/>
              <w:jc w:val="right"/>
            </w:pPr>
            <w:r>
              <w:t>1 364.00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26.50</w:t>
            </w:r>
          </w:p>
        </w:tc>
        <w:tc>
          <w:tcPr>
            <w:tcW w:w="1240" w:type="dxa"/>
          </w:tcPr>
          <w:p>
            <w:pPr>
              <w:pStyle w:val="yTableNAm"/>
              <w:tabs>
                <w:tab w:val="clear" w:pos="567"/>
              </w:tabs>
              <w:ind w:right="204"/>
              <w:jc w:val="right"/>
            </w:pPr>
            <w:r>
              <w:br/>
            </w:r>
            <w:r>
              <w:br/>
              <w:t>26.50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9.20</w:t>
            </w:r>
          </w:p>
          <w:p>
            <w:pPr>
              <w:pStyle w:val="yTableNAm"/>
              <w:tabs>
                <w:tab w:val="clear" w:pos="567"/>
              </w:tabs>
              <w:ind w:right="206"/>
              <w:jc w:val="right"/>
            </w:pPr>
            <w:r>
              <w:br/>
            </w:r>
            <w:r>
              <w:br/>
              <w:t>1.15</w:t>
            </w:r>
          </w:p>
          <w:p>
            <w:pPr>
              <w:pStyle w:val="yTableNAm"/>
              <w:tabs>
                <w:tab w:val="clear" w:pos="567"/>
              </w:tabs>
              <w:ind w:right="206"/>
              <w:jc w:val="right"/>
            </w:pPr>
            <w:r>
              <w:br/>
            </w:r>
            <w:r>
              <w:br/>
              <w:t>12.75</w:t>
            </w:r>
          </w:p>
          <w:p>
            <w:pPr>
              <w:pStyle w:val="yTableNAm"/>
              <w:tabs>
                <w:tab w:val="clear" w:pos="567"/>
              </w:tabs>
              <w:ind w:right="206"/>
              <w:jc w:val="right"/>
            </w:pPr>
            <w:r>
              <w:br/>
              <w:t>27.50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9.20</w:t>
            </w:r>
          </w:p>
          <w:p>
            <w:pPr>
              <w:pStyle w:val="yTableNAm"/>
              <w:tabs>
                <w:tab w:val="clear" w:pos="567"/>
              </w:tabs>
              <w:ind w:right="204"/>
              <w:jc w:val="right"/>
            </w:pPr>
            <w:r>
              <w:br/>
            </w:r>
            <w:r>
              <w:br/>
              <w:t>1.15</w:t>
            </w:r>
          </w:p>
          <w:p>
            <w:pPr>
              <w:pStyle w:val="yTableNAm"/>
              <w:tabs>
                <w:tab w:val="clear" w:pos="567"/>
              </w:tabs>
              <w:ind w:right="204"/>
              <w:jc w:val="right"/>
            </w:pPr>
            <w:r>
              <w:br/>
            </w:r>
            <w:r>
              <w:br/>
              <w:t>12.75</w:t>
            </w:r>
          </w:p>
          <w:p>
            <w:pPr>
              <w:pStyle w:val="yTableNAm"/>
              <w:tabs>
                <w:tab w:val="clear" w:pos="567"/>
              </w:tabs>
              <w:ind w:right="204"/>
              <w:jc w:val="right"/>
            </w:pPr>
            <w:r>
              <w:br/>
              <w:t>27.50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5.15</w:t>
            </w:r>
          </w:p>
          <w:p>
            <w:pPr>
              <w:pStyle w:val="yTableNAm"/>
              <w:tabs>
                <w:tab w:val="clear" w:pos="567"/>
              </w:tabs>
              <w:ind w:right="206"/>
              <w:jc w:val="right"/>
            </w:pPr>
            <w:r>
              <w:br/>
            </w:r>
            <w:r>
              <w:br/>
            </w:r>
            <w:r>
              <w:br/>
            </w:r>
            <w:r>
              <w:br/>
            </w:r>
            <w:r>
              <w:br/>
              <w:t>12.75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t>  5.15</w:t>
            </w:r>
          </w:p>
          <w:p>
            <w:pPr>
              <w:pStyle w:val="yTableNAm"/>
              <w:tabs>
                <w:tab w:val="clear" w:pos="567"/>
              </w:tabs>
              <w:ind w:right="204"/>
              <w:jc w:val="right"/>
            </w:pPr>
            <w:r>
              <w:br/>
            </w:r>
            <w:r>
              <w:br/>
            </w:r>
            <w:r>
              <w:br/>
            </w:r>
            <w:r>
              <w:br/>
            </w:r>
            <w:r>
              <w:br/>
              <w:t>12.75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w:t>
      </w:r>
    </w:p>
    <w:p>
      <w:pPr>
        <w:pStyle w:val="yScheduleHeading"/>
      </w:pPr>
      <w:bookmarkStart w:id="140" w:name="_Toc239758531"/>
      <w:bookmarkStart w:id="141" w:name="_Toc239761855"/>
      <w:bookmarkStart w:id="142" w:name="_Toc244333854"/>
      <w:bookmarkStart w:id="143" w:name="_Toc245873246"/>
      <w:bookmarkStart w:id="144" w:name="_Toc268173683"/>
      <w:bookmarkStart w:id="145" w:name="_Toc287360185"/>
      <w:r>
        <w:rPr>
          <w:rStyle w:val="CharSchNo"/>
        </w:rPr>
        <w:t>Schedule 2</w:t>
      </w:r>
      <w:r>
        <w:rPr>
          <w:rStyle w:val="CharSDivNo"/>
        </w:rPr>
        <w:t> </w:t>
      </w:r>
      <w:r>
        <w:t>—</w:t>
      </w:r>
      <w:r>
        <w:rPr>
          <w:rStyle w:val="CharSDivText"/>
        </w:rPr>
        <w:t> </w:t>
      </w:r>
      <w:r>
        <w:rPr>
          <w:rStyle w:val="CharSchText"/>
        </w:rPr>
        <w:t>Sheriff’s fees</w:t>
      </w:r>
      <w:bookmarkEnd w:id="140"/>
      <w:bookmarkEnd w:id="141"/>
      <w:bookmarkEnd w:id="142"/>
      <w:bookmarkEnd w:id="143"/>
      <w:bookmarkEnd w:id="144"/>
      <w:bookmarkEnd w:id="145"/>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83.00</w:t>
            </w:r>
          </w:p>
          <w:p>
            <w:pPr>
              <w:pStyle w:val="yTableNAm"/>
              <w:tabs>
                <w:tab w:val="clear" w:pos="567"/>
              </w:tabs>
              <w:spacing w:before="80"/>
              <w:ind w:right="241"/>
              <w:jc w:val="right"/>
            </w:pPr>
            <w:r>
              <w:br/>
            </w:r>
            <w:r>
              <w:br/>
              <w:t>83.00</w:t>
            </w:r>
          </w:p>
          <w:p>
            <w:pPr>
              <w:pStyle w:val="yTableNAm"/>
              <w:tabs>
                <w:tab w:val="clear" w:pos="567"/>
              </w:tabs>
              <w:spacing w:before="80"/>
              <w:ind w:right="241"/>
              <w:jc w:val="right"/>
            </w:pPr>
            <w:r>
              <w:br/>
            </w:r>
            <w:r>
              <w:br/>
            </w:r>
            <w:r>
              <w:br/>
            </w:r>
            <w:r>
              <w:br/>
              <w:t>22.00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45.50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44.00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141.50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w:t>
      </w:r>
    </w:p>
    <w:p>
      <w:pPr>
        <w:pStyle w:val="yScheduleHeading"/>
      </w:pPr>
      <w:bookmarkStart w:id="146" w:name="_Toc239758532"/>
      <w:bookmarkStart w:id="147" w:name="_Toc239761856"/>
      <w:bookmarkStart w:id="148" w:name="_Toc244333855"/>
      <w:bookmarkStart w:id="149" w:name="_Toc245873247"/>
      <w:bookmarkStart w:id="150" w:name="_Toc268173684"/>
      <w:bookmarkStart w:id="151" w:name="_Toc287360186"/>
      <w:r>
        <w:rPr>
          <w:rStyle w:val="CharSchNo"/>
        </w:rPr>
        <w:t>Schedule 3</w:t>
      </w:r>
      <w:r>
        <w:t> — </w:t>
      </w:r>
      <w:r>
        <w:rPr>
          <w:rStyle w:val="CharSchText"/>
        </w:rPr>
        <w:t>Probate fees</w:t>
      </w:r>
      <w:bookmarkEnd w:id="146"/>
      <w:bookmarkEnd w:id="147"/>
      <w:bookmarkEnd w:id="148"/>
      <w:bookmarkEnd w:id="149"/>
      <w:bookmarkEnd w:id="150"/>
      <w:bookmarkEnd w:id="151"/>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52.50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52.50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65.50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26.50</w:t>
            </w:r>
          </w:p>
        </w:tc>
      </w:tr>
    </w:tbl>
    <w:p>
      <w:pPr>
        <w:pStyle w:val="yFootnotesection"/>
      </w:pPr>
      <w:r>
        <w:tab/>
        <w:t>[Schedule 3 inserted in Gazette 4 Sep 2009 p. 3471-2; amended in Gazette 8 Mar 2011 p. 784.]</w:t>
      </w:r>
    </w:p>
    <w:p>
      <w:pPr>
        <w:pStyle w:val="yScheduleHeading"/>
      </w:pPr>
      <w:bookmarkStart w:id="152" w:name="_Toc244333856"/>
      <w:bookmarkStart w:id="153" w:name="_Toc245873248"/>
      <w:bookmarkStart w:id="154" w:name="_Toc268173685"/>
      <w:bookmarkStart w:id="155" w:name="_Toc287360187"/>
      <w:r>
        <w:rPr>
          <w:rStyle w:val="CharSchNo"/>
        </w:rPr>
        <w:t>Schedule 4</w:t>
      </w:r>
      <w:r>
        <w:t xml:space="preserve"> — </w:t>
      </w:r>
      <w:r>
        <w:rPr>
          <w:rStyle w:val="CharSchText"/>
        </w:rPr>
        <w:t>Forms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52"/>
      <w:bookmarkEnd w:id="153"/>
      <w:bookmarkEnd w:id="154"/>
      <w:bookmarkEnd w:id="155"/>
    </w:p>
    <w:p>
      <w:pPr>
        <w:pStyle w:val="yShoulderClause"/>
        <w:spacing w:after="120"/>
      </w:pPr>
      <w:r>
        <w:t xml:space="preserve">[r. </w:t>
      </w:r>
      <w:bookmarkStart w:id="156" w:name="_Hlt533327436"/>
      <w:r>
        <w:t>4(7)</w:t>
      </w:r>
      <w:bookmarkEnd w:id="156"/>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In the Supreme Court of Western Australia</w:t>
            </w:r>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In the Supreme Court of Western Australia</w:t>
            </w:r>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In the Supreme Court of Western Australia</w:t>
            </w:r>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7" w:name="_Toc102891015"/>
      <w:bookmarkStart w:id="158" w:name="_Toc107626250"/>
      <w:bookmarkStart w:id="159" w:name="_Toc139175210"/>
      <w:bookmarkStart w:id="160" w:name="_Toc139365941"/>
      <w:bookmarkStart w:id="161" w:name="_Toc141847812"/>
      <w:bookmarkStart w:id="162" w:name="_Toc142382646"/>
      <w:bookmarkStart w:id="163" w:name="_Toc144009329"/>
      <w:bookmarkStart w:id="164" w:name="_Toc144009445"/>
      <w:bookmarkStart w:id="165" w:name="_Toc144010743"/>
      <w:bookmarkStart w:id="166" w:name="_Toc144616507"/>
      <w:bookmarkStart w:id="167" w:name="_Toc145814170"/>
      <w:bookmarkStart w:id="168" w:name="_Toc170790396"/>
      <w:bookmarkStart w:id="169" w:name="_Toc171051026"/>
      <w:bookmarkStart w:id="170" w:name="_Toc202265392"/>
      <w:bookmarkStart w:id="171" w:name="_Toc232310904"/>
      <w:bookmarkStart w:id="172" w:name="_Toc233086413"/>
      <w:bookmarkStart w:id="173" w:name="_Toc233519306"/>
      <w:bookmarkStart w:id="174" w:name="_Toc233526465"/>
      <w:bookmarkStart w:id="175" w:name="_Toc244333857"/>
      <w:bookmarkStart w:id="176" w:name="_Toc245873249"/>
      <w:bookmarkStart w:id="177" w:name="_Toc268173686"/>
      <w:bookmarkStart w:id="178" w:name="_Toc287360188"/>
      <w:r>
        <w:t>Notes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79" w:name="_Toc287360189"/>
      <w:r>
        <w:t>Compilation table</w:t>
      </w:r>
      <w:bookmarkEnd w:id="179"/>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2010</w:t>
            </w:r>
          </w:p>
        </w:tc>
        <w:tc>
          <w:tcPr>
            <w:tcW w:w="1288" w:type="dxa"/>
            <w:gridSpan w:val="2"/>
          </w:tcPr>
          <w:p>
            <w:pPr>
              <w:pStyle w:val="nTable"/>
              <w:spacing w:after="40"/>
              <w:rPr>
                <w:sz w:val="19"/>
              </w:rPr>
            </w:pPr>
            <w:r>
              <w:rPr>
                <w:sz w:val="19"/>
              </w:rPr>
              <w:t>30 Jul 2010 p. 3496-7</w:t>
            </w:r>
          </w:p>
        </w:tc>
        <w:tc>
          <w:tcPr>
            <w:tcW w:w="2694" w:type="dxa"/>
            <w:gridSpan w:val="2"/>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2011</w:t>
            </w:r>
          </w:p>
        </w:tc>
        <w:tc>
          <w:tcPr>
            <w:tcW w:w="1288" w:type="dxa"/>
            <w:gridSpan w:val="2"/>
            <w:tcBorders>
              <w:bottom w:val="single" w:sz="8" w:space="0" w:color="auto"/>
            </w:tcBorders>
          </w:tcPr>
          <w:p>
            <w:pPr>
              <w:pStyle w:val="nTable"/>
              <w:spacing w:after="40"/>
              <w:rPr>
                <w:sz w:val="19"/>
              </w:rPr>
            </w:pPr>
            <w:r>
              <w:rPr>
                <w:sz w:val="19"/>
              </w:rPr>
              <w:t>8 Mar 2011 p. 781</w:t>
            </w:r>
            <w:r>
              <w:rPr>
                <w:sz w:val="19"/>
              </w:rPr>
              <w:noBreakHyphen/>
              <w:t>4</w:t>
            </w:r>
          </w:p>
        </w:tc>
        <w:tc>
          <w:tcPr>
            <w:tcW w:w="2694" w:type="dxa"/>
            <w:gridSpan w:val="2"/>
            <w:tcBorders>
              <w:bottom w:val="single" w:sz="8" w:space="0" w:color="auto"/>
            </w:tcBorders>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bl>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180" w:name="_Toc233526467"/>
      <w:bookmarkStart w:id="181" w:name="_Toc244333859"/>
      <w:bookmarkStart w:id="182" w:name="_Toc245873251"/>
      <w:bookmarkStart w:id="183" w:name="_Toc268173688"/>
      <w:bookmarkStart w:id="184" w:name="_Toc287360190"/>
      <w:r>
        <w:rPr>
          <w:sz w:val="28"/>
        </w:rPr>
        <w:t>Defined Terms</w:t>
      </w:r>
      <w:bookmarkEnd w:id="180"/>
      <w:bookmarkEnd w:id="181"/>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5" w:name="DefinedTerms"/>
      <w:bookmarkEnd w:id="185"/>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19"/>
    <w:docVar w:name="WAFER_20151210160619" w:val="RemoveTrackChanges"/>
    <w:docVar w:name="WAFER_20151210160619_GUID" w:val="e2bd3e9c-9f94-4629-8cfd-6b64cf9228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7919</Words>
  <Characters>40389</Characters>
  <Application>Microsoft Office Word</Application>
  <DocSecurity>0</DocSecurity>
  <Lines>1835</Lines>
  <Paragraphs>966</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2002 - 02-c0-02</dc:title>
  <dc:subject/>
  <dc:creator/>
  <cp:keywords/>
  <dc:description/>
  <cp:lastModifiedBy>svcMRProcess</cp:lastModifiedBy>
  <cp:revision>4</cp:revision>
  <cp:lastPrinted>2009-11-13T03:17:00Z</cp:lastPrinted>
  <dcterms:created xsi:type="dcterms:W3CDTF">2018-09-16T21:48:00Z</dcterms:created>
  <dcterms:modified xsi:type="dcterms:W3CDTF">2018-09-16T21:48:00Z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20110309</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09 Mar 2011</vt:lpwstr>
  </property>
  <property fmtid="{D5CDD505-2E9C-101B-9397-08002B2CF9AE}" pid="8" name="Suffix">
    <vt:lpwstr>02-c0-02</vt:lpwstr>
  </property>
</Properties>
</file>