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1B1" w:rsidRDefault="003341B1">
      <w:pPr>
        <w:pStyle w:val="WA"/>
      </w:pPr>
      <w:bookmarkStart w:id="0" w:name="_GoBack"/>
      <w:bookmarkEnd w:id="0"/>
      <w:smartTag w:uri="urn:schemas-microsoft-com:office:smarttags" w:element="State">
        <w:smartTag w:uri="urn:schemas-microsoft-com:office:smarttags" w:element="place">
          <w:r>
            <w:t>Western Australia</w:t>
          </w:r>
        </w:smartTag>
      </w:smartTag>
    </w:p>
    <w:p w:rsidR="003341B1" w:rsidRDefault="003341B1">
      <w:pPr>
        <w:pStyle w:val="PrincipalActReg"/>
        <w:spacing w:before="2600" w:after="0"/>
      </w:pPr>
      <w:r>
        <w:t>Road Traffic Act 1974</w:t>
      </w:r>
    </w:p>
    <w:p w:rsidR="003341B1" w:rsidRDefault="003341B1">
      <w:pPr>
        <w:pStyle w:val="NameofActRegPage1"/>
        <w:spacing w:before="1800" w:after="4200"/>
      </w:pPr>
      <w:r>
        <w:fldChar w:fldCharType="begin"/>
      </w:r>
      <w:r>
        <w:instrText xml:space="preserve"> STYLEREF "Name Of Act/Reg"</w:instrText>
      </w:r>
      <w:r>
        <w:fldChar w:fldCharType="separate"/>
      </w:r>
      <w:r w:rsidR="00E21F6D">
        <w:rPr>
          <w:noProof/>
        </w:rPr>
        <w:t>Road Traffic (Miscellaneous) Regulations 2008</w:t>
      </w:r>
      <w:r>
        <w:fldChar w:fldCharType="end"/>
      </w:r>
    </w:p>
    <w:p w:rsidR="003341B1" w:rsidRDefault="003341B1">
      <w:pPr>
        <w:jc w:val="center"/>
        <w:rPr>
          <w:b/>
        </w:rPr>
        <w:sectPr w:rsidR="003341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lastRenderedPageBreak/>
            <w:t>Western Australia</w:t>
          </w:r>
        </w:smartTag>
      </w:smartTag>
    </w:p>
    <w:p w:rsidR="003341B1" w:rsidRDefault="003341B1">
      <w:pPr>
        <w:pStyle w:val="NameofActRegPage1"/>
      </w:pPr>
      <w:r>
        <w:fldChar w:fldCharType="begin"/>
      </w:r>
      <w:r>
        <w:instrText xml:space="preserve"> STYLEREF "Name Of Act/Reg"</w:instrText>
      </w:r>
      <w:r>
        <w:fldChar w:fldCharType="separate"/>
      </w:r>
      <w:r w:rsidR="00E21F6D">
        <w:rPr>
          <w:noProof/>
        </w:rPr>
        <w:t>Road Traffic (Miscellaneous) Regulations 2008</w:t>
      </w:r>
      <w:r>
        <w:fldChar w:fldCharType="end"/>
      </w:r>
    </w:p>
    <w:p w:rsidR="003341B1" w:rsidRDefault="003341B1">
      <w:pPr>
        <w:pStyle w:val="Arrangement"/>
      </w:pPr>
      <w:r>
        <w:t>CONTENTS</w:t>
      </w:r>
    </w:p>
    <w:p w:rsidR="00D579D8" w:rsidRDefault="003341B1">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579D8">
        <w:t>Part 1 — Preliminary</w:t>
      </w:r>
    </w:p>
    <w:p w:rsidR="00D579D8" w:rsidRDefault="00D579D8">
      <w:pPr>
        <w:pStyle w:val="TOC8"/>
        <w:rPr>
          <w:sz w:val="24"/>
          <w:szCs w:val="24"/>
          <w:lang w:val="en-US"/>
        </w:rPr>
      </w:pPr>
      <w:r>
        <w:t>1.</w:t>
      </w:r>
      <w:r>
        <w:tab/>
        <w:t>Citation</w:t>
      </w:r>
      <w:r>
        <w:tab/>
      </w:r>
      <w:r>
        <w:fldChar w:fldCharType="begin"/>
      </w:r>
      <w:r>
        <w:instrText xml:space="preserve"> PAGEREF _Toc288226930 \h </w:instrText>
      </w:r>
      <w:r>
        <w:fldChar w:fldCharType="separate"/>
      </w:r>
      <w:r w:rsidR="00E21F6D">
        <w:t>1</w:t>
      </w:r>
      <w:r>
        <w:fldChar w:fldCharType="end"/>
      </w:r>
    </w:p>
    <w:p w:rsidR="00D579D8" w:rsidRDefault="00D579D8">
      <w:pPr>
        <w:pStyle w:val="TOC8"/>
        <w:rPr>
          <w:sz w:val="24"/>
          <w:szCs w:val="24"/>
          <w:lang w:val="en-US"/>
        </w:rPr>
      </w:pPr>
      <w:r>
        <w:t>2</w:t>
      </w:r>
      <w:r w:rsidRPr="00D130D1">
        <w:rPr>
          <w:spacing w:val="-2"/>
        </w:rPr>
        <w:t>.</w:t>
      </w:r>
      <w:r w:rsidRPr="00D130D1">
        <w:rPr>
          <w:spacing w:val="-2"/>
        </w:rPr>
        <w:tab/>
        <w:t>Commencement</w:t>
      </w:r>
      <w:r>
        <w:tab/>
      </w:r>
      <w:r>
        <w:fldChar w:fldCharType="begin"/>
      </w:r>
      <w:r>
        <w:instrText xml:space="preserve"> PAGEREF _Toc288226931 \h </w:instrText>
      </w:r>
      <w:r>
        <w:fldChar w:fldCharType="separate"/>
      </w:r>
      <w:r w:rsidR="00E21F6D">
        <w:t>1</w:t>
      </w:r>
      <w:r>
        <w:fldChar w:fldCharType="end"/>
      </w:r>
    </w:p>
    <w:p w:rsidR="00D579D8" w:rsidRDefault="00D579D8">
      <w:pPr>
        <w:pStyle w:val="TOC8"/>
        <w:rPr>
          <w:sz w:val="24"/>
          <w:szCs w:val="24"/>
          <w:lang w:val="en-US"/>
        </w:rPr>
      </w:pPr>
      <w:r>
        <w:t>3.</w:t>
      </w:r>
      <w:r>
        <w:tab/>
        <w:t>Terms used in these regulations</w:t>
      </w:r>
      <w:r>
        <w:tab/>
      </w:r>
      <w:r>
        <w:fldChar w:fldCharType="begin"/>
      </w:r>
      <w:r>
        <w:instrText xml:space="preserve"> PAGEREF _Toc288226932 \h </w:instrText>
      </w:r>
      <w:r>
        <w:fldChar w:fldCharType="separate"/>
      </w:r>
      <w:r w:rsidR="00E21F6D">
        <w:t>1</w:t>
      </w:r>
      <w:r>
        <w:fldChar w:fldCharType="end"/>
      </w:r>
    </w:p>
    <w:p w:rsidR="00D579D8" w:rsidRDefault="00D579D8">
      <w:pPr>
        <w:pStyle w:val="TOC2"/>
        <w:tabs>
          <w:tab w:val="right" w:leader="dot" w:pos="7086"/>
        </w:tabs>
        <w:rPr>
          <w:b w:val="0"/>
          <w:sz w:val="24"/>
          <w:szCs w:val="24"/>
          <w:lang w:val="en-US"/>
        </w:rPr>
      </w:pPr>
      <w:r>
        <w:t>Part 2 — General</w:t>
      </w:r>
    </w:p>
    <w:p w:rsidR="00D579D8" w:rsidRDefault="00D579D8">
      <w:pPr>
        <w:pStyle w:val="TOC8"/>
        <w:rPr>
          <w:sz w:val="24"/>
          <w:szCs w:val="24"/>
          <w:lang w:val="en-US"/>
        </w:rPr>
      </w:pPr>
      <w:r>
        <w:t>4.</w:t>
      </w:r>
      <w:r>
        <w:tab/>
        <w:t>Caution for certain unauthorised driving offences</w:t>
      </w:r>
      <w:r>
        <w:tab/>
      </w:r>
      <w:r>
        <w:fldChar w:fldCharType="begin"/>
      </w:r>
      <w:r>
        <w:instrText xml:space="preserve"> PAGEREF _Toc288226934 \h </w:instrText>
      </w:r>
      <w:r>
        <w:fldChar w:fldCharType="separate"/>
      </w:r>
      <w:r w:rsidR="00E21F6D">
        <w:t>2</w:t>
      </w:r>
      <w:r>
        <w:fldChar w:fldCharType="end"/>
      </w:r>
    </w:p>
    <w:p w:rsidR="00D579D8" w:rsidRDefault="00D579D8">
      <w:pPr>
        <w:pStyle w:val="TOC8"/>
        <w:rPr>
          <w:sz w:val="24"/>
          <w:szCs w:val="24"/>
          <w:lang w:val="en-US"/>
        </w:rPr>
      </w:pPr>
      <w:r>
        <w:t>5.</w:t>
      </w:r>
      <w:r>
        <w:tab/>
        <w:t>Defence for failing to report minor damage</w:t>
      </w:r>
      <w:r>
        <w:tab/>
      </w:r>
      <w:r>
        <w:fldChar w:fldCharType="begin"/>
      </w:r>
      <w:r>
        <w:instrText xml:space="preserve"> PAGEREF _Toc288226935 \h </w:instrText>
      </w:r>
      <w:r>
        <w:fldChar w:fldCharType="separate"/>
      </w:r>
      <w:r w:rsidR="00E21F6D">
        <w:t>2</w:t>
      </w:r>
      <w:r>
        <w:fldChar w:fldCharType="end"/>
      </w:r>
    </w:p>
    <w:p w:rsidR="00D579D8" w:rsidRDefault="00D579D8">
      <w:pPr>
        <w:pStyle w:val="TOC2"/>
        <w:tabs>
          <w:tab w:val="right" w:leader="dot" w:pos="7086"/>
        </w:tabs>
        <w:rPr>
          <w:b w:val="0"/>
          <w:sz w:val="24"/>
          <w:szCs w:val="24"/>
          <w:lang w:val="en-US"/>
        </w:rPr>
      </w:pPr>
      <w:r>
        <w:t>Part 3 — Demerit point scheme</w:t>
      </w:r>
    </w:p>
    <w:p w:rsidR="00D579D8" w:rsidRDefault="00D579D8">
      <w:pPr>
        <w:pStyle w:val="TOC8"/>
        <w:rPr>
          <w:sz w:val="24"/>
          <w:szCs w:val="24"/>
          <w:lang w:val="en-US"/>
        </w:rPr>
      </w:pPr>
      <w:r>
        <w:t>6.</w:t>
      </w:r>
      <w:r>
        <w:tab/>
        <w:t>Demerit point offence in WA</w:t>
      </w:r>
      <w:r>
        <w:tab/>
      </w:r>
      <w:r>
        <w:fldChar w:fldCharType="begin"/>
      </w:r>
      <w:r>
        <w:instrText xml:space="preserve"> PAGEREF _Toc288226937 \h </w:instrText>
      </w:r>
      <w:r>
        <w:fldChar w:fldCharType="separate"/>
      </w:r>
      <w:r w:rsidR="00E21F6D">
        <w:t>3</w:t>
      </w:r>
      <w:r>
        <w:fldChar w:fldCharType="end"/>
      </w:r>
    </w:p>
    <w:p w:rsidR="00D579D8" w:rsidRDefault="00D579D8">
      <w:pPr>
        <w:pStyle w:val="TOC8"/>
        <w:rPr>
          <w:sz w:val="24"/>
          <w:szCs w:val="24"/>
          <w:lang w:val="en-US"/>
        </w:rPr>
      </w:pPr>
      <w:r>
        <w:t>7.</w:t>
      </w:r>
      <w:r>
        <w:tab/>
        <w:t>What is regarded as a holiday period</w:t>
      </w:r>
      <w:r>
        <w:tab/>
      </w:r>
      <w:r>
        <w:fldChar w:fldCharType="begin"/>
      </w:r>
      <w:r>
        <w:instrText xml:space="preserve"> PAGEREF _Toc288226938 \h </w:instrText>
      </w:r>
      <w:r>
        <w:fldChar w:fldCharType="separate"/>
      </w:r>
      <w:r w:rsidR="00E21F6D">
        <w:t>3</w:t>
      </w:r>
      <w:r>
        <w:fldChar w:fldCharType="end"/>
      </w:r>
    </w:p>
    <w:p w:rsidR="00D579D8" w:rsidRDefault="00D579D8">
      <w:pPr>
        <w:pStyle w:val="TOC8"/>
        <w:rPr>
          <w:sz w:val="24"/>
          <w:szCs w:val="24"/>
          <w:lang w:val="en-US"/>
        </w:rPr>
      </w:pPr>
      <w:r>
        <w:t>8.</w:t>
      </w:r>
      <w:r>
        <w:tab/>
        <w:t>Some consequences of removing demerit points from register</w:t>
      </w:r>
      <w:r>
        <w:tab/>
      </w:r>
      <w:r>
        <w:fldChar w:fldCharType="begin"/>
      </w:r>
      <w:r>
        <w:instrText xml:space="preserve"> PAGEREF _Toc288226939 \h </w:instrText>
      </w:r>
      <w:r>
        <w:fldChar w:fldCharType="separate"/>
      </w:r>
      <w:r w:rsidR="00E21F6D">
        <w:t>4</w:t>
      </w:r>
      <w:r>
        <w:fldChar w:fldCharType="end"/>
      </w:r>
    </w:p>
    <w:p w:rsidR="00D579D8" w:rsidRDefault="00D579D8">
      <w:pPr>
        <w:pStyle w:val="TOC8"/>
        <w:rPr>
          <w:sz w:val="24"/>
          <w:szCs w:val="24"/>
          <w:lang w:val="en-US"/>
        </w:rPr>
      </w:pPr>
      <w:r>
        <w:t>9.</w:t>
      </w:r>
      <w:r>
        <w:tab/>
        <w:t>Alternative to giving certain notices personally</w:t>
      </w:r>
      <w:r>
        <w:tab/>
      </w:r>
      <w:r>
        <w:fldChar w:fldCharType="begin"/>
      </w:r>
      <w:r>
        <w:instrText xml:space="preserve"> PAGEREF _Toc288226940 \h </w:instrText>
      </w:r>
      <w:r>
        <w:fldChar w:fldCharType="separate"/>
      </w:r>
      <w:r w:rsidR="00E21F6D">
        <w:t>6</w:t>
      </w:r>
      <w:r>
        <w:fldChar w:fldCharType="end"/>
      </w:r>
    </w:p>
    <w:p w:rsidR="00D579D8" w:rsidRDefault="00D579D8">
      <w:pPr>
        <w:pStyle w:val="TOC8"/>
        <w:rPr>
          <w:sz w:val="24"/>
          <w:szCs w:val="24"/>
          <w:lang w:val="en-US"/>
        </w:rPr>
      </w:pPr>
      <w:r>
        <w:t>10.</w:t>
      </w:r>
      <w:r>
        <w:tab/>
        <w:t>Transitional matters</w:t>
      </w:r>
      <w:r>
        <w:tab/>
      </w:r>
      <w:r>
        <w:fldChar w:fldCharType="begin"/>
      </w:r>
      <w:r>
        <w:instrText xml:space="preserve"> PAGEREF _Toc288226941 \h </w:instrText>
      </w:r>
      <w:r>
        <w:fldChar w:fldCharType="separate"/>
      </w:r>
      <w:r w:rsidR="00E21F6D">
        <w:t>7</w:t>
      </w:r>
      <w:r>
        <w:fldChar w:fldCharType="end"/>
      </w:r>
    </w:p>
    <w:p w:rsidR="00D579D8" w:rsidRDefault="00D579D8">
      <w:pPr>
        <w:pStyle w:val="TOC2"/>
        <w:tabs>
          <w:tab w:val="right" w:leader="dot" w:pos="7086"/>
        </w:tabs>
        <w:rPr>
          <w:b w:val="0"/>
          <w:sz w:val="24"/>
          <w:szCs w:val="24"/>
          <w:lang w:val="en-US"/>
        </w:rPr>
      </w:pPr>
      <w:r>
        <w:t>Part 4 — Repeal</w:t>
      </w:r>
    </w:p>
    <w:p w:rsidR="00D579D8" w:rsidRDefault="00D579D8">
      <w:pPr>
        <w:pStyle w:val="TOC8"/>
        <w:rPr>
          <w:sz w:val="24"/>
          <w:szCs w:val="24"/>
          <w:lang w:val="en-US"/>
        </w:rPr>
      </w:pPr>
      <w:r>
        <w:t>11.</w:t>
      </w:r>
      <w:r>
        <w:tab/>
        <w:t>Repeal</w:t>
      </w:r>
      <w:r>
        <w:tab/>
      </w:r>
      <w:r>
        <w:fldChar w:fldCharType="begin"/>
      </w:r>
      <w:r>
        <w:instrText xml:space="preserve"> PAGEREF _Toc288226943 \h </w:instrText>
      </w:r>
      <w:r>
        <w:fldChar w:fldCharType="separate"/>
      </w:r>
      <w:r w:rsidR="00E21F6D">
        <w:t>8</w:t>
      </w:r>
      <w:r>
        <w:fldChar w:fldCharType="end"/>
      </w:r>
    </w:p>
    <w:p w:rsidR="00D579D8" w:rsidRDefault="00D579D8">
      <w:pPr>
        <w:pStyle w:val="TOC2"/>
        <w:tabs>
          <w:tab w:val="right" w:leader="dot" w:pos="7086"/>
        </w:tabs>
        <w:rPr>
          <w:b w:val="0"/>
          <w:sz w:val="24"/>
          <w:szCs w:val="24"/>
          <w:lang w:val="en-US"/>
        </w:rPr>
      </w:pPr>
      <w:r>
        <w:t>Schedule 1 — Form of caution</w:t>
      </w:r>
    </w:p>
    <w:p w:rsidR="00D579D8" w:rsidRDefault="00D579D8">
      <w:pPr>
        <w:pStyle w:val="TOC2"/>
        <w:tabs>
          <w:tab w:val="right" w:leader="dot" w:pos="7086"/>
        </w:tabs>
        <w:rPr>
          <w:b w:val="0"/>
          <w:sz w:val="24"/>
          <w:szCs w:val="24"/>
          <w:lang w:val="en-US"/>
        </w:rPr>
      </w:pPr>
      <w:r>
        <w:t>Schedule 2 — Demerit point offences in WA</w:t>
      </w:r>
    </w:p>
    <w:p w:rsidR="00D579D8" w:rsidRDefault="00D579D8">
      <w:pPr>
        <w:pStyle w:val="TOC2"/>
        <w:tabs>
          <w:tab w:val="right" w:leader="dot" w:pos="7086"/>
        </w:tabs>
        <w:rPr>
          <w:b w:val="0"/>
          <w:sz w:val="24"/>
          <w:szCs w:val="24"/>
          <w:lang w:val="en-US"/>
        </w:rPr>
      </w:pPr>
      <w:r>
        <w:t>Notes</w:t>
      </w:r>
    </w:p>
    <w:p w:rsidR="00D579D8" w:rsidRDefault="00D579D8" w:rsidP="00D579D8">
      <w:pPr>
        <w:pStyle w:val="TOC8"/>
        <w:rPr>
          <w:sz w:val="24"/>
          <w:szCs w:val="24"/>
          <w:lang w:val="en-US"/>
        </w:rPr>
      </w:pPr>
      <w:r>
        <w:tab/>
        <w:t>Compilation table</w:t>
      </w:r>
      <w:r>
        <w:tab/>
      </w:r>
      <w:r>
        <w:fldChar w:fldCharType="begin"/>
      </w:r>
      <w:r>
        <w:instrText xml:space="preserve"> PAGEREF _Toc288226947 \h </w:instrText>
      </w:r>
      <w:r>
        <w:fldChar w:fldCharType="separate"/>
      </w:r>
      <w:r w:rsidR="00E21F6D">
        <w:t>13</w:t>
      </w:r>
      <w:r>
        <w:fldChar w:fldCharType="end"/>
      </w:r>
    </w:p>
    <w:p w:rsidR="003341B1" w:rsidRDefault="003341B1">
      <w:pPr>
        <w:pStyle w:val="TOC8"/>
      </w:pPr>
      <w:r>
        <w:fldChar w:fldCharType="end"/>
      </w:r>
    </w:p>
    <w:p w:rsidR="003341B1" w:rsidRDefault="003341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341B1" w:rsidRDefault="003341B1">
      <w:pPr>
        <w:pStyle w:val="NoteHeading"/>
        <w:sectPr w:rsidR="003341B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t>Western Australia</w:t>
          </w:r>
        </w:smartTag>
      </w:smartTag>
    </w:p>
    <w:p w:rsidR="003341B1" w:rsidRDefault="003341B1">
      <w:pPr>
        <w:pStyle w:val="PrincipalActReg"/>
      </w:pPr>
      <w:r>
        <w:t>Road Traffic Act 1974</w:t>
      </w:r>
    </w:p>
    <w:p w:rsidR="003341B1" w:rsidRDefault="003341B1">
      <w:pPr>
        <w:pStyle w:val="NameofActReg"/>
        <w:spacing w:before="360" w:after="480"/>
      </w:pPr>
      <w:r>
        <w:t>Road Traffic (Miscellaneous) Regulations 2008</w:t>
      </w:r>
    </w:p>
    <w:p w:rsidR="003341B1" w:rsidRDefault="003341B1">
      <w:pPr>
        <w:pStyle w:val="Heading2"/>
        <w:pageBreakBefore w:val="0"/>
        <w:spacing w:before="240"/>
        <w:rPr>
          <w:rStyle w:val="CharPartText"/>
        </w:rPr>
      </w:pPr>
      <w:bookmarkStart w:id="1" w:name="_Toc191461631"/>
      <w:bookmarkStart w:id="2" w:name="_Toc195507018"/>
      <w:bookmarkStart w:id="3" w:name="_Toc195590124"/>
      <w:bookmarkStart w:id="4" w:name="_Toc195785237"/>
      <w:bookmarkStart w:id="5" w:name="_Toc195785256"/>
      <w:bookmarkStart w:id="6" w:name="_Toc195795987"/>
      <w:bookmarkStart w:id="7" w:name="_Toc196882968"/>
      <w:bookmarkStart w:id="8" w:name="_Toc196883308"/>
      <w:bookmarkStart w:id="9" w:name="_Toc197505774"/>
      <w:bookmarkStart w:id="10" w:name="_Toc197762613"/>
      <w:bookmarkStart w:id="11" w:name="_Toc197763946"/>
      <w:bookmarkStart w:id="12" w:name="_Toc197764076"/>
      <w:bookmarkStart w:id="13" w:name="_Toc197764305"/>
      <w:bookmarkStart w:id="14" w:name="_Toc197764976"/>
      <w:bookmarkStart w:id="15" w:name="_Toc197942870"/>
      <w:bookmarkStart w:id="16" w:name="_Toc197943570"/>
      <w:bookmarkStart w:id="17" w:name="_Toc198002935"/>
      <w:bookmarkStart w:id="18" w:name="_Toc198003421"/>
      <w:bookmarkStart w:id="19" w:name="_Toc198003563"/>
      <w:bookmarkStart w:id="20" w:name="_Toc198003583"/>
      <w:bookmarkStart w:id="21" w:name="_Toc198003874"/>
      <w:bookmarkStart w:id="22" w:name="_Toc198088750"/>
      <w:bookmarkStart w:id="23" w:name="_Toc198090475"/>
      <w:bookmarkStart w:id="24" w:name="_Toc198090750"/>
      <w:bookmarkStart w:id="25" w:name="_Toc198090791"/>
      <w:bookmarkStart w:id="26" w:name="_Toc198090839"/>
      <w:bookmarkStart w:id="27" w:name="_Toc198464841"/>
      <w:bookmarkStart w:id="28" w:name="_Toc200768495"/>
      <w:bookmarkStart w:id="29" w:name="_Toc200950597"/>
      <w:bookmarkStart w:id="30" w:name="_Toc200959552"/>
      <w:bookmarkStart w:id="31" w:name="_Toc201993302"/>
      <w:bookmarkStart w:id="32" w:name="_Toc201995301"/>
      <w:bookmarkStart w:id="33" w:name="_Toc201995384"/>
      <w:bookmarkStart w:id="34" w:name="_Toc202066062"/>
      <w:bookmarkStart w:id="35" w:name="_Toc202518346"/>
      <w:bookmarkStart w:id="36" w:name="_Toc228265951"/>
      <w:bookmarkStart w:id="37" w:name="_Toc288226929"/>
      <w:r>
        <w:rPr>
          <w:rStyle w:val="CharPartNo"/>
        </w:rPr>
        <w:t>Part 1</w:t>
      </w:r>
      <w:r>
        <w:rPr>
          <w:rStyle w:val="CharDivNo"/>
        </w:rPr>
        <w:t> </w:t>
      </w:r>
      <w:r>
        <w:t>—</w:t>
      </w:r>
      <w:r>
        <w:rPr>
          <w:rStyle w:val="CharDivText"/>
        </w:rPr>
        <w:t> 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3341B1" w:rsidRDefault="003341B1">
      <w:pPr>
        <w:pStyle w:val="Heading5"/>
      </w:pPr>
      <w:bookmarkStart w:id="38" w:name="_Toc198464842"/>
      <w:bookmarkStart w:id="39" w:name="_Toc288226930"/>
      <w:r>
        <w:rPr>
          <w:rStyle w:val="CharSectno"/>
        </w:rPr>
        <w:t>1</w:t>
      </w:r>
      <w:r>
        <w:t>.</w:t>
      </w:r>
      <w:r>
        <w:tab/>
        <w:t>Citation</w:t>
      </w:r>
      <w:bookmarkEnd w:id="38"/>
      <w:bookmarkEnd w:id="39"/>
    </w:p>
    <w:p w:rsidR="003341B1" w:rsidRDefault="003341B1">
      <w:pPr>
        <w:pStyle w:val="Subsection"/>
        <w:rPr>
          <w:i/>
        </w:rPr>
      </w:pPr>
      <w:r>
        <w:tab/>
      </w:r>
      <w:r>
        <w:tab/>
      </w:r>
      <w:bookmarkStart w:id="40" w:name="Start_Cursor"/>
      <w:bookmarkEnd w:id="40"/>
      <w:r>
        <w:rPr>
          <w:spacing w:val="-2"/>
        </w:rPr>
        <w:t>These</w:t>
      </w:r>
      <w:r>
        <w:t xml:space="preserve"> </w:t>
      </w:r>
      <w:r>
        <w:rPr>
          <w:spacing w:val="-2"/>
        </w:rPr>
        <w:t>regulations</w:t>
      </w:r>
      <w:r>
        <w:t xml:space="preserve"> are the </w:t>
      </w:r>
      <w:r>
        <w:rPr>
          <w:i/>
        </w:rPr>
        <w:t>Road Traffic (Miscellaneous) Regulations 2008</w:t>
      </w:r>
      <w:r>
        <w:t>.</w:t>
      </w:r>
    </w:p>
    <w:p w:rsidR="003341B1" w:rsidRDefault="003341B1">
      <w:pPr>
        <w:pStyle w:val="Heading5"/>
        <w:rPr>
          <w:spacing w:val="-2"/>
        </w:rPr>
      </w:pPr>
      <w:bookmarkStart w:id="41" w:name="_Toc198464843"/>
      <w:bookmarkStart w:id="42" w:name="_Toc288226931"/>
      <w:r>
        <w:rPr>
          <w:rStyle w:val="CharSectno"/>
        </w:rPr>
        <w:t>2</w:t>
      </w:r>
      <w:r>
        <w:rPr>
          <w:spacing w:val="-2"/>
        </w:rPr>
        <w:t>.</w:t>
      </w:r>
      <w:r>
        <w:rPr>
          <w:spacing w:val="-2"/>
        </w:rPr>
        <w:tab/>
        <w:t>Commencement</w:t>
      </w:r>
      <w:bookmarkEnd w:id="41"/>
      <w:bookmarkEnd w:id="42"/>
    </w:p>
    <w:p w:rsidR="003341B1" w:rsidRDefault="003341B1">
      <w:pPr>
        <w:pStyle w:val="Subsection"/>
        <w:rPr>
          <w:spacing w:val="-2"/>
        </w:rPr>
      </w:pPr>
      <w:r>
        <w:rPr>
          <w:spacing w:val="-2"/>
        </w:rPr>
        <w:tab/>
      </w:r>
      <w:r>
        <w:rPr>
          <w:spacing w:val="-2"/>
        </w:rPr>
        <w:tab/>
        <w:t>These regulations come into operation as follows:</w:t>
      </w:r>
    </w:p>
    <w:p w:rsidR="003341B1" w:rsidRDefault="003341B1">
      <w:pPr>
        <w:pStyle w:val="Indenta"/>
      </w:pPr>
      <w:r>
        <w:tab/>
        <w:t>(a)</w:t>
      </w:r>
      <w:r>
        <w:tab/>
        <w:t xml:space="preserve">Part 1 — on the day on which these regulations are published in the </w:t>
      </w:r>
      <w:r>
        <w:rPr>
          <w:i/>
          <w:iCs/>
        </w:rPr>
        <w:t>Gazette</w:t>
      </w:r>
      <w:r>
        <w:t>;</w:t>
      </w:r>
    </w:p>
    <w:p w:rsidR="003341B1" w:rsidRDefault="003341B1">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rsidR="003341B1" w:rsidRDefault="003341B1">
      <w:pPr>
        <w:pStyle w:val="Heading5"/>
      </w:pPr>
      <w:bookmarkStart w:id="43" w:name="_Toc201993242"/>
      <w:bookmarkStart w:id="44" w:name="_Toc288226932"/>
      <w:r>
        <w:rPr>
          <w:rStyle w:val="CharSectno"/>
        </w:rPr>
        <w:t>3</w:t>
      </w:r>
      <w:r>
        <w:t>.</w:t>
      </w:r>
      <w:r>
        <w:tab/>
        <w:t>Terms used in these regulations</w:t>
      </w:r>
      <w:bookmarkEnd w:id="43"/>
      <w:bookmarkEnd w:id="44"/>
    </w:p>
    <w:p w:rsidR="003341B1" w:rsidRDefault="003341B1">
      <w:pPr>
        <w:pStyle w:val="Subsection"/>
      </w:pPr>
      <w:r>
        <w:tab/>
      </w:r>
      <w:r>
        <w:tab/>
        <w:t xml:space="preserve">In these regulations — </w:t>
      </w:r>
    </w:p>
    <w:p w:rsidR="003341B1" w:rsidRDefault="003341B1">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rsidR="003341B1" w:rsidRDefault="003341B1">
      <w:pPr>
        <w:pStyle w:val="Heading2"/>
      </w:pPr>
      <w:bookmarkStart w:id="45" w:name="_Toc201993243"/>
      <w:bookmarkStart w:id="46" w:name="_Toc201993306"/>
      <w:bookmarkStart w:id="47" w:name="_Toc201995305"/>
      <w:bookmarkStart w:id="48" w:name="_Toc201995388"/>
      <w:bookmarkStart w:id="49" w:name="_Toc202066066"/>
      <w:bookmarkStart w:id="50" w:name="_Toc202518350"/>
      <w:bookmarkStart w:id="51" w:name="_Toc228265955"/>
      <w:bookmarkStart w:id="52" w:name="_Toc288226933"/>
      <w:r>
        <w:rPr>
          <w:rStyle w:val="CharPartNo"/>
        </w:rPr>
        <w:t>Part 2</w:t>
      </w:r>
      <w:r>
        <w:rPr>
          <w:rStyle w:val="CharDivNo"/>
        </w:rPr>
        <w:t> </w:t>
      </w:r>
      <w:r>
        <w:t>—</w:t>
      </w:r>
      <w:r>
        <w:rPr>
          <w:rStyle w:val="CharDivText"/>
        </w:rPr>
        <w:t> </w:t>
      </w:r>
      <w:r>
        <w:rPr>
          <w:rStyle w:val="CharPartText"/>
        </w:rPr>
        <w:t>General</w:t>
      </w:r>
      <w:bookmarkEnd w:id="45"/>
      <w:bookmarkEnd w:id="46"/>
      <w:bookmarkEnd w:id="47"/>
      <w:bookmarkEnd w:id="48"/>
      <w:bookmarkEnd w:id="49"/>
      <w:bookmarkEnd w:id="50"/>
      <w:bookmarkEnd w:id="51"/>
      <w:bookmarkEnd w:id="52"/>
    </w:p>
    <w:p w:rsidR="003341B1" w:rsidRDefault="003341B1">
      <w:pPr>
        <w:pStyle w:val="Heading5"/>
      </w:pPr>
      <w:bookmarkStart w:id="53" w:name="_Toc201993244"/>
      <w:bookmarkStart w:id="54" w:name="_Toc288226934"/>
      <w:r>
        <w:rPr>
          <w:rStyle w:val="CharSectno"/>
        </w:rPr>
        <w:t>4</w:t>
      </w:r>
      <w:r>
        <w:t>.</w:t>
      </w:r>
      <w:r>
        <w:tab/>
        <w:t>Caution for certain unauthorised driving offences</w:t>
      </w:r>
      <w:bookmarkEnd w:id="53"/>
      <w:bookmarkEnd w:id="54"/>
    </w:p>
    <w:p w:rsidR="003341B1" w:rsidRDefault="003341B1">
      <w:pPr>
        <w:pStyle w:val="Subsection"/>
      </w:pPr>
      <w:r>
        <w:tab/>
      </w:r>
      <w:r>
        <w:tab/>
        <w:t>The form set out in Schedule 1 is prescribed under section 49A(3) of the Act.</w:t>
      </w:r>
    </w:p>
    <w:p w:rsidR="003341B1" w:rsidRDefault="003341B1">
      <w:pPr>
        <w:pStyle w:val="Heading5"/>
      </w:pPr>
      <w:bookmarkStart w:id="55" w:name="_Toc201993245"/>
      <w:bookmarkStart w:id="56" w:name="_Toc288226935"/>
      <w:r>
        <w:rPr>
          <w:rStyle w:val="CharSectno"/>
        </w:rPr>
        <w:t>5</w:t>
      </w:r>
      <w:r>
        <w:t>.</w:t>
      </w:r>
      <w:r>
        <w:tab/>
        <w:t>Defence for failing to report minor damage</w:t>
      </w:r>
      <w:bookmarkEnd w:id="55"/>
      <w:bookmarkEnd w:id="56"/>
    </w:p>
    <w:p w:rsidR="003341B1" w:rsidRDefault="003341B1">
      <w:pPr>
        <w:pStyle w:val="Subsection"/>
      </w:pPr>
      <w:r>
        <w:tab/>
      </w:r>
      <w:r>
        <w:tab/>
        <w:t>The amount prescribed for the purpose of section 56(6) of the Act is $3 000.</w:t>
      </w:r>
    </w:p>
    <w:p w:rsidR="003341B1" w:rsidRDefault="003341B1">
      <w:pPr>
        <w:pStyle w:val="Heading2"/>
      </w:pPr>
      <w:bookmarkStart w:id="57" w:name="_Toc201993246"/>
      <w:bookmarkStart w:id="58" w:name="_Toc201993309"/>
      <w:bookmarkStart w:id="59" w:name="_Toc201995308"/>
      <w:bookmarkStart w:id="60" w:name="_Toc201995391"/>
      <w:bookmarkStart w:id="61" w:name="_Toc202066069"/>
      <w:bookmarkStart w:id="62" w:name="_Toc202518353"/>
      <w:bookmarkStart w:id="63" w:name="_Toc228265958"/>
      <w:bookmarkStart w:id="64" w:name="_Toc288226936"/>
      <w:r>
        <w:rPr>
          <w:rStyle w:val="CharPartNo"/>
        </w:rPr>
        <w:t>Part 3</w:t>
      </w:r>
      <w:r>
        <w:rPr>
          <w:rStyle w:val="CharDivNo"/>
        </w:rPr>
        <w:t> </w:t>
      </w:r>
      <w:r>
        <w:t>—</w:t>
      </w:r>
      <w:r>
        <w:rPr>
          <w:rStyle w:val="CharDivText"/>
        </w:rPr>
        <w:t> </w:t>
      </w:r>
      <w:r>
        <w:rPr>
          <w:rStyle w:val="CharPartText"/>
        </w:rPr>
        <w:t>Demerit point scheme</w:t>
      </w:r>
      <w:bookmarkEnd w:id="57"/>
      <w:bookmarkEnd w:id="58"/>
      <w:bookmarkEnd w:id="59"/>
      <w:bookmarkEnd w:id="60"/>
      <w:bookmarkEnd w:id="61"/>
      <w:bookmarkEnd w:id="62"/>
      <w:bookmarkEnd w:id="63"/>
      <w:bookmarkEnd w:id="64"/>
    </w:p>
    <w:p w:rsidR="003341B1" w:rsidRDefault="003341B1">
      <w:pPr>
        <w:pStyle w:val="Heading5"/>
      </w:pPr>
      <w:bookmarkStart w:id="65" w:name="_Toc201993247"/>
      <w:bookmarkStart w:id="66" w:name="_Toc288226937"/>
      <w:r>
        <w:rPr>
          <w:rStyle w:val="CharSectno"/>
        </w:rPr>
        <w:t>6</w:t>
      </w:r>
      <w:r>
        <w:t>.</w:t>
      </w:r>
      <w:r>
        <w:tab/>
        <w:t>Demerit point offence in WA</w:t>
      </w:r>
      <w:bookmarkEnd w:id="65"/>
      <w:bookmarkEnd w:id="66"/>
    </w:p>
    <w:p w:rsidR="003341B1" w:rsidRDefault="003341B1">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3341B1" w:rsidRDefault="003341B1">
      <w:pPr>
        <w:pStyle w:val="Subsection"/>
      </w:pPr>
      <w:r>
        <w:tab/>
        <w:t>(2)</w:t>
      </w:r>
      <w:r>
        <w:tab/>
        <w:t xml:space="preserve">In Schedule 2 — </w:t>
      </w:r>
    </w:p>
    <w:p w:rsidR="003341B1" w:rsidRDefault="003341B1">
      <w:pPr>
        <w:pStyle w:val="Defstart"/>
      </w:pPr>
      <w:r>
        <w:rPr>
          <w:b/>
        </w:rPr>
        <w:tab/>
      </w:r>
      <w:r>
        <w:rPr>
          <w:rStyle w:val="CharDefText"/>
        </w:rPr>
        <w:t>holiday period</w:t>
      </w:r>
      <w:r>
        <w:t xml:space="preserve"> has the meaning given in regulation 7.</w:t>
      </w:r>
    </w:p>
    <w:p w:rsidR="003341B1" w:rsidRDefault="003341B1">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rsidR="003341B1" w:rsidRDefault="003341B1">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rsidR="003341B1" w:rsidRDefault="003341B1">
      <w:pPr>
        <w:pStyle w:val="Heading5"/>
      </w:pPr>
      <w:bookmarkStart w:id="67" w:name="_Toc201993248"/>
      <w:bookmarkStart w:id="68" w:name="_Toc288226938"/>
      <w:r>
        <w:rPr>
          <w:rStyle w:val="CharSectno"/>
        </w:rPr>
        <w:t>7</w:t>
      </w:r>
      <w:r>
        <w:t>.</w:t>
      </w:r>
      <w:r>
        <w:tab/>
        <w:t>What is regarded as a holiday period</w:t>
      </w:r>
      <w:bookmarkEnd w:id="67"/>
      <w:bookmarkEnd w:id="68"/>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3341B1" w:rsidRDefault="003341B1">
      <w:pPr>
        <w:pStyle w:val="Subsection"/>
      </w:pPr>
      <w:r>
        <w:tab/>
        <w:t>(2)</w:t>
      </w:r>
      <w:r>
        <w:tab/>
        <w:t>If a public holiday falls on a Monday, the period of 4 days beginning with the last Friday before that Monday and ending with that Monday is a holiday period.</w:t>
      </w:r>
    </w:p>
    <w:p w:rsidR="003341B1" w:rsidRDefault="003341B1">
      <w:pPr>
        <w:pStyle w:val="Subsection"/>
      </w:pPr>
      <w:r>
        <w:tab/>
        <w:t>(3)</w:t>
      </w:r>
      <w:r>
        <w:tab/>
        <w:t>If a public holiday falls on a Friday, the period of 4 days beginning with the Thursday before that Friday and ending with the next Sunday after that Friday is a holiday period.</w:t>
      </w:r>
    </w:p>
    <w:p w:rsidR="003341B1" w:rsidRDefault="003341B1">
      <w:pPr>
        <w:pStyle w:val="Subsection"/>
      </w:pPr>
      <w:r>
        <w:tab/>
        <w:t>(4)</w:t>
      </w:r>
      <w:r>
        <w:tab/>
        <w:t>Despite subregulations (2) and (3), the period of 5 days beginning with the Thursday before Good Friday and ending with Easter Monday is a holiday period.</w:t>
      </w:r>
    </w:p>
    <w:p w:rsidR="0040665D" w:rsidRDefault="0040665D" w:rsidP="0040665D">
      <w:pPr>
        <w:pStyle w:val="Subsection"/>
      </w:pPr>
      <w:r>
        <w:tab/>
        <w:t>(5A)</w:t>
      </w:r>
      <w:r>
        <w:tab/>
        <w:t>Despite subregulations (2), (3) and (4), in 2011, the period of 6 days beginning with the last Thursday before Good Friday and ending with ANZAC Day holiday (the Tuesday after Easter Monday) is a holiday period.</w:t>
      </w:r>
    </w:p>
    <w:p w:rsidR="003341B1" w:rsidRDefault="003341B1">
      <w:pPr>
        <w:pStyle w:val="Subsection"/>
      </w:pPr>
      <w:r>
        <w:tab/>
        <w:t>(5)</w:t>
      </w:r>
      <w:r>
        <w:tab/>
        <w:t>Despite subregulations (2) and (3), the period of 17 days beginning with the last Friday before Christmas Day is a holiday period.</w:t>
      </w:r>
    </w:p>
    <w:p w:rsidR="0040665D" w:rsidRDefault="0040665D" w:rsidP="0040665D">
      <w:pPr>
        <w:pStyle w:val="Footnotesection"/>
      </w:pPr>
      <w:r>
        <w:tab/>
        <w:t>[Regulation 7 amended in Gazette 18 Mar 2011 p. 927.]</w:t>
      </w:r>
    </w:p>
    <w:p w:rsidR="003341B1" w:rsidRDefault="003341B1">
      <w:pPr>
        <w:pStyle w:val="Heading5"/>
      </w:pPr>
      <w:bookmarkStart w:id="69" w:name="_Toc201993249"/>
      <w:bookmarkStart w:id="70" w:name="_Toc288226939"/>
      <w:r>
        <w:rPr>
          <w:rStyle w:val="CharSectno"/>
        </w:rPr>
        <w:t>8</w:t>
      </w:r>
      <w:r>
        <w:t>.</w:t>
      </w:r>
      <w:r>
        <w:tab/>
        <w:t>Some consequences of removing demerit points from register</w:t>
      </w:r>
      <w:bookmarkEnd w:id="69"/>
      <w:bookmarkEnd w:id="70"/>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removed</w:t>
      </w:r>
      <w:r>
        <w:t xml:space="preserve"> means removed or required to be removed.</w:t>
      </w:r>
    </w:p>
    <w:p w:rsidR="003341B1" w:rsidRDefault="003341B1">
      <w:pPr>
        <w:pStyle w:val="Subsection"/>
      </w:pPr>
      <w:r>
        <w:tab/>
        <w:t>(2)</w:t>
      </w:r>
      <w:r>
        <w:tab/>
        <w:t>This regulation applies if under section 104O(3) or (4) of the Act demerit points are removed from the demerit points register.</w:t>
      </w:r>
    </w:p>
    <w:p w:rsidR="003341B1" w:rsidRDefault="003341B1">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rsidR="003341B1" w:rsidRDefault="003341B1">
      <w:pPr>
        <w:pStyle w:val="Indenta"/>
      </w:pPr>
      <w:r>
        <w:tab/>
        <w:t>(a)</w:t>
      </w:r>
      <w:r>
        <w:tab/>
        <w:t>a period of disqualification commencing before the day on which the demerit points are removed; or</w:t>
      </w:r>
    </w:p>
    <w:p w:rsidR="003341B1" w:rsidRDefault="003341B1">
      <w:pPr>
        <w:pStyle w:val="Indenta"/>
      </w:pPr>
      <w:r>
        <w:tab/>
        <w:t>(b)</w:t>
      </w:r>
      <w:r>
        <w:tab/>
        <w:t>a person making a section 104J election.</w:t>
      </w:r>
    </w:p>
    <w:p w:rsidR="003341B1" w:rsidRDefault="003341B1">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3341B1" w:rsidRDefault="003341B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3341B1" w:rsidRDefault="003341B1">
      <w:pPr>
        <w:pStyle w:val="Subsection"/>
      </w:pPr>
      <w:r>
        <w:tab/>
        <w:t>(6)</w:t>
      </w:r>
      <w:r>
        <w:tab/>
        <w:t xml:space="preserve">Subregulation (7) applies if — </w:t>
      </w:r>
    </w:p>
    <w:p w:rsidR="003341B1" w:rsidRDefault="003341B1">
      <w:pPr>
        <w:pStyle w:val="Indenta"/>
      </w:pPr>
      <w:r>
        <w:tab/>
        <w:t>(a)</w:t>
      </w:r>
      <w:r>
        <w:tab/>
        <w:t>the giving of a notice under section 104I(1) of the Act required the cancellation of any demerit point subsequently removed; and</w:t>
      </w:r>
    </w:p>
    <w:p w:rsidR="003341B1" w:rsidRDefault="003341B1">
      <w:pPr>
        <w:pStyle w:val="Indenta"/>
      </w:pPr>
      <w:r>
        <w:tab/>
        <w:t>(b)</w:t>
      </w:r>
      <w:r>
        <w:tab/>
        <w:t xml:space="preserve">at the time of removal — </w:t>
      </w:r>
    </w:p>
    <w:p w:rsidR="003341B1" w:rsidRDefault="003341B1">
      <w:pPr>
        <w:pStyle w:val="Indenti"/>
      </w:pPr>
      <w:r>
        <w:tab/>
        <w:t>(i)</w:t>
      </w:r>
      <w:r>
        <w:tab/>
        <w:t>the notice has resulted in a period of disqualification; or</w:t>
      </w:r>
    </w:p>
    <w:p w:rsidR="003341B1" w:rsidRDefault="003341B1">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rsidR="003341B1" w:rsidRDefault="003341B1">
      <w:pPr>
        <w:pStyle w:val="Subsection"/>
      </w:pPr>
      <w:r>
        <w:tab/>
        <w:t>(7)</w:t>
      </w:r>
      <w:r>
        <w:tab/>
        <w:t xml:space="preserve">In circumstances described in subregulation (6) — </w:t>
      </w:r>
    </w:p>
    <w:p w:rsidR="003341B1" w:rsidRDefault="003341B1">
      <w:pPr>
        <w:pStyle w:val="Indenta"/>
      </w:pPr>
      <w:r>
        <w:tab/>
        <w:t>(a)</w:t>
      </w:r>
      <w:r>
        <w:tab/>
        <w:t xml:space="preserve">if a notice under section 104I(1) would not have been given if each demerit point removed had never been recorded — </w:t>
      </w:r>
    </w:p>
    <w:p w:rsidR="003341B1" w:rsidRDefault="003341B1">
      <w:pPr>
        <w:pStyle w:val="Indenti"/>
      </w:pPr>
      <w:r>
        <w:tab/>
        <w:t>(i)</w:t>
      </w:r>
      <w:r>
        <w:tab/>
        <w:t>the period of disqualification ceases at the time of removal if it has not already expired; and</w:t>
      </w:r>
    </w:p>
    <w:p w:rsidR="003341B1" w:rsidRDefault="003341B1">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3341B1" w:rsidRDefault="003341B1">
      <w:pPr>
        <w:pStyle w:val="Indenta"/>
      </w:pPr>
      <w:r>
        <w:tab/>
      </w:r>
      <w:r>
        <w:tab/>
        <w:t>and</w:t>
      </w:r>
    </w:p>
    <w:p w:rsidR="003341B1" w:rsidRDefault="003341B1">
      <w:pPr>
        <w:pStyle w:val="Indenta"/>
      </w:pPr>
      <w:r>
        <w:tab/>
        <w:t>(b)</w:t>
      </w:r>
      <w:r>
        <w:tab/>
        <w:t xml:space="preserve">if a notice under section 104I(1) would have been given even if each demerit point removed had never been recorded — </w:t>
      </w:r>
    </w:p>
    <w:p w:rsidR="003341B1" w:rsidRDefault="003341B1">
      <w:pPr>
        <w:pStyle w:val="Indenti"/>
      </w:pPr>
      <w:r>
        <w:tab/>
        <w:t>(i)</w:t>
      </w:r>
      <w:r>
        <w:tab/>
        <w:t>the period of disqualification, whether or not it has already expired, is adjusted, if required, to what it would have been if the points removed had never been recorded; and</w:t>
      </w:r>
    </w:p>
    <w:p w:rsidR="003341B1" w:rsidRDefault="003341B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rsidR="003341B1" w:rsidRDefault="003341B1">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3341B1" w:rsidRDefault="003341B1">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3341B1" w:rsidRDefault="003341B1">
      <w:pPr>
        <w:pStyle w:val="Subsection"/>
        <w:tabs>
          <w:tab w:val="clear" w:pos="879"/>
          <w:tab w:val="left" w:pos="2127"/>
        </w:tabs>
        <w:ind w:left="2127"/>
      </w:pPr>
      <w:r>
        <w:rPr>
          <w:i/>
          <w:iCs/>
        </w:rPr>
        <w:t>N</w:t>
      </w:r>
      <w:r>
        <w:t xml:space="preserve"> = (4*</w:t>
      </w:r>
      <w:r>
        <w:rPr>
          <w:i/>
          <w:iCs/>
        </w:rPr>
        <w:t>d</w:t>
      </w:r>
      <w:r>
        <w:t>)/30</w:t>
      </w:r>
    </w:p>
    <w:p w:rsidR="003341B1" w:rsidRDefault="003341B1">
      <w:pPr>
        <w:pStyle w:val="Subsection"/>
      </w:pPr>
      <w:r>
        <w:tab/>
      </w:r>
      <w:r>
        <w:tab/>
        <w:t xml:space="preserve">where — </w:t>
      </w:r>
    </w:p>
    <w:p w:rsidR="003341B1" w:rsidRDefault="003341B1">
      <w:pPr>
        <w:pStyle w:val="Subsection"/>
      </w:pPr>
      <w:r>
        <w:tab/>
      </w:r>
      <w:r>
        <w:tab/>
      </w:r>
      <w:r>
        <w:rPr>
          <w:i/>
          <w:iCs/>
        </w:rPr>
        <w:t>d</w:t>
      </w:r>
      <w:r>
        <w:t xml:space="preserve"> is the number of days in the excess period served.</w:t>
      </w:r>
    </w:p>
    <w:p w:rsidR="003341B1" w:rsidRDefault="003341B1">
      <w:pPr>
        <w:pStyle w:val="Subsection"/>
      </w:pPr>
      <w:r>
        <w:tab/>
        <w:t>(10)</w:t>
      </w:r>
      <w:r>
        <w:tab/>
        <w:t>Neither subregulation (3), (4) nor (7)(a)(i) prevents a further notice from being given under section 104I(1).</w:t>
      </w:r>
    </w:p>
    <w:p w:rsidR="003341B1" w:rsidRDefault="003341B1">
      <w:pPr>
        <w:pStyle w:val="Heading5"/>
      </w:pPr>
      <w:bookmarkStart w:id="71" w:name="_Toc201993250"/>
      <w:bookmarkStart w:id="72" w:name="_Toc288226940"/>
      <w:r>
        <w:rPr>
          <w:rStyle w:val="CharSectno"/>
        </w:rPr>
        <w:t>9</w:t>
      </w:r>
      <w:r>
        <w:t>.</w:t>
      </w:r>
      <w:r>
        <w:tab/>
        <w:t>Alternative to giving certain notices personally</w:t>
      </w:r>
      <w:bookmarkEnd w:id="71"/>
      <w:bookmarkEnd w:id="72"/>
    </w:p>
    <w:p w:rsidR="003341B1" w:rsidRDefault="003341B1">
      <w:pPr>
        <w:pStyle w:val="Subsection"/>
      </w:pPr>
      <w:r>
        <w:tab/>
      </w:r>
      <w:r>
        <w:tab/>
        <w:t>A notice referred to in section 104R of the Act may be given to a person by a form of mail that involves the person taking personal delivery of the notice and acknowledging in writing having taken delivery of it.</w:t>
      </w:r>
    </w:p>
    <w:p w:rsidR="003341B1" w:rsidRDefault="003341B1">
      <w:pPr>
        <w:pStyle w:val="Heading5"/>
      </w:pPr>
      <w:bookmarkStart w:id="73" w:name="_Toc201993251"/>
      <w:bookmarkStart w:id="74" w:name="_Toc288226941"/>
      <w:r>
        <w:rPr>
          <w:rStyle w:val="CharSectno"/>
        </w:rPr>
        <w:t>10</w:t>
      </w:r>
      <w:r>
        <w:t>.</w:t>
      </w:r>
      <w:r>
        <w:tab/>
        <w:t>Transitional matters</w:t>
      </w:r>
      <w:bookmarkEnd w:id="73"/>
      <w:bookmarkEnd w:id="74"/>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rsidR="003341B1" w:rsidRDefault="003341B1">
      <w:pPr>
        <w:pStyle w:val="Subsection"/>
      </w:pPr>
      <w:r>
        <w:tab/>
        <w:t>(2)</w:t>
      </w:r>
      <w:r>
        <w:tab/>
        <w:t xml:space="preserve">Nothing in this regulation is intended to exclude any provision of the </w:t>
      </w:r>
      <w:r>
        <w:rPr>
          <w:i/>
        </w:rPr>
        <w:t>Interpretation Act 1984</w:t>
      </w:r>
      <w:r>
        <w:t xml:space="preserve"> Part V.`</w:t>
      </w:r>
    </w:p>
    <w:p w:rsidR="003341B1" w:rsidRDefault="003341B1">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rsidR="003341B1" w:rsidRDefault="003341B1">
      <w:pPr>
        <w:pStyle w:val="Subsection"/>
      </w:pPr>
      <w:r>
        <w:tab/>
        <w:t>(4)</w:t>
      </w:r>
      <w:r>
        <w:tab/>
        <w:t>Subregulation (3) does not affect the continuation of any disqualification to which the person is subject immediately before the transition day.</w:t>
      </w:r>
    </w:p>
    <w:p w:rsidR="003341B1" w:rsidRDefault="003341B1">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rsidR="003341B1" w:rsidRDefault="003341B1">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rsidR="003341B1" w:rsidRDefault="003341B1">
      <w:pPr>
        <w:pStyle w:val="Footnotesection"/>
      </w:pPr>
      <w:r>
        <w:tab/>
        <w:t>[Regulation 10 amended in Gazette 24 Apr 2009 p. 1388.]</w:t>
      </w:r>
    </w:p>
    <w:p w:rsidR="003341B1" w:rsidRDefault="003341B1">
      <w:pPr>
        <w:pStyle w:val="Heading2"/>
      </w:pPr>
      <w:bookmarkStart w:id="75" w:name="_Toc201993252"/>
      <w:bookmarkStart w:id="76" w:name="_Toc201993315"/>
      <w:bookmarkStart w:id="77" w:name="_Toc201995314"/>
      <w:bookmarkStart w:id="78" w:name="_Toc201995397"/>
      <w:bookmarkStart w:id="79" w:name="_Toc202066075"/>
      <w:bookmarkStart w:id="80" w:name="_Toc202518359"/>
      <w:bookmarkStart w:id="81" w:name="_Toc228265964"/>
      <w:bookmarkStart w:id="82" w:name="_Toc288226942"/>
      <w:r>
        <w:rPr>
          <w:rStyle w:val="CharPartNo"/>
        </w:rPr>
        <w:t>Part 4</w:t>
      </w:r>
      <w:r>
        <w:rPr>
          <w:rStyle w:val="CharDivNo"/>
        </w:rPr>
        <w:t> </w:t>
      </w:r>
      <w:r>
        <w:t>—</w:t>
      </w:r>
      <w:r>
        <w:rPr>
          <w:rStyle w:val="CharDivText"/>
        </w:rPr>
        <w:t> </w:t>
      </w:r>
      <w:r>
        <w:rPr>
          <w:rStyle w:val="CharPartText"/>
        </w:rPr>
        <w:t>Repeal</w:t>
      </w:r>
      <w:bookmarkEnd w:id="75"/>
      <w:bookmarkEnd w:id="76"/>
      <w:bookmarkEnd w:id="77"/>
      <w:bookmarkEnd w:id="78"/>
      <w:bookmarkEnd w:id="79"/>
      <w:bookmarkEnd w:id="80"/>
      <w:bookmarkEnd w:id="81"/>
      <w:bookmarkEnd w:id="82"/>
    </w:p>
    <w:p w:rsidR="003341B1" w:rsidRDefault="003341B1">
      <w:pPr>
        <w:pStyle w:val="Heading5"/>
      </w:pPr>
      <w:bookmarkStart w:id="83" w:name="_Toc201993253"/>
      <w:bookmarkStart w:id="84" w:name="_Toc288226943"/>
      <w:r>
        <w:rPr>
          <w:rStyle w:val="CharSectno"/>
        </w:rPr>
        <w:t>11</w:t>
      </w:r>
      <w:r>
        <w:t>.</w:t>
      </w:r>
      <w:r>
        <w:tab/>
        <w:t>Repeal</w:t>
      </w:r>
      <w:bookmarkEnd w:id="83"/>
      <w:bookmarkEnd w:id="84"/>
    </w:p>
    <w:p w:rsidR="003341B1" w:rsidRDefault="003341B1">
      <w:pPr>
        <w:pStyle w:val="Subsection"/>
      </w:pPr>
      <w:r>
        <w:tab/>
      </w:r>
      <w:r>
        <w:tab/>
        <w:t xml:space="preserve">The </w:t>
      </w:r>
      <w:r>
        <w:rPr>
          <w:i/>
        </w:rPr>
        <w:t>Road Traffic (General) Regulations 2008</w:t>
      </w:r>
      <w:r>
        <w:t xml:space="preserve"> are repealed.</w:t>
      </w:r>
    </w:p>
    <w:p w:rsidR="003341B1" w:rsidRDefault="003341B1">
      <w:pPr>
        <w:sectPr w:rsidR="003341B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341B1" w:rsidRDefault="003341B1">
      <w:pPr>
        <w:pStyle w:val="yScheduleHeading"/>
      </w:pPr>
      <w:bookmarkStart w:id="85" w:name="_Toc201993254"/>
      <w:bookmarkStart w:id="86" w:name="_Toc201993317"/>
      <w:bookmarkStart w:id="87" w:name="_Toc201995316"/>
      <w:bookmarkStart w:id="88" w:name="_Toc201995399"/>
      <w:bookmarkStart w:id="89" w:name="_Toc202066077"/>
      <w:bookmarkStart w:id="90" w:name="_Toc202518361"/>
      <w:bookmarkStart w:id="91" w:name="_Toc228265966"/>
      <w:bookmarkStart w:id="92" w:name="_Toc288226944"/>
      <w:bookmarkStart w:id="93" w:name="_Toc113695922"/>
      <w:bookmarkStart w:id="94" w:name="_Toc200768037"/>
      <w:bookmarkStart w:id="95" w:name="_Toc200768051"/>
      <w:bookmarkStart w:id="96" w:name="_Toc200950600"/>
      <w:bookmarkStart w:id="97" w:name="_Toc200959555"/>
      <w:r>
        <w:rPr>
          <w:rStyle w:val="CharSchNo"/>
        </w:rPr>
        <w:t>Schedule 1</w:t>
      </w:r>
      <w:r>
        <w:rPr>
          <w:rStyle w:val="CharSDivNo"/>
        </w:rPr>
        <w:t> </w:t>
      </w:r>
      <w:r>
        <w:t>—</w:t>
      </w:r>
      <w:r>
        <w:rPr>
          <w:rStyle w:val="CharSDivText"/>
        </w:rPr>
        <w:t> </w:t>
      </w:r>
      <w:r>
        <w:rPr>
          <w:rStyle w:val="CharSchText"/>
        </w:rPr>
        <w:t>Form of caution</w:t>
      </w:r>
      <w:bookmarkEnd w:id="85"/>
      <w:bookmarkEnd w:id="86"/>
      <w:bookmarkEnd w:id="87"/>
      <w:bookmarkEnd w:id="88"/>
      <w:bookmarkEnd w:id="89"/>
      <w:bookmarkEnd w:id="90"/>
      <w:bookmarkEnd w:id="91"/>
      <w:bookmarkEnd w:id="92"/>
    </w:p>
    <w:p w:rsidR="003341B1" w:rsidRDefault="003341B1">
      <w:pPr>
        <w:pStyle w:val="yShoulderClause"/>
      </w:pPr>
      <w:r>
        <w:t>[r. 4]</w:t>
      </w:r>
    </w:p>
    <w:p w:rsidR="003341B1" w:rsidRDefault="003341B1">
      <w:pPr>
        <w:pStyle w:val="yMiscellaneousHeading"/>
        <w:spacing w:before="0"/>
        <w:rPr>
          <w:b/>
          <w:bCs/>
        </w:rPr>
      </w:pPr>
      <w:r>
        <w:rPr>
          <w:b/>
          <w:bCs/>
        </w:rPr>
        <w:t>CAUTION (Penalty Enforcement Suspension)</w:t>
      </w:r>
    </w:p>
    <w:p w:rsidR="003341B1" w:rsidRDefault="003341B1">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rsidR="003341B1" w:rsidRDefault="003341B1">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rsidR="003341B1">
        <w:tc>
          <w:tcPr>
            <w:tcW w:w="1440" w:type="dxa"/>
          </w:tcPr>
          <w:p w:rsidR="003341B1" w:rsidRDefault="003341B1">
            <w:pPr>
              <w:pStyle w:val="yTable"/>
            </w:pPr>
            <w:r>
              <w:t>Driver:</w:t>
            </w:r>
          </w:p>
        </w:tc>
        <w:tc>
          <w:tcPr>
            <w:tcW w:w="5081" w:type="dxa"/>
          </w:tcPr>
          <w:p w:rsidR="003341B1" w:rsidRDefault="003341B1">
            <w:pPr>
              <w:pStyle w:val="yTable"/>
              <w:tabs>
                <w:tab w:val="left" w:pos="2847"/>
                <w:tab w:val="left" w:pos="3981"/>
                <w:tab w:val="left" w:pos="4406"/>
              </w:tabs>
            </w:pPr>
            <w:r>
              <w:tab/>
              <w:t>DOB:</w:t>
            </w:r>
            <w:r>
              <w:tab/>
              <w:t>/</w:t>
            </w:r>
            <w:r>
              <w:tab/>
              <w:t>/</w:t>
            </w:r>
          </w:p>
        </w:tc>
      </w:tr>
      <w:tr w:rsidR="003341B1">
        <w:tc>
          <w:tcPr>
            <w:tcW w:w="1440" w:type="dxa"/>
          </w:tcPr>
          <w:p w:rsidR="003341B1" w:rsidRDefault="003341B1">
            <w:pPr>
              <w:pStyle w:val="yTable"/>
            </w:pPr>
            <w:r>
              <w:t>Address:</w:t>
            </w:r>
          </w:p>
        </w:tc>
        <w:tc>
          <w:tcPr>
            <w:tcW w:w="5081" w:type="dxa"/>
          </w:tcPr>
          <w:p w:rsidR="003341B1" w:rsidRDefault="003341B1">
            <w:pPr>
              <w:pStyle w:val="yTable"/>
              <w:tabs>
                <w:tab w:val="left" w:pos="2847"/>
              </w:tabs>
            </w:pPr>
            <w:r>
              <w:tab/>
              <w:t>Phone:</w:t>
            </w:r>
          </w:p>
        </w:tc>
      </w:tr>
      <w:tr w:rsidR="003341B1">
        <w:tc>
          <w:tcPr>
            <w:tcW w:w="1440" w:type="dxa"/>
          </w:tcPr>
          <w:p w:rsidR="003341B1" w:rsidRDefault="003341B1">
            <w:pPr>
              <w:pStyle w:val="yTable"/>
            </w:pPr>
            <w:r>
              <w:t>Driver’s licence details:</w:t>
            </w:r>
          </w:p>
        </w:tc>
        <w:tc>
          <w:tcPr>
            <w:tcW w:w="5081" w:type="dxa"/>
          </w:tcPr>
          <w:p w:rsidR="003341B1" w:rsidRDefault="003341B1">
            <w:pPr>
              <w:pStyle w:val="yTable"/>
              <w:tabs>
                <w:tab w:val="left" w:pos="2421"/>
                <w:tab w:val="left" w:pos="2847"/>
                <w:tab w:val="left" w:pos="3981"/>
                <w:tab w:val="left" w:pos="4406"/>
              </w:tabs>
            </w:pPr>
            <w:r>
              <w:br/>
              <w:t>MDL No.:</w:t>
            </w:r>
            <w:r>
              <w:br/>
              <w:t>Issued in:</w:t>
            </w:r>
            <w:r>
              <w:tab/>
            </w:r>
            <w:r>
              <w:tab/>
              <w:t>Expiry:</w:t>
            </w:r>
            <w:r>
              <w:tab/>
              <w:t>/</w:t>
            </w:r>
            <w:r>
              <w:tab/>
              <w:t>/</w:t>
            </w:r>
          </w:p>
        </w:tc>
      </w:tr>
      <w:tr w:rsidR="003341B1">
        <w:tc>
          <w:tcPr>
            <w:tcW w:w="1440" w:type="dxa"/>
          </w:tcPr>
          <w:p w:rsidR="003341B1" w:rsidRDefault="003341B1">
            <w:pPr>
              <w:pStyle w:val="yTable"/>
            </w:pPr>
          </w:p>
          <w:p w:rsidR="003341B1" w:rsidRDefault="003341B1">
            <w:pPr>
              <w:pStyle w:val="yTable"/>
            </w:pPr>
            <w:r>
              <w:t>Vehicle:</w:t>
            </w:r>
          </w:p>
        </w:tc>
        <w:tc>
          <w:tcPr>
            <w:tcW w:w="5081" w:type="dxa"/>
          </w:tcPr>
          <w:p w:rsidR="003341B1" w:rsidRDefault="003341B1">
            <w:pPr>
              <w:pStyle w:val="yTable"/>
            </w:pPr>
            <w:r>
              <w:t>Reg. No.:</w:t>
            </w:r>
          </w:p>
          <w:p w:rsidR="003341B1" w:rsidRDefault="003341B1">
            <w:pPr>
              <w:pStyle w:val="yTable"/>
            </w:pPr>
            <w:r>
              <w:t>Make / Model:</w:t>
            </w:r>
          </w:p>
        </w:tc>
      </w:tr>
      <w:tr w:rsidR="003341B1">
        <w:tc>
          <w:tcPr>
            <w:tcW w:w="1440" w:type="dxa"/>
          </w:tcPr>
          <w:p w:rsidR="003341B1" w:rsidRDefault="003341B1">
            <w:pPr>
              <w:pStyle w:val="yTable"/>
            </w:pPr>
            <w:r>
              <w:t>Time and date stopped:</w:t>
            </w:r>
          </w:p>
        </w:tc>
        <w:tc>
          <w:tcPr>
            <w:tcW w:w="5081" w:type="dxa"/>
          </w:tcPr>
          <w:p w:rsidR="003341B1" w:rsidRDefault="003341B1">
            <w:pPr>
              <w:pStyle w:val="yTable"/>
              <w:tabs>
                <w:tab w:val="left" w:pos="2847"/>
                <w:tab w:val="left" w:pos="3981"/>
                <w:tab w:val="left" w:pos="4406"/>
              </w:tabs>
            </w:pPr>
            <w:r>
              <w:br/>
            </w:r>
            <w:r>
              <w:tab/>
              <w:t>hrs on</w:t>
            </w:r>
            <w:r>
              <w:tab/>
              <w:t>/</w:t>
            </w:r>
            <w:r>
              <w:tab/>
              <w:t>/</w:t>
            </w:r>
          </w:p>
        </w:tc>
      </w:tr>
      <w:tr w:rsidR="003341B1">
        <w:tc>
          <w:tcPr>
            <w:tcW w:w="1440" w:type="dxa"/>
          </w:tcPr>
          <w:p w:rsidR="003341B1" w:rsidRDefault="003341B1">
            <w:pPr>
              <w:pStyle w:val="yTable"/>
            </w:pPr>
            <w:r>
              <w:t>Location stopped:</w:t>
            </w:r>
          </w:p>
        </w:tc>
        <w:tc>
          <w:tcPr>
            <w:tcW w:w="5081" w:type="dxa"/>
          </w:tcPr>
          <w:p w:rsidR="003341B1" w:rsidRDefault="003341B1">
            <w:pPr>
              <w:pStyle w:val="yTable"/>
            </w:pPr>
          </w:p>
        </w:tc>
      </w:tr>
      <w:tr w:rsidR="003341B1">
        <w:tc>
          <w:tcPr>
            <w:tcW w:w="1440" w:type="dxa"/>
          </w:tcPr>
          <w:p w:rsidR="003341B1" w:rsidRDefault="003341B1">
            <w:pPr>
              <w:pStyle w:val="yTable"/>
            </w:pPr>
            <w:r>
              <w:t>Driver’s signature:</w:t>
            </w:r>
          </w:p>
        </w:tc>
        <w:tc>
          <w:tcPr>
            <w:tcW w:w="5081" w:type="dxa"/>
          </w:tcPr>
          <w:p w:rsidR="003341B1" w:rsidRDefault="003341B1">
            <w:pPr>
              <w:pStyle w:val="yTable"/>
              <w:tabs>
                <w:tab w:val="left" w:pos="2847"/>
              </w:tabs>
            </w:pPr>
            <w:r>
              <w:br/>
            </w:r>
            <w:r>
              <w:tab/>
              <w:t>Time signed:</w:t>
            </w:r>
          </w:p>
        </w:tc>
      </w:tr>
      <w:tr w:rsidR="003341B1">
        <w:tc>
          <w:tcPr>
            <w:tcW w:w="1440" w:type="dxa"/>
          </w:tcPr>
          <w:p w:rsidR="003341B1" w:rsidRDefault="003341B1">
            <w:pPr>
              <w:pStyle w:val="yTable"/>
            </w:pPr>
            <w:r>
              <w:t>Police officer issuing caution:</w:t>
            </w:r>
          </w:p>
        </w:tc>
        <w:tc>
          <w:tcPr>
            <w:tcW w:w="5081" w:type="dxa"/>
          </w:tcPr>
          <w:p w:rsidR="003341B1" w:rsidRDefault="003341B1">
            <w:pPr>
              <w:pStyle w:val="yTable"/>
              <w:tabs>
                <w:tab w:val="left" w:pos="2847"/>
              </w:tabs>
            </w:pPr>
            <w:r>
              <w:t>Signature:</w:t>
            </w:r>
            <w:r>
              <w:br/>
              <w:t>Name:</w:t>
            </w:r>
            <w:r>
              <w:tab/>
              <w:t>Rank/Reg:</w:t>
            </w:r>
          </w:p>
          <w:p w:rsidR="003341B1" w:rsidRDefault="003341B1">
            <w:pPr>
              <w:pStyle w:val="yTable"/>
              <w:tabs>
                <w:tab w:val="left" w:pos="2847"/>
              </w:tabs>
            </w:pPr>
            <w:r>
              <w:t>Station:</w:t>
            </w:r>
            <w:r>
              <w:tab/>
              <w:t>Phone No.:</w:t>
            </w:r>
          </w:p>
        </w:tc>
      </w:tr>
      <w:tr w:rsidR="003341B1">
        <w:tc>
          <w:tcPr>
            <w:tcW w:w="1440" w:type="dxa"/>
          </w:tcPr>
          <w:p w:rsidR="003341B1" w:rsidRDefault="003341B1">
            <w:pPr>
              <w:pStyle w:val="yTable"/>
            </w:pPr>
            <w:r>
              <w:t>Licence suspension details:</w:t>
            </w:r>
          </w:p>
        </w:tc>
        <w:tc>
          <w:tcPr>
            <w:tcW w:w="5081" w:type="dxa"/>
          </w:tcPr>
          <w:p w:rsidR="003341B1" w:rsidRDefault="003341B1">
            <w:pPr>
              <w:pStyle w:val="yTable"/>
              <w:tabs>
                <w:tab w:val="left" w:pos="2847"/>
              </w:tabs>
            </w:pPr>
            <w:r>
              <w:br/>
            </w:r>
            <w:r>
              <w:br/>
              <w:t>Start date:</w:t>
            </w:r>
            <w:r>
              <w:tab/>
              <w:t>Case No.:</w:t>
            </w:r>
          </w:p>
        </w:tc>
      </w:tr>
    </w:tbl>
    <w:p w:rsidR="003341B1" w:rsidRDefault="003341B1">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rsidR="003341B1">
        <w:tc>
          <w:tcPr>
            <w:tcW w:w="1418" w:type="dxa"/>
          </w:tcPr>
          <w:p w:rsidR="003341B1" w:rsidRDefault="003341B1">
            <w:pPr>
              <w:pStyle w:val="yTable"/>
            </w:pPr>
            <w:r>
              <w:t>Driving / travel is authorised only until:</w:t>
            </w:r>
          </w:p>
        </w:tc>
        <w:tc>
          <w:tcPr>
            <w:tcW w:w="5103" w:type="dxa"/>
          </w:tcPr>
          <w:p w:rsidR="003341B1" w:rsidRDefault="003341B1">
            <w:pPr>
              <w:pStyle w:val="yTable"/>
              <w:tabs>
                <w:tab w:val="left" w:pos="2869"/>
                <w:tab w:val="left" w:pos="4003"/>
                <w:tab w:val="left" w:pos="4428"/>
              </w:tabs>
            </w:pPr>
            <w:r>
              <w:br/>
            </w:r>
            <w:r>
              <w:br/>
            </w:r>
            <w:r>
              <w:br/>
            </w:r>
            <w:r>
              <w:tab/>
              <w:t>hrs on</w:t>
            </w:r>
            <w:r>
              <w:tab/>
              <w:t>/</w:t>
            </w:r>
            <w:r>
              <w:tab/>
              <w:t>/</w:t>
            </w:r>
          </w:p>
        </w:tc>
      </w:tr>
      <w:tr w:rsidR="003341B1">
        <w:tc>
          <w:tcPr>
            <w:tcW w:w="1418" w:type="dxa"/>
          </w:tcPr>
          <w:p w:rsidR="003341B1" w:rsidRDefault="003341B1">
            <w:pPr>
              <w:pStyle w:val="yTable"/>
            </w:pPr>
            <w:r>
              <w:t>Journey is only authorised as mentioned:</w:t>
            </w:r>
          </w:p>
        </w:tc>
        <w:tc>
          <w:tcPr>
            <w:tcW w:w="5103" w:type="dxa"/>
          </w:tcPr>
          <w:p w:rsidR="003341B1" w:rsidRDefault="003341B1">
            <w:pPr>
              <w:pStyle w:val="yTable"/>
            </w:pPr>
            <w:r>
              <w:t>Travel from  …..……………………….........................</w:t>
            </w:r>
            <w:r>
              <w:br/>
            </w:r>
            <w:r>
              <w:br/>
              <w:t>to ……………………………………………………....</w:t>
            </w:r>
            <w:r>
              <w:br/>
              <w:t>by shortest practicable route.</w:t>
            </w:r>
          </w:p>
        </w:tc>
      </w:tr>
      <w:tr w:rsidR="003341B1">
        <w:tc>
          <w:tcPr>
            <w:tcW w:w="1418" w:type="dxa"/>
          </w:tcPr>
          <w:p w:rsidR="003341B1" w:rsidRDefault="003341B1">
            <w:pPr>
              <w:pStyle w:val="yTable"/>
            </w:pPr>
            <w:r>
              <w:t>Conditions:</w:t>
            </w:r>
          </w:p>
        </w:tc>
        <w:tc>
          <w:tcPr>
            <w:tcW w:w="5103" w:type="dxa"/>
          </w:tcPr>
          <w:p w:rsidR="003341B1" w:rsidRDefault="003341B1">
            <w:pPr>
              <w:pStyle w:val="yTable"/>
            </w:pPr>
          </w:p>
        </w:tc>
      </w:tr>
    </w:tbl>
    <w:p w:rsidR="003341B1" w:rsidRDefault="003341B1">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rsidR="003341B1" w:rsidRDefault="003341B1">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rsidR="003341B1" w:rsidRDefault="003341B1">
      <w:pPr>
        <w:pStyle w:val="MiscellaneousBody"/>
        <w:rPr>
          <w:sz w:val="22"/>
        </w:rPr>
      </w:pPr>
      <w:r>
        <w:tab/>
      </w:r>
      <w:r>
        <w:rPr>
          <w:sz w:val="22"/>
        </w:rPr>
        <w:t>Entered on Frontline IMS.</w:t>
      </w:r>
      <w:r w:rsidR="0077723A">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rsidR="003341B1" w:rsidRDefault="003341B1">
      <w:pPr>
        <w:pStyle w:val="MiscellaneousBody"/>
      </w:pPr>
    </w:p>
    <w:p w:rsidR="003341B1" w:rsidRDefault="003341B1">
      <w:pPr>
        <w:pStyle w:val="yScheduleHeading"/>
      </w:pPr>
      <w:bookmarkStart w:id="98" w:name="_Toc201993255"/>
      <w:bookmarkStart w:id="99" w:name="_Toc201993318"/>
      <w:bookmarkStart w:id="100" w:name="_Toc201995317"/>
      <w:bookmarkStart w:id="101" w:name="_Toc201995400"/>
      <w:bookmarkStart w:id="102" w:name="_Toc202066078"/>
      <w:bookmarkStart w:id="103" w:name="_Toc202518362"/>
      <w:bookmarkStart w:id="104" w:name="_Toc228265967"/>
      <w:bookmarkStart w:id="105" w:name="_Toc288226945"/>
      <w:r>
        <w:rPr>
          <w:rStyle w:val="CharSchNo"/>
        </w:rPr>
        <w:t>Schedule 2</w:t>
      </w:r>
      <w:r>
        <w:rPr>
          <w:rStyle w:val="CharSDivNo"/>
        </w:rPr>
        <w:t> </w:t>
      </w:r>
      <w:r>
        <w:t>—</w:t>
      </w:r>
      <w:r>
        <w:rPr>
          <w:rStyle w:val="CharSDivText"/>
        </w:rPr>
        <w:t> </w:t>
      </w:r>
      <w:r>
        <w:rPr>
          <w:rStyle w:val="CharSchText"/>
        </w:rPr>
        <w:t>Demerit point offences in WA</w:t>
      </w:r>
      <w:bookmarkEnd w:id="98"/>
      <w:bookmarkEnd w:id="99"/>
      <w:bookmarkEnd w:id="100"/>
      <w:bookmarkEnd w:id="101"/>
      <w:bookmarkEnd w:id="102"/>
      <w:bookmarkEnd w:id="103"/>
      <w:bookmarkEnd w:id="104"/>
      <w:bookmarkEnd w:id="105"/>
    </w:p>
    <w:p w:rsidR="003341B1" w:rsidRDefault="003341B1">
      <w:pPr>
        <w:pStyle w:val="yShoulderClause"/>
      </w:pPr>
      <w:r>
        <w:t>[r. 6]</w:t>
      </w:r>
    </w:p>
    <w:tbl>
      <w:tblPr>
        <w:tblW w:w="7088" w:type="dxa"/>
        <w:tblInd w:w="108" w:type="dxa"/>
        <w:tblLook w:val="0000" w:firstRow="0" w:lastRow="0" w:firstColumn="0" w:lastColumn="0" w:noHBand="0" w:noVBand="0"/>
      </w:tblPr>
      <w:tblGrid>
        <w:gridCol w:w="1177"/>
        <w:gridCol w:w="4734"/>
        <w:gridCol w:w="1177"/>
      </w:tblGrid>
      <w:tr w:rsidR="003341B1">
        <w:trPr>
          <w:tblHeader/>
        </w:trPr>
        <w:tc>
          <w:tcPr>
            <w:tcW w:w="1177" w:type="dxa"/>
          </w:tcPr>
          <w:p w:rsidR="003341B1" w:rsidRDefault="003341B1">
            <w:pPr>
              <w:pStyle w:val="yTable"/>
              <w:rPr>
                <w:b/>
                <w:bCs/>
                <w:i/>
                <w:iCs/>
              </w:rPr>
            </w:pPr>
            <w:r>
              <w:rPr>
                <w:b/>
                <w:bCs/>
                <w:i/>
                <w:iCs/>
              </w:rPr>
              <w:t>column 1</w:t>
            </w:r>
          </w:p>
        </w:tc>
        <w:tc>
          <w:tcPr>
            <w:tcW w:w="4734" w:type="dxa"/>
          </w:tcPr>
          <w:p w:rsidR="003341B1" w:rsidRDefault="003341B1">
            <w:pPr>
              <w:pStyle w:val="yTable"/>
              <w:rPr>
                <w:b/>
                <w:bCs/>
                <w:i/>
                <w:iCs/>
              </w:rPr>
            </w:pPr>
            <w:r>
              <w:rPr>
                <w:b/>
                <w:bCs/>
                <w:i/>
                <w:iCs/>
              </w:rPr>
              <w:t>column 2</w:t>
            </w:r>
          </w:p>
        </w:tc>
        <w:tc>
          <w:tcPr>
            <w:tcW w:w="1177" w:type="dxa"/>
          </w:tcPr>
          <w:p w:rsidR="003341B1" w:rsidRDefault="003341B1">
            <w:pPr>
              <w:pStyle w:val="yTable"/>
              <w:rPr>
                <w:b/>
                <w:bCs/>
                <w:i/>
                <w:iCs/>
              </w:rPr>
            </w:pPr>
            <w:r>
              <w:rPr>
                <w:b/>
                <w:bCs/>
                <w:i/>
                <w:iCs/>
              </w:rPr>
              <w:t>column 3</w:t>
            </w:r>
          </w:p>
        </w:tc>
      </w:tr>
      <w:tr w:rsidR="003341B1">
        <w:trPr>
          <w:tblHeader/>
        </w:trPr>
        <w:tc>
          <w:tcPr>
            <w:tcW w:w="1177" w:type="dxa"/>
          </w:tcPr>
          <w:p w:rsidR="003341B1" w:rsidRDefault="003341B1">
            <w:pPr>
              <w:pStyle w:val="yTable"/>
              <w:rPr>
                <w:b/>
                <w:bCs/>
              </w:rPr>
            </w:pPr>
            <w:r>
              <w:rPr>
                <w:b/>
                <w:bCs/>
              </w:rPr>
              <w:t>provision</w:t>
            </w:r>
          </w:p>
        </w:tc>
        <w:tc>
          <w:tcPr>
            <w:tcW w:w="4734" w:type="dxa"/>
          </w:tcPr>
          <w:p w:rsidR="003341B1" w:rsidRDefault="003341B1">
            <w:pPr>
              <w:pStyle w:val="yTable"/>
              <w:rPr>
                <w:b/>
                <w:bCs/>
              </w:rPr>
            </w:pPr>
            <w:r>
              <w:rPr>
                <w:b/>
                <w:bCs/>
              </w:rPr>
              <w:t>description of offence</w:t>
            </w:r>
          </w:p>
        </w:tc>
        <w:tc>
          <w:tcPr>
            <w:tcW w:w="1177" w:type="dxa"/>
          </w:tcPr>
          <w:p w:rsidR="003341B1" w:rsidRDefault="003341B1">
            <w:pPr>
              <w:pStyle w:val="yTable"/>
              <w:rPr>
                <w:b/>
                <w:bCs/>
              </w:rPr>
            </w:pPr>
            <w:r>
              <w:rPr>
                <w:b/>
                <w:bCs/>
              </w:rPr>
              <w:t>points</w:t>
            </w:r>
          </w:p>
        </w:tc>
      </w:tr>
      <w:tr w:rsidR="003341B1">
        <w:tc>
          <w:tcPr>
            <w:tcW w:w="1177" w:type="dxa"/>
          </w:tcPr>
          <w:p w:rsidR="003341B1" w:rsidRDefault="003341B1">
            <w:pPr>
              <w:pStyle w:val="yTable"/>
              <w:jc w:val="center"/>
            </w:pPr>
            <w:r>
              <w:t>49(1)</w:t>
            </w:r>
          </w:p>
        </w:tc>
        <w:tc>
          <w:tcPr>
            <w:tcW w:w="4734" w:type="dxa"/>
          </w:tcPr>
          <w:p w:rsidR="003341B1" w:rsidRDefault="003341B1">
            <w:pPr>
              <w:pStyle w:val="yTable"/>
            </w:pPr>
            <w:r>
              <w:t>A first offence of driving while not authorised if the driving is by a novice driver (type 1A) and between midnight and the following 5 a.m., other than if s. 49(3) of the Act applies</w:t>
            </w:r>
          </w:p>
        </w:tc>
        <w:tc>
          <w:tcPr>
            <w:tcW w:w="1177" w:type="dxa"/>
          </w:tcPr>
          <w:p w:rsidR="003341B1" w:rsidRDefault="003341B1">
            <w:pPr>
              <w:pStyle w:val="yTable"/>
              <w:jc w:val="center"/>
            </w:pPr>
            <w:r>
              <w:br/>
            </w:r>
            <w:r>
              <w:br/>
            </w:r>
            <w:r>
              <w:br/>
              <w:t>2</w:t>
            </w:r>
          </w:p>
        </w:tc>
      </w:tr>
      <w:tr w:rsidR="003341B1">
        <w:tc>
          <w:tcPr>
            <w:tcW w:w="1177" w:type="dxa"/>
          </w:tcPr>
          <w:p w:rsidR="003341B1" w:rsidRDefault="003341B1">
            <w:pPr>
              <w:pStyle w:val="yTable"/>
              <w:jc w:val="center"/>
            </w:pPr>
            <w:r>
              <w:t>61</w:t>
            </w:r>
          </w:p>
        </w:tc>
        <w:tc>
          <w:tcPr>
            <w:tcW w:w="4734" w:type="dxa"/>
          </w:tcPr>
          <w:p w:rsidR="003341B1" w:rsidRDefault="003341B1">
            <w:pPr>
              <w:pStyle w:val="yTable"/>
            </w:pPr>
            <w:r>
              <w:t>A first offence of dangerous driving</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r>
              <w:t>62</w:t>
            </w:r>
          </w:p>
        </w:tc>
        <w:tc>
          <w:tcPr>
            <w:tcW w:w="4734" w:type="dxa"/>
          </w:tcPr>
          <w:p w:rsidR="003341B1" w:rsidRDefault="003341B1">
            <w:pPr>
              <w:pStyle w:val="yTable"/>
            </w:pPr>
            <w:r>
              <w:t>Careless driving</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62A</w:t>
            </w:r>
          </w:p>
        </w:tc>
        <w:tc>
          <w:tcPr>
            <w:tcW w:w="4734" w:type="dxa"/>
          </w:tcPr>
          <w:p w:rsidR="003341B1" w:rsidRDefault="003341B1">
            <w:pPr>
              <w:pStyle w:val="yTable"/>
            </w:pPr>
            <w:r>
              <w:t>Causing excessive noise, smoke</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64AA</w:t>
            </w:r>
          </w:p>
        </w:tc>
        <w:tc>
          <w:tcPr>
            <w:tcW w:w="4734" w:type="dxa"/>
          </w:tcPr>
          <w:p w:rsidR="003341B1" w:rsidRDefault="003341B1">
            <w:pPr>
              <w:pStyle w:val="yTable"/>
            </w:pPr>
            <w:r>
              <w:t>A first offence of driving or attempting to drive a motor vehicle while having a blood alcohol content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 xml:space="preserve">of or above 0.05 g but less than 0.06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 xml:space="preserve">of or above 0.06 g but less than 0.07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8</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4</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(c)</w:t>
            </w:r>
            <w:r>
              <w:tab/>
              <w:t xml:space="preserve">of or above 0.07 g of alcohol per 100 mL of </w:t>
            </w:r>
            <w:r>
              <w:tab/>
              <w:t>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10</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5</w:t>
            </w:r>
          </w:p>
        </w:tc>
      </w:tr>
      <w:tr w:rsidR="003341B1">
        <w:tc>
          <w:tcPr>
            <w:tcW w:w="1177" w:type="dxa"/>
          </w:tcPr>
          <w:p w:rsidR="003341B1" w:rsidRDefault="003341B1">
            <w:pPr>
              <w:pStyle w:val="yTable"/>
              <w:jc w:val="center"/>
            </w:pPr>
            <w:r>
              <w:t>64AAA</w:t>
            </w:r>
          </w:p>
        </w:tc>
        <w:tc>
          <w:tcPr>
            <w:tcW w:w="4734" w:type="dxa"/>
          </w:tcPr>
          <w:p w:rsidR="003341B1" w:rsidRDefault="003341B1">
            <w:pPr>
              <w:pStyle w:val="yTable"/>
              <w:tabs>
                <w:tab w:val="left" w:pos="416"/>
                <w:tab w:val="left" w:pos="842"/>
              </w:tabs>
            </w:pPr>
            <w:r>
              <w:t>Driving or attempting to drive a motor vehicle while being a novice driver and having any blood alcohol content</w:t>
            </w:r>
          </w:p>
        </w:tc>
        <w:tc>
          <w:tcPr>
            <w:tcW w:w="1177" w:type="dxa"/>
          </w:tcPr>
          <w:p w:rsidR="003341B1" w:rsidRDefault="003341B1">
            <w:pPr>
              <w:pStyle w:val="yTable"/>
              <w:jc w:val="center"/>
            </w:pPr>
            <w:r>
              <w:br/>
            </w:r>
            <w:r>
              <w:br/>
              <w:t>3</w:t>
            </w:r>
          </w:p>
        </w:tc>
      </w:tr>
      <w:tr w:rsidR="003341B1">
        <w:tc>
          <w:tcPr>
            <w:tcW w:w="1177" w:type="dxa"/>
          </w:tcPr>
          <w:p w:rsidR="003341B1" w:rsidRDefault="003341B1">
            <w:pPr>
              <w:pStyle w:val="yTable"/>
              <w:jc w:val="center"/>
            </w:pPr>
            <w:r>
              <w:t>64AC</w:t>
            </w:r>
          </w:p>
        </w:tc>
        <w:tc>
          <w:tcPr>
            <w:tcW w:w="4734" w:type="dxa"/>
          </w:tcPr>
          <w:p w:rsidR="003341B1" w:rsidRDefault="003341B1">
            <w:pPr>
              <w:pStyle w:val="yTable"/>
            </w:pPr>
            <w:r>
              <w:t xml:space="preserve">A first offence of driving or attempting to drive a motor vehicle while a prescribed illicit drug is present in the person’s oral fluid or blood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67AB</w:t>
            </w:r>
          </w:p>
        </w:tc>
        <w:tc>
          <w:tcPr>
            <w:tcW w:w="4734" w:type="dxa"/>
          </w:tcPr>
          <w:p w:rsidR="003341B1" w:rsidRDefault="003341B1">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bl>
    <w:p w:rsidR="003341B1" w:rsidRDefault="003341B1">
      <w:pPr>
        <w:pStyle w:val="yFootnotesection"/>
      </w:pPr>
      <w:r>
        <w:tab/>
        <w:t>[Schedule 2 amended in Gazette 27 Jun 2008 p. 3124.]</w:t>
      </w:r>
    </w:p>
    <w:p w:rsidR="003341B1" w:rsidRDefault="003341B1">
      <w:pPr>
        <w:sectPr w:rsidR="003341B1">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3341B1" w:rsidRDefault="003341B1">
      <w:pPr>
        <w:pStyle w:val="nHeading2"/>
      </w:pPr>
      <w:bookmarkStart w:id="106" w:name="_Toc201993319"/>
      <w:bookmarkStart w:id="107" w:name="_Toc201995318"/>
      <w:bookmarkStart w:id="108" w:name="_Toc201995401"/>
      <w:bookmarkStart w:id="109" w:name="_Toc202066079"/>
      <w:bookmarkStart w:id="110" w:name="_Toc202518363"/>
      <w:bookmarkStart w:id="111" w:name="_Toc228265968"/>
      <w:bookmarkStart w:id="112" w:name="_Toc288226946"/>
      <w:r>
        <w:t>Notes</w:t>
      </w:r>
      <w:bookmarkEnd w:id="93"/>
      <w:bookmarkEnd w:id="94"/>
      <w:bookmarkEnd w:id="95"/>
      <w:bookmarkEnd w:id="96"/>
      <w:bookmarkEnd w:id="97"/>
      <w:bookmarkEnd w:id="106"/>
      <w:bookmarkEnd w:id="107"/>
      <w:bookmarkEnd w:id="108"/>
      <w:bookmarkEnd w:id="109"/>
      <w:bookmarkEnd w:id="110"/>
      <w:bookmarkEnd w:id="111"/>
      <w:bookmarkEnd w:id="112"/>
    </w:p>
    <w:p w:rsidR="003341B1" w:rsidRDefault="003341B1">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rsidR="003341B1" w:rsidRDefault="003341B1">
      <w:pPr>
        <w:pStyle w:val="nHeading3"/>
      </w:pPr>
      <w:bookmarkStart w:id="113" w:name="_Toc70311430"/>
      <w:bookmarkStart w:id="114" w:name="_Toc200768052"/>
      <w:bookmarkStart w:id="115" w:name="_Toc288226947"/>
      <w:r>
        <w:t>Compilation table</w:t>
      </w:r>
      <w:bookmarkEnd w:id="113"/>
      <w:bookmarkEnd w:id="114"/>
      <w:bookmarkEnd w:id="1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341B1">
        <w:trPr>
          <w:tblHeader/>
        </w:trPr>
        <w:tc>
          <w:tcPr>
            <w:tcW w:w="3118" w:type="dxa"/>
          </w:tcPr>
          <w:p w:rsidR="003341B1" w:rsidRDefault="003341B1">
            <w:pPr>
              <w:pStyle w:val="nTable"/>
              <w:spacing w:after="40"/>
              <w:rPr>
                <w:b/>
                <w:sz w:val="19"/>
              </w:rPr>
            </w:pPr>
            <w:r>
              <w:rPr>
                <w:b/>
                <w:sz w:val="19"/>
              </w:rPr>
              <w:t>Citation</w:t>
            </w:r>
          </w:p>
        </w:tc>
        <w:tc>
          <w:tcPr>
            <w:tcW w:w="1276" w:type="dxa"/>
          </w:tcPr>
          <w:p w:rsidR="003341B1" w:rsidRDefault="003341B1">
            <w:pPr>
              <w:pStyle w:val="nTable"/>
              <w:spacing w:after="40"/>
              <w:rPr>
                <w:b/>
                <w:sz w:val="19"/>
              </w:rPr>
            </w:pPr>
            <w:r>
              <w:rPr>
                <w:b/>
                <w:sz w:val="19"/>
              </w:rPr>
              <w:t>Gazettal</w:t>
            </w:r>
          </w:p>
        </w:tc>
        <w:tc>
          <w:tcPr>
            <w:tcW w:w="2693" w:type="dxa"/>
          </w:tcPr>
          <w:p w:rsidR="003341B1" w:rsidRDefault="003341B1">
            <w:pPr>
              <w:pStyle w:val="nTable"/>
              <w:spacing w:after="40"/>
              <w:rPr>
                <w:b/>
                <w:sz w:val="19"/>
              </w:rPr>
            </w:pPr>
            <w:r>
              <w:rPr>
                <w:b/>
                <w:sz w:val="19"/>
              </w:rPr>
              <w:t>Commencement</w:t>
            </w:r>
          </w:p>
        </w:tc>
      </w:tr>
      <w:tr w:rsidR="003341B1">
        <w:tc>
          <w:tcPr>
            <w:tcW w:w="3118" w:type="dxa"/>
            <w:tcBorders>
              <w:bottom w:val="nil"/>
            </w:tcBorders>
          </w:tcPr>
          <w:p w:rsidR="003341B1" w:rsidRDefault="003341B1">
            <w:pPr>
              <w:pStyle w:val="nTable"/>
              <w:spacing w:after="40"/>
              <w:rPr>
                <w:iCs/>
                <w:sz w:val="19"/>
              </w:rPr>
            </w:pPr>
            <w:r>
              <w:rPr>
                <w:i/>
                <w:sz w:val="19"/>
              </w:rPr>
              <w:t>Road Traffic (Miscellaneous) Regulations 2008</w:t>
            </w:r>
          </w:p>
        </w:tc>
        <w:tc>
          <w:tcPr>
            <w:tcW w:w="1276" w:type="dxa"/>
            <w:tcBorders>
              <w:bottom w:val="nil"/>
            </w:tcBorders>
          </w:tcPr>
          <w:p w:rsidR="003341B1" w:rsidRDefault="003341B1">
            <w:pPr>
              <w:pStyle w:val="nTable"/>
              <w:spacing w:after="40"/>
              <w:rPr>
                <w:sz w:val="19"/>
              </w:rPr>
            </w:pPr>
            <w:r>
              <w:rPr>
                <w:sz w:val="19"/>
              </w:rPr>
              <w:t>10 Jun 2008 p. 2431-47</w:t>
            </w:r>
          </w:p>
        </w:tc>
        <w:tc>
          <w:tcPr>
            <w:tcW w:w="2693" w:type="dxa"/>
            <w:tcBorders>
              <w:bottom w:val="nil"/>
            </w:tcBorders>
          </w:tcPr>
          <w:p w:rsidR="003341B1" w:rsidRDefault="003341B1">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rsidR="003341B1">
        <w:tc>
          <w:tcPr>
            <w:tcW w:w="3118" w:type="dxa"/>
            <w:tcBorders>
              <w:top w:val="nil"/>
              <w:bottom w:val="nil"/>
            </w:tcBorders>
          </w:tcPr>
          <w:p w:rsidR="003341B1" w:rsidRDefault="003341B1">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rsidR="003341B1" w:rsidRDefault="003341B1">
            <w:pPr>
              <w:pStyle w:val="nTable"/>
              <w:spacing w:after="40"/>
              <w:rPr>
                <w:sz w:val="19"/>
              </w:rPr>
            </w:pPr>
            <w:r>
              <w:rPr>
                <w:sz w:val="19"/>
              </w:rPr>
              <w:t>27 Jun 2008 p. 3119-24</w:t>
            </w:r>
          </w:p>
        </w:tc>
        <w:tc>
          <w:tcPr>
            <w:tcW w:w="2693" w:type="dxa"/>
            <w:tcBorders>
              <w:top w:val="nil"/>
              <w:bottom w:val="nil"/>
            </w:tcBorders>
          </w:tcPr>
          <w:p w:rsidR="003341B1" w:rsidRDefault="003341B1">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rsidR="003341B1" w:rsidTr="0040665D">
        <w:tc>
          <w:tcPr>
            <w:tcW w:w="3118" w:type="dxa"/>
            <w:tcBorders>
              <w:top w:val="nil"/>
              <w:bottom w:val="nil"/>
            </w:tcBorders>
          </w:tcPr>
          <w:p w:rsidR="003341B1" w:rsidRDefault="003341B1">
            <w:pPr>
              <w:pStyle w:val="nTable"/>
              <w:spacing w:after="40"/>
              <w:rPr>
                <w:sz w:val="19"/>
              </w:rPr>
            </w:pPr>
            <w:r>
              <w:rPr>
                <w:i/>
                <w:sz w:val="19"/>
              </w:rPr>
              <w:t>Road Traffic (Miscellaneous) Amendment Regulations 2009</w:t>
            </w:r>
          </w:p>
        </w:tc>
        <w:tc>
          <w:tcPr>
            <w:tcW w:w="1276" w:type="dxa"/>
            <w:tcBorders>
              <w:top w:val="nil"/>
              <w:bottom w:val="nil"/>
            </w:tcBorders>
          </w:tcPr>
          <w:p w:rsidR="003341B1" w:rsidRDefault="003341B1">
            <w:pPr>
              <w:pStyle w:val="nTable"/>
              <w:spacing w:after="40"/>
              <w:rPr>
                <w:sz w:val="19"/>
              </w:rPr>
            </w:pPr>
            <w:r>
              <w:rPr>
                <w:sz w:val="19"/>
              </w:rPr>
              <w:t>24 Apr 2009 p. 1388</w:t>
            </w:r>
          </w:p>
        </w:tc>
        <w:tc>
          <w:tcPr>
            <w:tcW w:w="2693" w:type="dxa"/>
            <w:tcBorders>
              <w:top w:val="nil"/>
              <w:bottom w:val="nil"/>
            </w:tcBorders>
          </w:tcPr>
          <w:p w:rsidR="003341B1" w:rsidRDefault="003341B1">
            <w:pPr>
              <w:pStyle w:val="nTable"/>
              <w:spacing w:after="40"/>
              <w:rPr>
                <w:sz w:val="19"/>
              </w:rPr>
            </w:pPr>
            <w:r>
              <w:rPr>
                <w:sz w:val="19"/>
              </w:rPr>
              <w:t>24 Apr 2009</w:t>
            </w:r>
          </w:p>
        </w:tc>
      </w:tr>
      <w:tr w:rsidR="0040665D">
        <w:tc>
          <w:tcPr>
            <w:tcW w:w="3118" w:type="dxa"/>
            <w:tcBorders>
              <w:top w:val="nil"/>
              <w:bottom w:val="single" w:sz="4" w:space="0" w:color="auto"/>
            </w:tcBorders>
          </w:tcPr>
          <w:p w:rsidR="0040665D" w:rsidRDefault="0040665D">
            <w:pPr>
              <w:pStyle w:val="nTable"/>
              <w:spacing w:after="40"/>
              <w:rPr>
                <w:i/>
                <w:sz w:val="19"/>
              </w:rPr>
            </w:pPr>
            <w:r>
              <w:rPr>
                <w:i/>
                <w:sz w:val="19"/>
              </w:rPr>
              <w:t>Road Traffic (Miscellaneous) Amendment Regulations 2011</w:t>
            </w:r>
          </w:p>
        </w:tc>
        <w:tc>
          <w:tcPr>
            <w:tcW w:w="1276" w:type="dxa"/>
            <w:tcBorders>
              <w:top w:val="nil"/>
              <w:bottom w:val="single" w:sz="4" w:space="0" w:color="auto"/>
            </w:tcBorders>
          </w:tcPr>
          <w:p w:rsidR="0040665D" w:rsidRDefault="0040665D">
            <w:pPr>
              <w:pStyle w:val="nTable"/>
              <w:spacing w:after="40"/>
              <w:rPr>
                <w:sz w:val="19"/>
              </w:rPr>
            </w:pPr>
            <w:r w:rsidRPr="0040665D">
              <w:rPr>
                <w:sz w:val="19"/>
              </w:rPr>
              <w:t>18 Mar 2011 p. </w:t>
            </w:r>
            <w:r>
              <w:rPr>
                <w:sz w:val="19"/>
              </w:rPr>
              <w:t>926</w:t>
            </w:r>
            <w:r>
              <w:rPr>
                <w:sz w:val="19"/>
              </w:rPr>
              <w:noBreakHyphen/>
              <w:t>7</w:t>
            </w:r>
          </w:p>
        </w:tc>
        <w:tc>
          <w:tcPr>
            <w:tcW w:w="2693" w:type="dxa"/>
            <w:tcBorders>
              <w:top w:val="nil"/>
              <w:bottom w:val="single" w:sz="4" w:space="0" w:color="auto"/>
            </w:tcBorders>
          </w:tcPr>
          <w:p w:rsidR="0040665D" w:rsidRDefault="0040665D">
            <w:pPr>
              <w:pStyle w:val="nTable"/>
              <w:spacing w:after="40"/>
              <w:rPr>
                <w:sz w:val="19"/>
              </w:rPr>
            </w:pPr>
            <w:r>
              <w:rPr>
                <w:sz w:val="19"/>
              </w:rPr>
              <w:t>r. 1 and 2: 18 Mar 2011 (see r. 2(a))</w:t>
            </w:r>
            <w:r>
              <w:rPr>
                <w:sz w:val="19"/>
              </w:rPr>
              <w:br/>
              <w:t>Regulations other than r. 1 and 2: 19 Mar 2011 (see r. 2(b))</w:t>
            </w:r>
          </w:p>
        </w:tc>
      </w:tr>
    </w:tbl>
    <w:p w:rsidR="003341B1" w:rsidRDefault="003341B1">
      <w:bookmarkStart w:id="116" w:name="_Toc198003600"/>
      <w:bookmarkStart w:id="117" w:name="_Toc198003891"/>
      <w:bookmarkStart w:id="118" w:name="_Toc198088767"/>
      <w:bookmarkStart w:id="119" w:name="_Toc198090492"/>
      <w:bookmarkStart w:id="120" w:name="_Toc198090767"/>
      <w:bookmarkStart w:id="121" w:name="_Toc198090808"/>
      <w:bookmarkStart w:id="122" w:name="_Toc198090856"/>
      <w:bookmarkStart w:id="123" w:name="_Toc198464858"/>
      <w:bookmarkStart w:id="124" w:name="_Toc200950603"/>
    </w:p>
    <w:p w:rsidR="003341B1" w:rsidRDefault="003341B1">
      <w:pPr>
        <w:rPr>
          <w:u w:val="words"/>
        </w:rPr>
        <w:sectPr w:rsidR="003341B1">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bookmarkEnd w:id="116"/>
    <w:bookmarkEnd w:id="117"/>
    <w:bookmarkEnd w:id="118"/>
    <w:bookmarkEnd w:id="119"/>
    <w:bookmarkEnd w:id="120"/>
    <w:bookmarkEnd w:id="121"/>
    <w:bookmarkEnd w:id="122"/>
    <w:bookmarkEnd w:id="123"/>
    <w:bookmarkEnd w:id="124"/>
    <w:p w:rsidR="003341B1" w:rsidRDefault="003341B1"/>
    <w:sectPr w:rsidR="003341B1">
      <w:headerReference w:type="even"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9D8" w:rsidRDefault="00D579D8">
      <w:pPr>
        <w:rPr>
          <w:b/>
          <w:sz w:val="28"/>
        </w:rPr>
      </w:pPr>
      <w:r>
        <w:rPr>
          <w:b/>
          <w:sz w:val="28"/>
        </w:rPr>
        <w:t>Endnotes</w:t>
      </w:r>
    </w:p>
    <w:p w:rsidR="00D579D8" w:rsidRDefault="00D579D8">
      <w:pPr>
        <w:spacing w:after="240"/>
        <w:rPr>
          <w:rFonts w:ascii="Times" w:hAnsi="Times"/>
          <w:sz w:val="18"/>
        </w:rPr>
      </w:pPr>
      <w:r>
        <w:rPr>
          <w:sz w:val="20"/>
        </w:rPr>
        <w:t>[For ease of reference detach these notes and read them alongside the draft.]</w:t>
      </w:r>
    </w:p>
    <w:p w:rsidR="00D579D8" w:rsidRDefault="00D579D8"/>
  </w:endnote>
  <w:endnote w:type="continuationSeparator" w:id="0">
    <w:p w:rsidR="00D579D8" w:rsidRDefault="00D579D8">
      <w:pPr>
        <w:pStyle w:val="Footer"/>
      </w:pPr>
    </w:p>
    <w:p w:rsidR="00D579D8" w:rsidRDefault="00D57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p>
  <w:p w:rsidR="00D579D8" w:rsidRDefault="00D579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D579D8" w:rsidRDefault="00D579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D579D8" w:rsidRDefault="00D579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1F6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p>
  <w:p w:rsidR="00D579D8" w:rsidRDefault="00D579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2F23">
      <w:rPr>
        <w:rStyle w:val="PageNumber"/>
        <w:rFonts w:ascii="Arial" w:hAnsi="Arial" w:cs="Arial"/>
        <w:noProof/>
      </w:rPr>
      <w:t>ii</w:t>
    </w:r>
    <w:r>
      <w:rPr>
        <w:rStyle w:val="PageNumber"/>
        <w:rFonts w:ascii="Arial" w:hAnsi="Arial" w:cs="Arial"/>
      </w:rPr>
      <w:fldChar w:fldCharType="end"/>
    </w:r>
  </w:p>
  <w:p w:rsidR="00D579D8" w:rsidRDefault="00D579D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1F6D">
      <w:rPr>
        <w:rStyle w:val="PageNumber"/>
        <w:rFonts w:ascii="Arial" w:hAnsi="Arial" w:cs="Arial"/>
        <w:noProof/>
      </w:rPr>
      <w:t>i</w:t>
    </w:r>
    <w:r>
      <w:rPr>
        <w:rStyle w:val="PageNumber"/>
        <w:rFonts w:ascii="Arial" w:hAnsi="Arial" w:cs="Arial"/>
      </w:rPr>
      <w:fldChar w:fldCharType="end"/>
    </w:r>
  </w:p>
  <w:p w:rsidR="00D579D8" w:rsidRDefault="00D579D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F6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 xml:space="preserve"> </w:t>
    </w:r>
  </w:p>
  <w:p w:rsidR="00D579D8" w:rsidRDefault="00D579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F6D">
      <w:rPr>
        <w:rStyle w:val="CharPageNo"/>
        <w:rFonts w:ascii="Arial" w:hAnsi="Arial"/>
        <w:noProof/>
      </w:rPr>
      <w:t>13</w:t>
    </w:r>
    <w:r>
      <w:rPr>
        <w:rStyle w:val="CharPageNo"/>
        <w:rFonts w:ascii="Arial" w:hAnsi="Arial"/>
      </w:rPr>
      <w:fldChar w:fldCharType="end"/>
    </w:r>
  </w:p>
  <w:p w:rsidR="00D579D8" w:rsidRDefault="00D579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Footer"/>
      <w:tabs>
        <w:tab w:val="clear" w:pos="4153"/>
        <w:tab w:val="right" w:pos="7088"/>
      </w:tabs>
      <w:rPr>
        <w:rStyle w:val="PageNumber"/>
      </w:rPr>
    </w:pPr>
  </w:p>
  <w:p w:rsidR="00D579D8" w:rsidRDefault="00D579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F6D">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F6D">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F6D">
      <w:rPr>
        <w:rStyle w:val="CharPageNo"/>
        <w:rFonts w:ascii="Arial" w:hAnsi="Arial"/>
        <w:noProof/>
      </w:rPr>
      <w:t>1</w:t>
    </w:r>
    <w:r>
      <w:rPr>
        <w:rStyle w:val="CharPageNo"/>
        <w:rFonts w:ascii="Arial" w:hAnsi="Arial"/>
      </w:rPr>
      <w:fldChar w:fldCharType="end"/>
    </w:r>
  </w:p>
  <w:p w:rsidR="00D579D8" w:rsidRDefault="00D579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9D8" w:rsidRDefault="00D579D8">
      <w:r>
        <w:separator/>
      </w:r>
    </w:p>
  </w:footnote>
  <w:footnote w:type="continuationSeparator" w:id="0">
    <w:p w:rsidR="00D579D8" w:rsidRDefault="00D579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headerpartodd"/>
      <w:ind w:left="0" w:firstLine="0"/>
      <w:rPr>
        <w:i/>
      </w:rPr>
    </w:pPr>
    <w:r>
      <w:rPr>
        <w:i/>
      </w:rPr>
      <w:fldChar w:fldCharType="begin"/>
    </w:r>
    <w:r>
      <w:rPr>
        <w:i/>
      </w:rPr>
      <w:instrText xml:space="preserve"> Styleref "Name of Act/Reg" </w:instrText>
    </w:r>
    <w:r>
      <w:rPr>
        <w:i/>
      </w:rPr>
      <w:fldChar w:fldCharType="separate"/>
    </w:r>
    <w:r w:rsidR="00E21F6D">
      <w:rPr>
        <w:i/>
        <w:noProof/>
      </w:rPr>
      <w:t>Road Traffic (Miscellaneous) Regulations 2008</w:t>
    </w:r>
    <w:r>
      <w:rPr>
        <w:i/>
      </w:rPr>
      <w:fldChar w:fldCharType="end"/>
    </w:r>
  </w:p>
  <w:p w:rsidR="00D579D8" w:rsidRDefault="00D579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79D8" w:rsidRDefault="00D579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79D8" w:rsidRDefault="00D579D8">
    <w:pPr>
      <w:pStyle w:val="headerpart"/>
    </w:pPr>
  </w:p>
  <w:p w:rsidR="00D579D8" w:rsidRDefault="00D579D8">
    <w:pPr>
      <w:pBdr>
        <w:bottom w:val="single" w:sz="6" w:space="1" w:color="auto"/>
      </w:pBdr>
      <w:rPr>
        <w:b/>
      </w:rPr>
    </w:pPr>
  </w:p>
  <w:p w:rsidR="00D579D8" w:rsidRDefault="00D579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F23" w:rsidRDefault="00EC2F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F23" w:rsidRDefault="00EC2F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79D8">
      <w:trPr>
        <w:cantSplit/>
      </w:trPr>
      <w:tc>
        <w:tcPr>
          <w:tcW w:w="7258" w:type="dxa"/>
          <w:gridSpan w:val="2"/>
        </w:tcPr>
        <w:p w:rsidR="00D579D8" w:rsidRDefault="00D579D8">
          <w:pPr>
            <w:pStyle w:val="HeaderActNameLeft"/>
          </w:pPr>
          <w:fldSimple w:instr=" Styleref &quot;Name of Act/Reg&quot; ">
            <w:r w:rsidR="00E21F6D">
              <w:rPr>
                <w:noProof/>
              </w:rPr>
              <w:t>Road Traffic (Miscellaneous) Regulations 2008</w:t>
            </w:r>
          </w:fldSimple>
        </w:p>
      </w:tc>
    </w:tr>
    <w:tr w:rsidR="00D579D8">
      <w:tc>
        <w:tcPr>
          <w:tcW w:w="1548" w:type="dxa"/>
        </w:tcPr>
        <w:p w:rsidR="00D579D8" w:rsidRDefault="00D579D8">
          <w:pPr>
            <w:pStyle w:val="HeaderNumberLeft"/>
          </w:pPr>
        </w:p>
      </w:tc>
      <w:tc>
        <w:tcPr>
          <w:tcW w:w="5715" w:type="dxa"/>
        </w:tcPr>
        <w:p w:rsidR="00D579D8" w:rsidRDefault="00D579D8">
          <w:pPr>
            <w:pStyle w:val="HeaderTextLeft"/>
          </w:pPr>
        </w:p>
      </w:tc>
    </w:tr>
    <w:tr w:rsidR="00D579D8">
      <w:tc>
        <w:tcPr>
          <w:tcW w:w="1548" w:type="dxa"/>
        </w:tcPr>
        <w:p w:rsidR="00D579D8" w:rsidRDefault="00D579D8">
          <w:pPr>
            <w:pStyle w:val="HeaderNumberLeft"/>
          </w:pPr>
        </w:p>
      </w:tc>
      <w:tc>
        <w:tcPr>
          <w:tcW w:w="5715" w:type="dxa"/>
        </w:tcPr>
        <w:p w:rsidR="00D579D8" w:rsidRDefault="00D579D8">
          <w:pPr>
            <w:pStyle w:val="HeaderTextLeft"/>
          </w:pPr>
        </w:p>
      </w:tc>
    </w:tr>
    <w:tr w:rsidR="00D579D8">
      <w:trPr>
        <w:cantSplit/>
      </w:trPr>
      <w:tc>
        <w:tcPr>
          <w:tcW w:w="7258" w:type="dxa"/>
          <w:gridSpan w:val="2"/>
        </w:tcPr>
        <w:p w:rsidR="00D579D8" w:rsidRDefault="00D579D8">
          <w:pPr>
            <w:pStyle w:val="HeaderSectionLeft"/>
            <w:rPr>
              <w:b w:val="0"/>
            </w:rPr>
          </w:pPr>
          <w:r>
            <w:rPr>
              <w:b w:val="0"/>
            </w:rPr>
            <w:t>Contents</w:t>
          </w:r>
        </w:p>
      </w:tc>
    </w:tr>
  </w:tbl>
  <w:p w:rsidR="00D579D8" w:rsidRDefault="00D579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79D8">
      <w:trPr>
        <w:cantSplit/>
      </w:trPr>
      <w:tc>
        <w:tcPr>
          <w:tcW w:w="7258" w:type="dxa"/>
          <w:gridSpan w:val="2"/>
        </w:tcPr>
        <w:p w:rsidR="00D579D8" w:rsidRDefault="00D579D8">
          <w:pPr>
            <w:pStyle w:val="HeaderActNameRight"/>
            <w:ind w:right="17"/>
          </w:pPr>
          <w:fldSimple w:instr=" Styleref &quot;Name of Act/Reg&quot; ">
            <w:r w:rsidR="00E21F6D">
              <w:rPr>
                <w:noProof/>
              </w:rPr>
              <w:t>Road Traffic (Miscellaneous) Regulations 2008</w:t>
            </w:r>
          </w:fldSimple>
        </w:p>
      </w:tc>
    </w:tr>
    <w:tr w:rsidR="00D579D8">
      <w:tc>
        <w:tcPr>
          <w:tcW w:w="5715" w:type="dxa"/>
        </w:tcPr>
        <w:p w:rsidR="00D579D8" w:rsidRDefault="00D579D8">
          <w:pPr>
            <w:pStyle w:val="HeaderTextRight"/>
          </w:pPr>
        </w:p>
      </w:tc>
      <w:tc>
        <w:tcPr>
          <w:tcW w:w="1548" w:type="dxa"/>
        </w:tcPr>
        <w:p w:rsidR="00D579D8" w:rsidRDefault="00D579D8">
          <w:pPr>
            <w:pStyle w:val="HeaderNumberRight"/>
            <w:ind w:right="17"/>
          </w:pPr>
        </w:p>
      </w:tc>
    </w:tr>
    <w:tr w:rsidR="00D579D8">
      <w:tc>
        <w:tcPr>
          <w:tcW w:w="5715" w:type="dxa"/>
        </w:tcPr>
        <w:p w:rsidR="00D579D8" w:rsidRDefault="00D579D8">
          <w:pPr>
            <w:pStyle w:val="HeaderTextRight"/>
          </w:pPr>
        </w:p>
      </w:tc>
      <w:tc>
        <w:tcPr>
          <w:tcW w:w="1548" w:type="dxa"/>
        </w:tcPr>
        <w:p w:rsidR="00D579D8" w:rsidRDefault="00D579D8">
          <w:pPr>
            <w:pStyle w:val="HeaderNumberRight"/>
            <w:ind w:right="17"/>
          </w:pPr>
        </w:p>
      </w:tc>
    </w:tr>
    <w:tr w:rsidR="00D579D8">
      <w:trPr>
        <w:cantSplit/>
      </w:trPr>
      <w:tc>
        <w:tcPr>
          <w:tcW w:w="7258" w:type="dxa"/>
          <w:gridSpan w:val="2"/>
        </w:tcPr>
        <w:p w:rsidR="00D579D8" w:rsidRDefault="00D579D8">
          <w:pPr>
            <w:pStyle w:val="HeaderSectionRight"/>
            <w:ind w:right="17"/>
            <w:rPr>
              <w:b w:val="0"/>
            </w:rPr>
          </w:pPr>
          <w:r>
            <w:rPr>
              <w:b w:val="0"/>
            </w:rPr>
            <w:t>Contents</w:t>
          </w:r>
        </w:p>
      </w:tc>
    </w:tr>
  </w:tbl>
  <w:p w:rsidR="00D579D8" w:rsidRDefault="00D579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79D8">
      <w:trPr>
        <w:cantSplit/>
      </w:trPr>
      <w:tc>
        <w:tcPr>
          <w:tcW w:w="7258" w:type="dxa"/>
          <w:gridSpan w:val="2"/>
        </w:tcPr>
        <w:p w:rsidR="00D579D8" w:rsidRDefault="00D579D8">
          <w:pPr>
            <w:pStyle w:val="HeaderActNameLeft"/>
          </w:pPr>
          <w:fldSimple w:instr=" Styleref &quot;Name of Act/Reg&quot; ">
            <w:r w:rsidR="00E21F6D">
              <w:rPr>
                <w:noProof/>
              </w:rPr>
              <w:t>Road Traffic (Miscellaneous) Regulations 2008</w:t>
            </w:r>
          </w:fldSimple>
        </w:p>
      </w:tc>
    </w:tr>
    <w:tr w:rsidR="00D579D8">
      <w:tc>
        <w:tcPr>
          <w:tcW w:w="1548" w:type="dxa"/>
        </w:tcPr>
        <w:p w:rsidR="00D579D8" w:rsidRDefault="00D579D8">
          <w:pPr>
            <w:pStyle w:val="HeaderNumberLeft"/>
          </w:pPr>
          <w:r>
            <w:fldChar w:fldCharType="begin"/>
          </w:r>
          <w:r>
            <w:instrText xml:space="preserve"> styleref CharPartNo </w:instrText>
          </w:r>
          <w:r>
            <w:fldChar w:fldCharType="end"/>
          </w:r>
        </w:p>
      </w:tc>
      <w:tc>
        <w:tcPr>
          <w:tcW w:w="5715" w:type="dxa"/>
          <w:vAlign w:val="bottom"/>
        </w:tcPr>
        <w:p w:rsidR="00D579D8" w:rsidRDefault="00D579D8">
          <w:pPr>
            <w:pStyle w:val="HeaderTextLeft"/>
          </w:pPr>
          <w:r>
            <w:fldChar w:fldCharType="begin"/>
          </w:r>
          <w:r>
            <w:instrText xml:space="preserve"> styleref CharPartText </w:instrText>
          </w:r>
          <w:r>
            <w:fldChar w:fldCharType="end"/>
          </w:r>
        </w:p>
      </w:tc>
    </w:tr>
    <w:tr w:rsidR="00D579D8">
      <w:tc>
        <w:tcPr>
          <w:tcW w:w="1548" w:type="dxa"/>
        </w:tcPr>
        <w:p w:rsidR="00D579D8" w:rsidRDefault="00D579D8">
          <w:pPr>
            <w:pStyle w:val="HeaderNumberLeft"/>
          </w:pPr>
          <w:r>
            <w:fldChar w:fldCharType="begin"/>
          </w:r>
          <w:r>
            <w:instrText xml:space="preserve"> styleref CharDivNo </w:instrText>
          </w:r>
          <w:r>
            <w:fldChar w:fldCharType="end"/>
          </w:r>
        </w:p>
      </w:tc>
      <w:tc>
        <w:tcPr>
          <w:tcW w:w="5715" w:type="dxa"/>
        </w:tcPr>
        <w:p w:rsidR="00D579D8" w:rsidRDefault="00D579D8">
          <w:pPr>
            <w:pStyle w:val="HeaderTextLeft"/>
          </w:pPr>
          <w:r>
            <w:fldChar w:fldCharType="begin"/>
          </w:r>
          <w:r>
            <w:instrText xml:space="preserve"> styleref CharDivText </w:instrText>
          </w:r>
          <w:r>
            <w:fldChar w:fldCharType="end"/>
          </w:r>
        </w:p>
      </w:tc>
    </w:tr>
    <w:tr w:rsidR="00D579D8">
      <w:trPr>
        <w:cantSplit/>
      </w:trPr>
      <w:tc>
        <w:tcPr>
          <w:tcW w:w="7258" w:type="dxa"/>
          <w:gridSpan w:val="2"/>
        </w:tcPr>
        <w:p w:rsidR="00D579D8" w:rsidRDefault="00D579D8">
          <w:pPr>
            <w:pStyle w:val="HeaderSectionLeft"/>
          </w:pPr>
          <w:r>
            <w:t xml:space="preserve">r. </w:t>
          </w:r>
          <w:fldSimple w:instr=" styleref CharSectno ">
            <w:r w:rsidR="00E21F6D">
              <w:rPr>
                <w:noProof/>
              </w:rPr>
              <w:t>1</w:t>
            </w:r>
          </w:fldSimple>
        </w:p>
      </w:tc>
    </w:tr>
  </w:tbl>
  <w:p w:rsidR="00D579D8" w:rsidRDefault="00D579D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79D8">
      <w:trPr>
        <w:cantSplit/>
      </w:trPr>
      <w:tc>
        <w:tcPr>
          <w:tcW w:w="7258" w:type="dxa"/>
          <w:gridSpan w:val="2"/>
        </w:tcPr>
        <w:p w:rsidR="00D579D8" w:rsidRDefault="00D579D8">
          <w:pPr>
            <w:pStyle w:val="HeaderActNameRight"/>
            <w:ind w:right="17"/>
          </w:pPr>
          <w:fldSimple w:instr=" Styleref &quot;Name of Act/Reg&quot; ">
            <w:r w:rsidR="00E21F6D">
              <w:rPr>
                <w:noProof/>
              </w:rPr>
              <w:t>Road Traffic (Miscellaneous) Regulations 2008</w:t>
            </w:r>
          </w:fldSimple>
        </w:p>
      </w:tc>
    </w:tr>
    <w:tr w:rsidR="00D579D8">
      <w:tc>
        <w:tcPr>
          <w:tcW w:w="5715" w:type="dxa"/>
        </w:tcPr>
        <w:p w:rsidR="00D579D8" w:rsidRDefault="00D579D8">
          <w:pPr>
            <w:pStyle w:val="HeaderTextRight"/>
          </w:pPr>
          <w:r>
            <w:fldChar w:fldCharType="begin"/>
          </w:r>
          <w:r>
            <w:instrText xml:space="preserve"> styleref CharPartText </w:instrText>
          </w:r>
          <w:r>
            <w:fldChar w:fldCharType="end"/>
          </w:r>
        </w:p>
      </w:tc>
      <w:tc>
        <w:tcPr>
          <w:tcW w:w="1548" w:type="dxa"/>
        </w:tcPr>
        <w:p w:rsidR="00D579D8" w:rsidRDefault="00D579D8">
          <w:pPr>
            <w:pStyle w:val="HeaderNumberRight"/>
            <w:ind w:right="17"/>
          </w:pPr>
          <w:r>
            <w:fldChar w:fldCharType="begin"/>
          </w:r>
          <w:r>
            <w:instrText xml:space="preserve"> styleref CharPartNo </w:instrText>
          </w:r>
          <w:r>
            <w:fldChar w:fldCharType="end"/>
          </w:r>
        </w:p>
      </w:tc>
    </w:tr>
    <w:tr w:rsidR="00D579D8">
      <w:tc>
        <w:tcPr>
          <w:tcW w:w="5715" w:type="dxa"/>
        </w:tcPr>
        <w:p w:rsidR="00D579D8" w:rsidRDefault="00D579D8">
          <w:pPr>
            <w:pStyle w:val="HeaderTextRight"/>
          </w:pPr>
          <w:r>
            <w:fldChar w:fldCharType="begin"/>
          </w:r>
          <w:r>
            <w:instrText xml:space="preserve"> styleref CharDivText </w:instrText>
          </w:r>
          <w:r>
            <w:fldChar w:fldCharType="end"/>
          </w:r>
        </w:p>
      </w:tc>
      <w:tc>
        <w:tcPr>
          <w:tcW w:w="1548" w:type="dxa"/>
        </w:tcPr>
        <w:p w:rsidR="00D579D8" w:rsidRDefault="00D579D8">
          <w:pPr>
            <w:pStyle w:val="HeaderNumberRight"/>
            <w:ind w:right="17"/>
          </w:pPr>
          <w:r>
            <w:fldChar w:fldCharType="begin"/>
          </w:r>
          <w:r>
            <w:instrText xml:space="preserve"> styleref CharDivNo </w:instrText>
          </w:r>
          <w:r>
            <w:fldChar w:fldCharType="end"/>
          </w:r>
        </w:p>
      </w:tc>
    </w:tr>
    <w:tr w:rsidR="00D579D8">
      <w:trPr>
        <w:cantSplit/>
      </w:trPr>
      <w:tc>
        <w:tcPr>
          <w:tcW w:w="7258" w:type="dxa"/>
          <w:gridSpan w:val="2"/>
        </w:tcPr>
        <w:p w:rsidR="00D579D8" w:rsidRDefault="00D579D8">
          <w:pPr>
            <w:pStyle w:val="HeaderSectionRight"/>
            <w:ind w:right="17"/>
          </w:pPr>
          <w:r>
            <w:t xml:space="preserve">r. </w:t>
          </w:r>
          <w:fldSimple w:instr=" styleref CharSectno ">
            <w:r w:rsidR="00E21F6D">
              <w:rPr>
                <w:noProof/>
              </w:rPr>
              <w:t>1</w:t>
            </w:r>
          </w:fldSimple>
        </w:p>
      </w:tc>
    </w:tr>
  </w:tbl>
  <w:p w:rsidR="00D579D8" w:rsidRDefault="00D579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79D8">
      <w:trPr>
        <w:cantSplit/>
      </w:trPr>
      <w:tc>
        <w:tcPr>
          <w:tcW w:w="7258" w:type="dxa"/>
          <w:gridSpan w:val="2"/>
        </w:tcPr>
        <w:p w:rsidR="00D579D8" w:rsidRDefault="00E21F6D">
          <w:pPr>
            <w:pStyle w:val="HeaderActNameLeft"/>
          </w:pPr>
          <w:r>
            <w:fldChar w:fldCharType="begin"/>
          </w:r>
          <w:r>
            <w:instrText xml:space="preserve"> STYLEREF "Name of Act/Reg" \* MERGEFORMAT </w:instrText>
          </w:r>
          <w:r>
            <w:fldChar w:fldCharType="separate"/>
          </w:r>
          <w:r>
            <w:rPr>
              <w:noProof/>
            </w:rPr>
            <w:t>Road Traffic (Miscellaneous) Regulations 2008</w:t>
          </w:r>
          <w:r>
            <w:rPr>
              <w:noProof/>
            </w:rPr>
            <w:fldChar w:fldCharType="end"/>
          </w:r>
        </w:p>
      </w:tc>
    </w:tr>
    <w:tr w:rsidR="00D579D8">
      <w:tc>
        <w:tcPr>
          <w:tcW w:w="1548" w:type="dxa"/>
        </w:tcPr>
        <w:p w:rsidR="00D579D8" w:rsidRDefault="00D579D8">
          <w:pPr>
            <w:pStyle w:val="HeaderNumberLeft"/>
            <w:rPr>
              <w:b w:val="0"/>
            </w:rPr>
          </w:pPr>
          <w:r>
            <w:fldChar w:fldCharType="begin"/>
          </w:r>
          <w:r>
            <w:instrText xml:space="preserve"> styleref CharSchno </w:instrText>
          </w:r>
          <w:r>
            <w:fldChar w:fldCharType="end"/>
          </w:r>
        </w:p>
      </w:tc>
      <w:tc>
        <w:tcPr>
          <w:tcW w:w="5715" w:type="dxa"/>
        </w:tcPr>
        <w:p w:rsidR="00D579D8" w:rsidRDefault="00D579D8">
          <w:pPr>
            <w:pStyle w:val="HeaderTextLeft"/>
          </w:pPr>
          <w:r>
            <w:fldChar w:fldCharType="begin"/>
          </w:r>
          <w:r>
            <w:instrText xml:space="preserve"> styleref CharSchText </w:instrText>
          </w:r>
          <w:r>
            <w:fldChar w:fldCharType="end"/>
          </w:r>
        </w:p>
      </w:tc>
    </w:tr>
    <w:tr w:rsidR="00D579D8">
      <w:tc>
        <w:tcPr>
          <w:tcW w:w="1548" w:type="dxa"/>
        </w:tcPr>
        <w:p w:rsidR="00D579D8" w:rsidRDefault="00D579D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579D8" w:rsidRDefault="00D579D8">
          <w:pPr>
            <w:pStyle w:val="HeaderTextLeft"/>
          </w:pPr>
          <w:r>
            <w:fldChar w:fldCharType="begin"/>
          </w:r>
          <w:r>
            <w:instrText xml:space="preserve"> styleref CharSDivText </w:instrText>
          </w:r>
          <w:r>
            <w:fldChar w:fldCharType="end"/>
          </w:r>
        </w:p>
      </w:tc>
    </w:tr>
    <w:tr w:rsidR="00D579D8">
      <w:tc>
        <w:tcPr>
          <w:tcW w:w="1548" w:type="dxa"/>
        </w:tcPr>
        <w:p w:rsidR="00D579D8" w:rsidRDefault="00D579D8">
          <w:pPr>
            <w:pStyle w:val="HeaderNumberLeft"/>
          </w:pPr>
        </w:p>
      </w:tc>
      <w:tc>
        <w:tcPr>
          <w:tcW w:w="5715" w:type="dxa"/>
        </w:tcPr>
        <w:p w:rsidR="00D579D8" w:rsidRDefault="00D579D8">
          <w:pPr>
            <w:pStyle w:val="HeaderTextLeft"/>
          </w:pPr>
        </w:p>
      </w:tc>
    </w:tr>
  </w:tbl>
  <w:p w:rsidR="00D579D8" w:rsidRDefault="00D579D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579D8">
      <w:trPr>
        <w:cantSplit/>
      </w:trPr>
      <w:tc>
        <w:tcPr>
          <w:tcW w:w="7263" w:type="dxa"/>
          <w:gridSpan w:val="2"/>
        </w:tcPr>
        <w:p w:rsidR="00D579D8" w:rsidRDefault="00D579D8">
          <w:pPr>
            <w:pStyle w:val="HeaderActNameRight"/>
            <w:ind w:right="17"/>
          </w:pPr>
          <w:fldSimple w:instr=" Styleref &quot;Name of Act/Reg&quot; ">
            <w:r w:rsidR="00E21F6D">
              <w:rPr>
                <w:noProof/>
              </w:rPr>
              <w:t>Road Traffic (Miscellaneous) Regulations 2008</w:t>
            </w:r>
          </w:fldSimple>
        </w:p>
      </w:tc>
    </w:tr>
    <w:tr w:rsidR="00D579D8">
      <w:tc>
        <w:tcPr>
          <w:tcW w:w="5715" w:type="dxa"/>
          <w:vAlign w:val="bottom"/>
        </w:tcPr>
        <w:p w:rsidR="00D579D8" w:rsidRDefault="00D579D8">
          <w:pPr>
            <w:pStyle w:val="HeaderTextRight"/>
          </w:pPr>
          <w:r>
            <w:fldChar w:fldCharType="begin"/>
          </w:r>
          <w:r>
            <w:instrText xml:space="preserve"> styleref CharSchText </w:instrText>
          </w:r>
          <w:r>
            <w:fldChar w:fldCharType="end"/>
          </w:r>
        </w:p>
      </w:tc>
      <w:tc>
        <w:tcPr>
          <w:tcW w:w="1548" w:type="dxa"/>
        </w:tcPr>
        <w:p w:rsidR="00D579D8" w:rsidRDefault="00D579D8">
          <w:pPr>
            <w:pStyle w:val="HeaderNumberRight"/>
            <w:ind w:right="17"/>
          </w:pPr>
          <w:r>
            <w:fldChar w:fldCharType="begin"/>
          </w:r>
          <w:r>
            <w:instrText xml:space="preserve"> styleref CharSchno </w:instrText>
          </w:r>
          <w:r>
            <w:fldChar w:fldCharType="end"/>
          </w:r>
        </w:p>
      </w:tc>
    </w:tr>
    <w:tr w:rsidR="00D579D8">
      <w:tc>
        <w:tcPr>
          <w:tcW w:w="5715" w:type="dxa"/>
        </w:tcPr>
        <w:p w:rsidR="00D579D8" w:rsidRDefault="00D579D8">
          <w:pPr>
            <w:pStyle w:val="HeaderTextRight"/>
          </w:pPr>
          <w:r>
            <w:fldChar w:fldCharType="begin"/>
          </w:r>
          <w:r>
            <w:instrText xml:space="preserve"> styleref CharSDivText </w:instrText>
          </w:r>
          <w:r>
            <w:fldChar w:fldCharType="end"/>
          </w:r>
        </w:p>
      </w:tc>
      <w:tc>
        <w:tcPr>
          <w:tcW w:w="1548" w:type="dxa"/>
        </w:tcPr>
        <w:p w:rsidR="00D579D8" w:rsidRDefault="00D579D8">
          <w:pPr>
            <w:pStyle w:val="HeaderNumberRight"/>
            <w:ind w:right="17"/>
          </w:pPr>
          <w:r>
            <w:rPr>
              <w:bCs/>
            </w:rPr>
            <w:fldChar w:fldCharType="begin"/>
          </w:r>
          <w:r>
            <w:rPr>
              <w:bCs/>
            </w:rPr>
            <w:instrText xml:space="preserve"> STYLEREF CharSDivNo \* charformat</w:instrText>
          </w:r>
          <w:r>
            <w:rPr>
              <w:bCs/>
            </w:rPr>
            <w:fldChar w:fldCharType="end"/>
          </w:r>
        </w:p>
      </w:tc>
    </w:tr>
    <w:tr w:rsidR="00D579D8">
      <w:tc>
        <w:tcPr>
          <w:tcW w:w="5715" w:type="dxa"/>
        </w:tcPr>
        <w:p w:rsidR="00D579D8" w:rsidRDefault="00D579D8">
          <w:pPr>
            <w:pStyle w:val="HeaderTextRight"/>
          </w:pPr>
        </w:p>
      </w:tc>
      <w:tc>
        <w:tcPr>
          <w:tcW w:w="1548" w:type="dxa"/>
        </w:tcPr>
        <w:p w:rsidR="00D579D8" w:rsidRDefault="00D579D8">
          <w:pPr>
            <w:pStyle w:val="HeaderNumberRight"/>
            <w:ind w:right="17"/>
            <w:rPr>
              <w:bCs/>
            </w:rPr>
          </w:pPr>
        </w:p>
      </w:tc>
    </w:tr>
  </w:tbl>
  <w:p w:rsidR="00D579D8" w:rsidRDefault="00D579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79D8">
      <w:trPr>
        <w:cantSplit/>
      </w:trPr>
      <w:tc>
        <w:tcPr>
          <w:tcW w:w="7258" w:type="dxa"/>
          <w:gridSpan w:val="2"/>
        </w:tcPr>
        <w:p w:rsidR="00D579D8" w:rsidRDefault="00D579D8">
          <w:pPr>
            <w:pStyle w:val="HeaderActNameLeft"/>
          </w:pPr>
          <w:fldSimple w:instr=" Styleref &quot;Name of Act/Reg&quot; ">
            <w:r w:rsidR="00E21F6D">
              <w:rPr>
                <w:noProof/>
              </w:rPr>
              <w:t>Road Traffic (Miscellaneous) Regulations 2008</w:t>
            </w:r>
          </w:fldSimple>
        </w:p>
      </w:tc>
    </w:tr>
    <w:tr w:rsidR="00D579D8">
      <w:tc>
        <w:tcPr>
          <w:tcW w:w="1548" w:type="dxa"/>
        </w:tcPr>
        <w:p w:rsidR="00D579D8" w:rsidRDefault="00D579D8">
          <w:pPr>
            <w:pStyle w:val="HeaderNumberLeft"/>
          </w:pPr>
        </w:p>
      </w:tc>
      <w:tc>
        <w:tcPr>
          <w:tcW w:w="5715" w:type="dxa"/>
        </w:tcPr>
        <w:p w:rsidR="00D579D8" w:rsidRDefault="00D579D8">
          <w:pPr>
            <w:pStyle w:val="HeaderTextLeft"/>
          </w:pPr>
        </w:p>
      </w:tc>
    </w:tr>
    <w:tr w:rsidR="00D579D8">
      <w:tc>
        <w:tcPr>
          <w:tcW w:w="1548" w:type="dxa"/>
        </w:tcPr>
        <w:p w:rsidR="00D579D8" w:rsidRDefault="00D579D8">
          <w:pPr>
            <w:pStyle w:val="HeaderNumberLeft"/>
          </w:pPr>
        </w:p>
      </w:tc>
      <w:tc>
        <w:tcPr>
          <w:tcW w:w="5715" w:type="dxa"/>
        </w:tcPr>
        <w:p w:rsidR="00D579D8" w:rsidRDefault="00D579D8">
          <w:pPr>
            <w:pStyle w:val="HeaderTextLeft"/>
          </w:pPr>
        </w:p>
      </w:tc>
    </w:tr>
    <w:tr w:rsidR="00D579D8">
      <w:trPr>
        <w:cantSplit/>
      </w:trPr>
      <w:tc>
        <w:tcPr>
          <w:tcW w:w="7258" w:type="dxa"/>
          <w:gridSpan w:val="2"/>
        </w:tcPr>
        <w:p w:rsidR="00D579D8" w:rsidRDefault="00D579D8">
          <w:pPr>
            <w:pStyle w:val="HeaderSectionRight"/>
            <w:ind w:right="17"/>
            <w:jc w:val="left"/>
          </w:pPr>
        </w:p>
      </w:tc>
    </w:tr>
  </w:tbl>
  <w:p w:rsidR="00D579D8" w:rsidRDefault="00D579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79D8">
      <w:trPr>
        <w:cantSplit/>
      </w:trPr>
      <w:tc>
        <w:tcPr>
          <w:tcW w:w="7258" w:type="dxa"/>
          <w:gridSpan w:val="2"/>
        </w:tcPr>
        <w:p w:rsidR="00D579D8" w:rsidRDefault="00D579D8">
          <w:pPr>
            <w:pStyle w:val="HeaderActNameRight"/>
            <w:ind w:right="17"/>
          </w:pPr>
          <w:fldSimple w:instr=" Styleref &quot;Name of Act/Reg&quot; ">
            <w:r w:rsidR="00E21F6D">
              <w:rPr>
                <w:noProof/>
              </w:rPr>
              <w:t>Road Traffic (Miscellaneous) Regulations 2008</w:t>
            </w:r>
          </w:fldSimple>
        </w:p>
      </w:tc>
    </w:tr>
    <w:tr w:rsidR="00D579D8">
      <w:tc>
        <w:tcPr>
          <w:tcW w:w="5715" w:type="dxa"/>
        </w:tcPr>
        <w:p w:rsidR="00D579D8" w:rsidRDefault="00D579D8">
          <w:pPr>
            <w:pStyle w:val="HeaderTextRight"/>
          </w:pPr>
        </w:p>
      </w:tc>
      <w:tc>
        <w:tcPr>
          <w:tcW w:w="1548" w:type="dxa"/>
        </w:tcPr>
        <w:p w:rsidR="00D579D8" w:rsidRDefault="00D579D8">
          <w:pPr>
            <w:pStyle w:val="HeaderNumberRight"/>
            <w:ind w:right="17"/>
          </w:pPr>
        </w:p>
      </w:tc>
    </w:tr>
    <w:tr w:rsidR="00D579D8">
      <w:tc>
        <w:tcPr>
          <w:tcW w:w="5715" w:type="dxa"/>
        </w:tcPr>
        <w:p w:rsidR="00D579D8" w:rsidRDefault="00D579D8">
          <w:pPr>
            <w:pStyle w:val="HeaderTextRight"/>
          </w:pPr>
        </w:p>
      </w:tc>
      <w:tc>
        <w:tcPr>
          <w:tcW w:w="1548" w:type="dxa"/>
        </w:tcPr>
        <w:p w:rsidR="00D579D8" w:rsidRDefault="00D579D8">
          <w:pPr>
            <w:pStyle w:val="HeaderNumberRight"/>
            <w:ind w:right="17"/>
          </w:pPr>
        </w:p>
      </w:tc>
    </w:tr>
    <w:tr w:rsidR="00D579D8">
      <w:trPr>
        <w:cantSplit/>
      </w:trPr>
      <w:tc>
        <w:tcPr>
          <w:tcW w:w="7258" w:type="dxa"/>
          <w:gridSpan w:val="2"/>
        </w:tcPr>
        <w:p w:rsidR="00D579D8" w:rsidRDefault="00D579D8">
          <w:pPr>
            <w:pStyle w:val="HeaderSectionRight"/>
            <w:ind w:right="17"/>
          </w:pPr>
        </w:p>
      </w:tc>
    </w:tr>
  </w:tbl>
  <w:p w:rsidR="00D579D8" w:rsidRDefault="00D579D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D8" w:rsidRDefault="00D5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5D"/>
    <w:rsid w:val="00036A3E"/>
    <w:rsid w:val="00216F0A"/>
    <w:rsid w:val="003341B1"/>
    <w:rsid w:val="0040665D"/>
    <w:rsid w:val="0077723A"/>
    <w:rsid w:val="008A26F1"/>
    <w:rsid w:val="00D579D8"/>
    <w:rsid w:val="00E21F6D"/>
    <w:rsid w:val="00EC2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2497</Words>
  <Characters>12088</Characters>
  <Application>Microsoft Office Word</Application>
  <DocSecurity>0</DocSecurity>
  <Lines>464</Lines>
  <Paragraphs>260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vector>
  </TitlesOfParts>
  <Company>Parliamentary Counsel's Office</Company>
  <LinksUpToDate>false</LinksUpToDate>
  <CharactersWithSpaces>14325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2008 - 00-e0-01</dc:title>
  <dc:subject>Subsidiary Legislation</dc:subject>
  <dc:creator>Matthew Pether</dc:creator>
  <cp:keywords>Brought into Production 7 June 2002</cp:keywords>
  <dc:description/>
  <cp:lastModifiedBy>svcMRProcess</cp:lastModifiedBy>
  <cp:revision>4</cp:revision>
  <cp:lastPrinted>2008-05-13T09:55:00Z</cp:lastPrinted>
  <dcterms:created xsi:type="dcterms:W3CDTF">2013-02-18T01:28:00Z</dcterms:created>
  <dcterms:modified xsi:type="dcterms:W3CDTF">2013-02-18T01:28:00Z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20110319</vt:lpwstr>
  </property>
  <property fmtid="{D5CDD505-2E9C-101B-9397-08002B2CF9AE}" pid="4" name="AsAtDate">
    <vt:lpwstr>19 Mar 2011</vt:lpwstr>
  </property>
  <property fmtid="{D5CDD505-2E9C-101B-9397-08002B2CF9AE}" pid="5" name="Suffix">
    <vt:lpwstr>00-e0-01</vt:lpwstr>
  </property>
  <property fmtid="{D5CDD505-2E9C-101B-9397-08002B2CF9AE}" pid="6" name="OwlsUID">
    <vt:i4>40377</vt:i4>
  </property>
  <property fmtid="{D5CDD505-2E9C-101B-9397-08002B2CF9AE}" pid="7" name="DocumentType">
    <vt:lpwstr>Reg</vt:lpwstr>
  </property>
</Properties>
</file>