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Health Legislation Administration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March 2011</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pPr>
      <w:r>
        <w:fldChar w:fldCharType="begin"/>
      </w:r>
      <w:r>
        <w:instrText xml:space="preserve"> STYLEREF "Name Of Act/Reg"</w:instrText>
      </w:r>
      <w:r>
        <w:fldChar w:fldCharType="separate"/>
      </w:r>
      <w:r>
        <w:rPr>
          <w:noProof/>
        </w:rPr>
        <w:t>Health Legislation Administration Act 1984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_Toc378751106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_Toc378751107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_Toc378751108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_Toc378751109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w:t>
      </w:r>
      <w:r>
        <w:tab/>
      </w:r>
      <w:r>
        <w:fldChar w:fldCharType="begin"/>
      </w:r>
      <w:r>
        <w:instrText xml:space="preserve"> PAGEREF _Toc378751110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Officers and employees, appointment of etc.</w:t>
      </w:r>
      <w:r>
        <w:tab/>
      </w:r>
      <w:r>
        <w:fldChar w:fldCharType="begin"/>
      </w:r>
      <w:r>
        <w:instrText xml:space="preserve"> PAGEREF _Toc378751111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Certain officers, designating persons as</w:t>
      </w:r>
      <w:r>
        <w:tab/>
      </w:r>
      <w:r>
        <w:fldChar w:fldCharType="begin"/>
      </w:r>
      <w:r>
        <w:instrText xml:space="preserve"> PAGEREF _Toc378751112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Appointment or designation under s. 6 or 7, effect of</w:t>
      </w:r>
      <w:r>
        <w:tab/>
      </w:r>
      <w:r>
        <w:fldChar w:fldCharType="begin"/>
      </w:r>
      <w:r>
        <w:instrText xml:space="preserve"> PAGEREF _Toc378751113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Delegation by Minister, CEO etc.</w:t>
      </w:r>
      <w:r>
        <w:tab/>
      </w:r>
      <w:r>
        <w:fldChar w:fldCharType="begin"/>
      </w:r>
      <w:r>
        <w:instrText xml:space="preserve"> PAGEREF _Toc378751114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_Toc378751115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Advisory groups, committees, councils and panels, establishment of</w:t>
      </w:r>
      <w:r>
        <w:tab/>
      </w:r>
      <w:r>
        <w:fldChar w:fldCharType="begin"/>
      </w:r>
      <w:r>
        <w:instrText xml:space="preserve"> PAGEREF _Toc378751116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_Toc378751117 \h </w:instrText>
      </w:r>
      <w:r>
        <w:fldChar w:fldCharType="separate"/>
      </w:r>
      <w:r>
        <w:t>6</w:t>
      </w:r>
      <w:r>
        <w:fldChar w:fldCharType="end"/>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_Toc378751119 \h </w:instrText>
      </w:r>
      <w:r>
        <w:fldChar w:fldCharType="separate"/>
      </w:r>
      <w:r>
        <w:t>7</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w:t>
            </w:r>
            <w:r>
              <w:rPr>
                <w:b/>
                <w:snapToGrid w:val="0"/>
                <w:sz w:val="22"/>
              </w:rPr>
              <w:t xml:space="preserve"> March 2011</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pPr>
      <w:r>
        <w:t xml:space="preserve">Health Legislation Administration Act 1984 </w:t>
      </w:r>
    </w:p>
    <w:p>
      <w:pPr>
        <w:pStyle w:val="LongTitle"/>
        <w:spacing w:after="240"/>
        <w:rPr>
          <w:snapToGrid w:val="0"/>
        </w:rPr>
      </w:pPr>
      <w:r>
        <w:rPr>
          <w:snapToGrid w:val="0"/>
        </w:rPr>
        <w:t xml:space="preserve">An Act relating to the administration of certain Acts and to facilitate the provision of health services to the people of the State. </w:t>
      </w:r>
    </w:p>
    <w:p>
      <w:pPr>
        <w:pStyle w:val="Heading5"/>
        <w:rPr>
          <w:snapToGrid w:val="0"/>
        </w:rPr>
      </w:pPr>
      <w:bookmarkStart w:id="1" w:name="_Toc378751106"/>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Legislation Administration Act 1984</w:t>
      </w:r>
      <w:r>
        <w:rPr>
          <w:snapToGrid w:val="0"/>
          <w:vertAlign w:val="superscript"/>
        </w:rPr>
        <w:t> 1</w:t>
      </w:r>
      <w:r>
        <w:rPr>
          <w:snapToGrid w:val="0"/>
        </w:rPr>
        <w:t>.</w:t>
      </w:r>
    </w:p>
    <w:p>
      <w:pPr>
        <w:pStyle w:val="Heading5"/>
        <w:rPr>
          <w:snapToGrid w:val="0"/>
        </w:rPr>
      </w:pPr>
      <w:bookmarkStart w:id="2" w:name="_Toc378751107"/>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 w:name="_Toc378751108"/>
      <w:r>
        <w:rPr>
          <w:rStyle w:val="CharSectno"/>
        </w:rPr>
        <w:t>3</w:t>
      </w:r>
      <w:r>
        <w:rPr>
          <w:snapToGrid w:val="0"/>
        </w:rPr>
        <w:t>.</w:t>
      </w:r>
      <w:r>
        <w:rPr>
          <w:snapToGrid w:val="0"/>
        </w:rPr>
        <w:tab/>
        <w:t>Terms used</w:t>
      </w:r>
      <w:bookmarkEnd w:id="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Department</w:t>
      </w:r>
      <w:r>
        <w:t xml:space="preserve"> means the department of the Public Service of the State principally assisting the Minister in the administration of the Acts to which this Act applies;</w:t>
      </w:r>
    </w:p>
    <w:p>
      <w:pPr>
        <w:pStyle w:val="Defstart"/>
      </w:pPr>
      <w:r>
        <w:rPr>
          <w:b/>
        </w:rPr>
        <w:tab/>
      </w:r>
      <w:r>
        <w:rPr>
          <w:rStyle w:val="CharDefText"/>
        </w:rPr>
        <w:t>prescribed officer</w:t>
      </w:r>
      <w:r>
        <w:t xml:space="preserve"> means an officer referred to in section 6(1)(b), (c) or (d) and any officer or officer of a class of officers prescribed by the regulations;</w:t>
      </w:r>
    </w:p>
    <w:p>
      <w:pPr>
        <w:pStyle w:val="Defstart"/>
      </w:pPr>
      <w:r>
        <w:rPr>
          <w:b/>
        </w:rPr>
        <w:tab/>
      </w:r>
      <w:r>
        <w:rPr>
          <w:rStyle w:val="CharDefText"/>
        </w:rPr>
        <w:t>section</w:t>
      </w:r>
      <w:r>
        <w:t xml:space="preserve"> means a section of this Act;</w:t>
      </w:r>
    </w:p>
    <w:p>
      <w:pPr>
        <w:pStyle w:val="Defstart"/>
      </w:pPr>
      <w:r>
        <w:rPr>
          <w:b/>
        </w:rPr>
        <w:tab/>
      </w:r>
      <w:bookmarkStart w:id="4" w:name="endcomma"/>
      <w:bookmarkEnd w:id="4"/>
      <w:r>
        <w:rPr>
          <w:rStyle w:val="CharDefText"/>
        </w:rPr>
        <w:t>subsection</w:t>
      </w:r>
      <w:r>
        <w:t xml:space="preserve"> </w:t>
      </w:r>
      <w:bookmarkStart w:id="5" w:name="comma"/>
      <w:bookmarkEnd w:id="5"/>
      <w:r>
        <w:t>means a subsection of the section wherein the term is used.</w:t>
      </w:r>
    </w:p>
    <w:p>
      <w:pPr>
        <w:pStyle w:val="Footnotesection"/>
      </w:pPr>
      <w:r>
        <w:tab/>
        <w:t>[Section 3 amended by No. 28 of 2006 s. 253.]</w:t>
      </w:r>
    </w:p>
    <w:p>
      <w:pPr>
        <w:pStyle w:val="Heading5"/>
        <w:rPr>
          <w:snapToGrid w:val="0"/>
        </w:rPr>
      </w:pPr>
      <w:bookmarkStart w:id="6" w:name="_Toc378751109"/>
      <w:r>
        <w:rPr>
          <w:rStyle w:val="CharSectno"/>
        </w:rPr>
        <w:t>4</w:t>
      </w:r>
      <w:r>
        <w:rPr>
          <w:snapToGrid w:val="0"/>
        </w:rPr>
        <w:t>.</w:t>
      </w:r>
      <w:r>
        <w:rPr>
          <w:snapToGrid w:val="0"/>
        </w:rPr>
        <w:tab/>
        <w:t>Application</w:t>
      </w:r>
      <w:bookmarkEnd w:id="6"/>
      <w:r>
        <w:rPr>
          <w:snapToGrid w:val="0"/>
        </w:rPr>
        <w:t xml:space="preserve"> </w:t>
      </w:r>
    </w:p>
    <w:p>
      <w:pPr>
        <w:pStyle w:val="Subsection"/>
        <w:rPr>
          <w:snapToGrid w:val="0"/>
        </w:rPr>
      </w:pPr>
      <w:r>
        <w:rPr>
          <w:snapToGrid w:val="0"/>
        </w:rPr>
        <w:tab/>
      </w:r>
      <w:r>
        <w:rPr>
          <w:snapToGrid w:val="0"/>
        </w:rPr>
        <w:tab/>
        <w:t>This Act applies to the Acts the administration of which is committed by the Governor to the Minister.</w:t>
      </w:r>
    </w:p>
    <w:p>
      <w:pPr>
        <w:pStyle w:val="Heading5"/>
        <w:rPr>
          <w:snapToGrid w:val="0"/>
        </w:rPr>
      </w:pPr>
      <w:bookmarkStart w:id="7" w:name="_Toc378751110"/>
      <w:r>
        <w:rPr>
          <w:rStyle w:val="CharSectno"/>
        </w:rPr>
        <w:t>5</w:t>
      </w:r>
      <w:r>
        <w:rPr>
          <w:snapToGrid w:val="0"/>
        </w:rPr>
        <w:t>.</w:t>
      </w:r>
      <w:r>
        <w:rPr>
          <w:snapToGrid w:val="0"/>
        </w:rPr>
        <w:tab/>
        <w:t>Objects</w:t>
      </w:r>
      <w:bookmarkEnd w:id="7"/>
      <w:r>
        <w:rPr>
          <w:snapToGrid w:val="0"/>
        </w:rPr>
        <w:t xml:space="preserve"> </w:t>
      </w:r>
    </w:p>
    <w:p>
      <w:pPr>
        <w:pStyle w:val="Subsection"/>
        <w:rPr>
          <w:snapToGrid w:val="0"/>
        </w:rPr>
      </w:pPr>
      <w:r>
        <w:rPr>
          <w:snapToGrid w:val="0"/>
        </w:rPr>
        <w:tab/>
      </w:r>
      <w:r>
        <w:rPr>
          <w:snapToGrid w:val="0"/>
        </w:rPr>
        <w:tab/>
        <w:t>The objects of this Act are to facilitate — </w:t>
      </w:r>
    </w:p>
    <w:p>
      <w:pPr>
        <w:pStyle w:val="Indenta"/>
        <w:rPr>
          <w:snapToGrid w:val="0"/>
        </w:rPr>
      </w:pPr>
      <w:r>
        <w:rPr>
          <w:snapToGrid w:val="0"/>
        </w:rPr>
        <w:tab/>
        <w:t>(a)</w:t>
      </w:r>
      <w:r>
        <w:rPr>
          <w:snapToGrid w:val="0"/>
        </w:rPr>
        <w:tab/>
        <w:t>the co</w:t>
      </w:r>
      <w:r>
        <w:rPr>
          <w:snapToGrid w:val="0"/>
        </w:rPr>
        <w:noBreakHyphen/>
        <w:t>ordination of the administration of the Acts to which this Act applies; and</w:t>
      </w:r>
    </w:p>
    <w:p>
      <w:pPr>
        <w:pStyle w:val="Indenta"/>
        <w:rPr>
          <w:snapToGrid w:val="0"/>
        </w:rPr>
      </w:pPr>
      <w:r>
        <w:rPr>
          <w:snapToGrid w:val="0"/>
        </w:rPr>
        <w:tab/>
        <w:t>(b)</w:t>
      </w:r>
      <w:r>
        <w:rPr>
          <w:snapToGrid w:val="0"/>
        </w:rPr>
        <w:tab/>
        <w:t>the effective and efficient provision of health and related services to the people of the State.</w:t>
      </w:r>
    </w:p>
    <w:p>
      <w:pPr>
        <w:pStyle w:val="Heading5"/>
        <w:rPr>
          <w:snapToGrid w:val="0"/>
        </w:rPr>
      </w:pPr>
      <w:bookmarkStart w:id="8" w:name="_Toc378751111"/>
      <w:r>
        <w:rPr>
          <w:rStyle w:val="CharSectno"/>
        </w:rPr>
        <w:t>6</w:t>
      </w:r>
      <w:r>
        <w:rPr>
          <w:snapToGrid w:val="0"/>
        </w:rPr>
        <w:t>.</w:t>
      </w:r>
      <w:r>
        <w:rPr>
          <w:snapToGrid w:val="0"/>
        </w:rPr>
        <w:tab/>
        <w:t>Officers and employees, appointment of etc.</w:t>
      </w:r>
      <w:bookmarkEnd w:id="8"/>
      <w:r>
        <w:rPr>
          <w:snapToGrid w:val="0"/>
        </w:rPr>
        <w:t xml:space="preserve"> </w:t>
      </w:r>
    </w:p>
    <w:p>
      <w:pPr>
        <w:pStyle w:val="Subsection"/>
        <w:rPr>
          <w:snapToGrid w:val="0"/>
        </w:rPr>
      </w:pPr>
      <w:r>
        <w:rPr>
          <w:snapToGrid w:val="0"/>
        </w:rPr>
        <w:tab/>
        <w:t>(1)</w:t>
      </w:r>
      <w:r>
        <w:rPr>
          <w:snapToGrid w:val="0"/>
        </w:rPr>
        <w:tab/>
        <w:t xml:space="preserve">Subject to this section, there shall be appointed in the Department, under and subject to Part 3 of the </w:t>
      </w:r>
      <w:r>
        <w:rPr>
          <w:i/>
          <w:snapToGrid w:val="0"/>
        </w:rPr>
        <w:t>Public Sector Management Act 1994</w:t>
      </w:r>
      <w:r>
        <w:rPr>
          <w:snapToGrid w:val="0"/>
        </w:rPr>
        <w:t>, the following officers, namely — </w:t>
      </w:r>
    </w:p>
    <w:p>
      <w:pPr>
        <w:pStyle w:val="Ednotepara"/>
        <w:rPr>
          <w:snapToGrid w:val="0"/>
        </w:rPr>
      </w:pPr>
      <w:r>
        <w:tab/>
        <w:t>[(a)</w:t>
      </w:r>
      <w:r>
        <w:tab/>
        <w:t>deleted]</w:t>
      </w:r>
    </w:p>
    <w:p>
      <w:pPr>
        <w:pStyle w:val="Indenta"/>
        <w:rPr>
          <w:snapToGrid w:val="0"/>
        </w:rPr>
      </w:pPr>
      <w:r>
        <w:rPr>
          <w:snapToGrid w:val="0"/>
        </w:rPr>
        <w:tab/>
        <w:t>(b)</w:t>
      </w:r>
      <w:r>
        <w:rPr>
          <w:snapToGrid w:val="0"/>
        </w:rPr>
        <w:tab/>
        <w:t>an Executive Director, Personal Health Services;</w:t>
      </w:r>
    </w:p>
    <w:p>
      <w:pPr>
        <w:pStyle w:val="Indenta"/>
        <w:rPr>
          <w:snapToGrid w:val="0"/>
        </w:rPr>
      </w:pPr>
      <w:r>
        <w:rPr>
          <w:snapToGrid w:val="0"/>
        </w:rPr>
        <w:tab/>
        <w:t>(c)</w:t>
      </w:r>
      <w:r>
        <w:rPr>
          <w:snapToGrid w:val="0"/>
        </w:rPr>
        <w:tab/>
        <w:t>an Executive Director, Public Health and Scientific Support Services;</w:t>
      </w:r>
    </w:p>
    <w:p>
      <w:pPr>
        <w:pStyle w:val="Indenta"/>
        <w:rPr>
          <w:snapToGrid w:val="0"/>
        </w:rPr>
      </w:pPr>
      <w:r>
        <w:rPr>
          <w:snapToGrid w:val="0"/>
        </w:rPr>
        <w:tab/>
        <w:t>(d)</w:t>
      </w:r>
      <w:r>
        <w:rPr>
          <w:snapToGrid w:val="0"/>
        </w:rPr>
        <w:tab/>
        <w:t>a Chief Psychiatrist,</w:t>
      </w:r>
    </w:p>
    <w:p>
      <w:pPr>
        <w:pStyle w:val="Subsection"/>
        <w:rPr>
          <w:snapToGrid w:val="0"/>
        </w:rPr>
      </w:pPr>
      <w:r>
        <w:rPr>
          <w:snapToGrid w:val="0"/>
        </w:rPr>
        <w:tab/>
      </w:r>
      <w:r>
        <w:rPr>
          <w:snapToGrid w:val="0"/>
        </w:rPr>
        <w:tab/>
        <w:t>and such other officers as are necessary for the purposes of carrying out the provisions of the Acts to which this Act applies.</w:t>
      </w:r>
    </w:p>
    <w:p>
      <w:pPr>
        <w:pStyle w:val="Subsection"/>
        <w:rPr>
          <w:snapToGrid w:val="0"/>
        </w:rPr>
      </w:pPr>
      <w:r>
        <w:rPr>
          <w:snapToGrid w:val="0"/>
        </w:rPr>
        <w:tab/>
        <w:t>(2)</w:t>
      </w:r>
      <w:r>
        <w:rPr>
          <w:snapToGrid w:val="0"/>
        </w:rPr>
        <w:tab/>
        <w:t xml:space="preserve">Subject to Part III of the </w:t>
      </w:r>
      <w:r>
        <w:rPr>
          <w:i/>
          <w:snapToGrid w:val="0"/>
        </w:rPr>
        <w:t>Hospitals and Health Services Act 1927</w:t>
      </w:r>
      <w:r>
        <w:rPr>
          <w:snapToGrid w:val="0"/>
        </w:rPr>
        <w:t>, the Minister may for the purposes of the Acts to which this Act applies — </w:t>
      </w:r>
    </w:p>
    <w:p>
      <w:pPr>
        <w:pStyle w:val="Indenta"/>
        <w:rPr>
          <w:snapToGrid w:val="0"/>
        </w:rPr>
      </w:pPr>
      <w:r>
        <w:rPr>
          <w:snapToGrid w:val="0"/>
        </w:rPr>
        <w:tab/>
        <w:t>(a)</w:t>
      </w:r>
      <w:r>
        <w:rPr>
          <w:snapToGrid w:val="0"/>
        </w:rPr>
        <w:tab/>
        <w:t>appoint persons, other than officers, as employees on a full time, part time or casual basis or for a specified period;</w:t>
      </w:r>
    </w:p>
    <w:p>
      <w:pPr>
        <w:pStyle w:val="Indenta"/>
        <w:rPr>
          <w:snapToGrid w:val="0"/>
        </w:rPr>
      </w:pPr>
      <w:r>
        <w:rPr>
          <w:snapToGrid w:val="0"/>
        </w:rPr>
        <w:tab/>
        <w:t>(b)</w:t>
      </w:r>
      <w:r>
        <w:rPr>
          <w:snapToGrid w:val="0"/>
        </w:rPr>
        <w:tab/>
        <w:t>engage persons, other than officers, under contract for services.</w:t>
      </w:r>
    </w:p>
    <w:p>
      <w:pPr>
        <w:pStyle w:val="Subsection"/>
        <w:rPr>
          <w:snapToGrid w:val="0"/>
        </w:rPr>
      </w:pPr>
      <w:r>
        <w:rPr>
          <w:snapToGrid w:val="0"/>
        </w:rPr>
        <w:tab/>
        <w:t>(3)</w:t>
      </w:r>
      <w:r>
        <w:rPr>
          <w:snapToGrid w:val="0"/>
        </w:rPr>
        <w:tab/>
        <w:t xml:space="preserve">Subject to the </w:t>
      </w:r>
      <w:r>
        <w:rPr>
          <w:i/>
          <w:snapToGrid w:val="0"/>
        </w:rPr>
        <w:t>Industrial Relations Act 1979</w:t>
      </w:r>
      <w:r>
        <w:rPr>
          <w:snapToGrid w:val="0"/>
          <w:vertAlign w:val="superscript"/>
        </w:rPr>
        <w:t> 2</w:t>
      </w:r>
      <w:r>
        <w:rPr>
          <w:snapToGrid w:val="0"/>
        </w:rPr>
        <w:t xml:space="preserve"> and the </w:t>
      </w:r>
      <w:r>
        <w:rPr>
          <w:i/>
          <w:snapToGrid w:val="0"/>
        </w:rPr>
        <w:t>Public Service Arbitration Act 1966</w:t>
      </w:r>
      <w:r>
        <w:rPr>
          <w:snapToGrid w:val="0"/>
          <w:vertAlign w:val="superscript"/>
        </w:rPr>
        <w:t> 3</w:t>
      </w:r>
      <w:r>
        <w:rPr>
          <w:snapToGrid w:val="0"/>
        </w:rPr>
        <w:t>, the terms and conditions subject to which a person or a member of a class of persons is — </w:t>
      </w:r>
    </w:p>
    <w:p>
      <w:pPr>
        <w:pStyle w:val="Indenta"/>
        <w:rPr>
          <w:snapToGrid w:val="0"/>
        </w:rPr>
      </w:pPr>
      <w:r>
        <w:rPr>
          <w:snapToGrid w:val="0"/>
        </w:rPr>
        <w:tab/>
        <w:t>(a)</w:t>
      </w:r>
      <w:r>
        <w:rPr>
          <w:snapToGrid w:val="0"/>
        </w:rPr>
        <w:tab/>
        <w:t>appointed as an employee under subsection (2)(a); or</w:t>
      </w:r>
    </w:p>
    <w:p>
      <w:pPr>
        <w:pStyle w:val="Indenta"/>
        <w:rPr>
          <w:snapToGrid w:val="0"/>
        </w:rPr>
      </w:pPr>
      <w:r>
        <w:rPr>
          <w:snapToGrid w:val="0"/>
        </w:rPr>
        <w:tab/>
        <w:t>(b)</w:t>
      </w:r>
      <w:r>
        <w:rPr>
          <w:snapToGrid w:val="0"/>
        </w:rPr>
        <w:tab/>
        <w:t>engaged under contract for services under subsection (2)(b),</w:t>
      </w:r>
    </w:p>
    <w:p>
      <w:pPr>
        <w:pStyle w:val="Subsection"/>
        <w:rPr>
          <w:snapToGrid w:val="0"/>
        </w:rPr>
      </w:pPr>
      <w:r>
        <w:rPr>
          <w:snapToGrid w:val="0"/>
        </w:rPr>
        <w:tab/>
      </w:r>
      <w:r>
        <w:rPr>
          <w:snapToGrid w:val="0"/>
        </w:rPr>
        <w:tab/>
        <w:t>shall be as determined by the Minister after consultation with the</w:t>
      </w:r>
      <w:r>
        <w:t xml:space="preserve"> Public Sector Commissioner</w:t>
      </w:r>
      <w:r>
        <w:rPr>
          <w:snapToGrid w:val="0"/>
        </w:rPr>
        <w:t>.</w:t>
      </w:r>
    </w:p>
    <w:p>
      <w:pPr>
        <w:pStyle w:val="Subsection"/>
        <w:rPr>
          <w:snapToGrid w:val="0"/>
        </w:rPr>
      </w:pPr>
      <w:r>
        <w:rPr>
          <w:snapToGrid w:val="0"/>
        </w:rPr>
        <w:tab/>
        <w:t>(4)</w:t>
      </w:r>
      <w:r>
        <w:rPr>
          <w:snapToGrid w:val="0"/>
        </w:rPr>
        <w:tab/>
        <w:t>A person shall not be appointed to hold or act in — </w:t>
      </w:r>
    </w:p>
    <w:p>
      <w:pPr>
        <w:pStyle w:val="Indenta"/>
      </w:pPr>
      <w:r>
        <w:tab/>
        <w:t>(a)</w:t>
      </w:r>
      <w:r>
        <w:tab/>
        <w:t xml:space="preserve">an office referred to in subsection (1)(b) or (c) unless the person is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medical profession;</w:t>
      </w:r>
    </w:p>
    <w:p>
      <w:pPr>
        <w:pStyle w:val="Indenta"/>
        <w:rPr>
          <w:snapToGrid w:val="0"/>
        </w:rPr>
      </w:pPr>
      <w:r>
        <w:rPr>
          <w:snapToGrid w:val="0"/>
        </w:rPr>
        <w:tab/>
        <w:t>(b)</w:t>
      </w:r>
      <w:r>
        <w:rPr>
          <w:snapToGrid w:val="0"/>
        </w:rPr>
        <w:tab/>
        <w:t>the office referred to in subsection (1)(d) unless he is a psychiatrist as defined</w:t>
      </w:r>
      <w:r>
        <w:rPr>
          <w:spacing w:val="-2"/>
        </w:rPr>
        <w:t xml:space="preserve"> in section 3 of the </w:t>
      </w:r>
      <w:r>
        <w:rPr>
          <w:i/>
          <w:spacing w:val="-2"/>
        </w:rPr>
        <w:t>Mental Health Act 1996</w:t>
      </w:r>
      <w:r>
        <w:rPr>
          <w:snapToGrid w:val="0"/>
        </w:rPr>
        <w:t>.</w:t>
      </w:r>
    </w:p>
    <w:p>
      <w:pPr>
        <w:pStyle w:val="Footnotesection"/>
        <w:rPr>
          <w:szCs w:val="24"/>
        </w:rPr>
      </w:pPr>
      <w:r>
        <w:tab/>
        <w:t>[Section </w:t>
      </w:r>
      <w:r>
        <w:rPr>
          <w:szCs w:val="24"/>
        </w:rPr>
        <w:t>6 amended by No. 32 of 1994 s. 3(2); No. 103 of 1994 s. 18; No. 69 of 1996 s. 38; No. 28 of 2006 s. 254; No. 22 of 2008</w:t>
      </w:r>
      <w:r>
        <w:rPr>
          <w:iCs/>
          <w:szCs w:val="24"/>
        </w:rPr>
        <w:t xml:space="preserve"> Sch. 3 cl. 24</w:t>
      </w:r>
      <w:r>
        <w:rPr>
          <w:szCs w:val="24"/>
        </w:rPr>
        <w:t xml:space="preserve">; No. 35 of 2010 s. 76; No. 39 of 2010 s. 89.] </w:t>
      </w:r>
    </w:p>
    <w:p>
      <w:pPr>
        <w:pStyle w:val="Heading5"/>
        <w:rPr>
          <w:snapToGrid w:val="0"/>
        </w:rPr>
      </w:pPr>
      <w:bookmarkStart w:id="9" w:name="_Toc378751112"/>
      <w:r>
        <w:rPr>
          <w:rStyle w:val="CharSectno"/>
        </w:rPr>
        <w:t>7</w:t>
      </w:r>
      <w:r>
        <w:rPr>
          <w:snapToGrid w:val="0"/>
        </w:rPr>
        <w:t>.</w:t>
      </w:r>
      <w:r>
        <w:rPr>
          <w:snapToGrid w:val="0"/>
        </w:rPr>
        <w:tab/>
        <w:t>Certain officers, designating persons as</w:t>
      </w:r>
      <w:bookmarkEnd w:id="9"/>
      <w:r>
        <w:rPr>
          <w:snapToGrid w:val="0"/>
        </w:rPr>
        <w:t xml:space="preserve"> </w:t>
      </w:r>
    </w:p>
    <w:p>
      <w:pPr>
        <w:pStyle w:val="Subsection"/>
        <w:rPr>
          <w:snapToGrid w:val="0"/>
        </w:rPr>
      </w:pPr>
      <w:r>
        <w:rPr>
          <w:snapToGrid w:val="0"/>
        </w:rPr>
        <w:tab/>
      </w:r>
      <w:r>
        <w:rPr>
          <w:snapToGrid w:val="0"/>
        </w:rPr>
        <w:tab/>
        <w:t>The Minister may designate any officer or other person who holds the relevant qualifications for that position as a medical officer of health, environmental health officer, inspector or public health official, as the case requires, for the purposes of any Act to which this Act applies or for any provision thereof and may cancel any such designation.</w:t>
      </w:r>
    </w:p>
    <w:p>
      <w:pPr>
        <w:pStyle w:val="Footnotesection"/>
      </w:pPr>
      <w:r>
        <w:tab/>
        <w:t>[Section 7 amended by No. 57 of 1997 s. 69.]</w:t>
      </w:r>
    </w:p>
    <w:p>
      <w:pPr>
        <w:pStyle w:val="Heading5"/>
        <w:rPr>
          <w:snapToGrid w:val="0"/>
        </w:rPr>
      </w:pPr>
      <w:bookmarkStart w:id="10" w:name="_Toc378751113"/>
      <w:r>
        <w:rPr>
          <w:rStyle w:val="CharSectno"/>
        </w:rPr>
        <w:t>8</w:t>
      </w:r>
      <w:r>
        <w:rPr>
          <w:snapToGrid w:val="0"/>
        </w:rPr>
        <w:t>.</w:t>
      </w:r>
      <w:r>
        <w:rPr>
          <w:snapToGrid w:val="0"/>
        </w:rPr>
        <w:tab/>
        <w:t>Appointment or designation under s. 6 or 7, effect of</w:t>
      </w:r>
      <w:bookmarkEnd w:id="10"/>
    </w:p>
    <w:p>
      <w:pPr>
        <w:pStyle w:val="Subsection"/>
        <w:rPr>
          <w:snapToGrid w:val="0"/>
        </w:rPr>
      </w:pPr>
      <w:r>
        <w:rPr>
          <w:snapToGrid w:val="0"/>
        </w:rPr>
        <w:tab/>
      </w:r>
      <w:r>
        <w:rPr>
          <w:snapToGrid w:val="0"/>
        </w:rPr>
        <w:tab/>
        <w:t>Where a person is appointed or designated as an officer, medical officer of health, environmental health officer, inspector or public health officer under section 6 or 7, as the case requires, for the purposes of an Act to which this Act applies or for any provision of such an Act all the powers and duties conferred or imposed on holding such an appointment or having such a designation by this Act or by an Act to which this Act applies or by a provision of such an Act may be exercised and shall be carried out by the person so appointed or designated and any order or direction given by such a person acting in pursuance of any such power or duty shall have effect accordingly.</w:t>
      </w:r>
    </w:p>
    <w:p>
      <w:pPr>
        <w:pStyle w:val="Footnotesection"/>
      </w:pPr>
      <w:r>
        <w:tab/>
        <w:t>[Section 8 amended by No. 57 of 1997 s. 69.]</w:t>
      </w:r>
    </w:p>
    <w:p>
      <w:pPr>
        <w:pStyle w:val="Heading5"/>
        <w:rPr>
          <w:snapToGrid w:val="0"/>
        </w:rPr>
      </w:pPr>
      <w:bookmarkStart w:id="11" w:name="_Toc378751114"/>
      <w:r>
        <w:rPr>
          <w:rStyle w:val="CharSectno"/>
        </w:rPr>
        <w:t>9</w:t>
      </w:r>
      <w:r>
        <w:rPr>
          <w:snapToGrid w:val="0"/>
        </w:rPr>
        <w:t>.</w:t>
      </w:r>
      <w:r>
        <w:rPr>
          <w:snapToGrid w:val="0"/>
        </w:rPr>
        <w:tab/>
        <w:t>Delegation by Minister, CEO etc.</w:t>
      </w:r>
      <w:bookmarkEnd w:id="11"/>
      <w:r>
        <w:rPr>
          <w:snapToGrid w:val="0"/>
        </w:rPr>
        <w:t xml:space="preserve"> </w:t>
      </w:r>
    </w:p>
    <w:p>
      <w:pPr>
        <w:pStyle w:val="Subsection"/>
        <w:rPr>
          <w:snapToGrid w:val="0"/>
        </w:rPr>
      </w:pPr>
      <w:r>
        <w:rPr>
          <w:snapToGrid w:val="0"/>
        </w:rPr>
        <w:tab/>
        <w:t>(1)</w:t>
      </w:r>
      <w:r>
        <w:rPr>
          <w:snapToGrid w:val="0"/>
        </w:rPr>
        <w:tab/>
        <w:t>Subject to this section, the Minister</w:t>
      </w:r>
      <w:r>
        <w:t>, the CEO</w:t>
      </w:r>
      <w:r>
        <w:rPr>
          <w:snapToGrid w:val="0"/>
        </w:rPr>
        <w:t xml:space="preserve"> or a prescribed officer (hereinafter referred to as the </w:t>
      </w:r>
      <w:r>
        <w:rPr>
          <w:rStyle w:val="CharDefText"/>
        </w:rPr>
        <w:t>delegator</w:t>
      </w:r>
      <w:r>
        <w:rPr>
          <w:snapToGrid w:val="0"/>
        </w:rPr>
        <w:t>) on whom a power is conferred or duty is imposed by any Act to which this Act applies (hereinafter referred to as a</w:t>
      </w:r>
      <w:r>
        <w:rPr>
          <w:b/>
          <w:snapToGrid w:val="0"/>
        </w:rPr>
        <w:t xml:space="preserve"> </w:t>
      </w:r>
      <w:r>
        <w:rPr>
          <w:rStyle w:val="CharDefText"/>
        </w:rPr>
        <w:t>relevant Act</w:t>
      </w:r>
      <w:r>
        <w:rPr>
          <w:snapToGrid w:val="0"/>
        </w:rPr>
        <w:t>) may, either generally or as otherwise provided by the instrument of delegation, by writing signed by him, delegate to a person (hereinafter referred to as the</w:t>
      </w:r>
      <w:r>
        <w:rPr>
          <w:b/>
          <w:snapToGrid w:val="0"/>
        </w:rPr>
        <w:t xml:space="preserve"> </w:t>
      </w:r>
      <w:r>
        <w:rPr>
          <w:rStyle w:val="CharDefText"/>
        </w:rPr>
        <w:t>delegate</w:t>
      </w:r>
      <w:r>
        <w:rPr>
          <w:snapToGrid w:val="0"/>
        </w:rPr>
        <w:t>) any of his powers or duties under that Act, other than this power of delegation.</w:t>
      </w:r>
    </w:p>
    <w:p>
      <w:pPr>
        <w:pStyle w:val="Subsection"/>
        <w:rPr>
          <w:snapToGrid w:val="0"/>
        </w:rPr>
      </w:pPr>
      <w:r>
        <w:rPr>
          <w:snapToGrid w:val="0"/>
        </w:rPr>
        <w:tab/>
        <w:t>(2)</w:t>
      </w:r>
      <w:r>
        <w:rPr>
          <w:snapToGrid w:val="0"/>
        </w:rPr>
        <w:tab/>
        <w:t>For the purposes of a relevant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This section is in addition to, and not in derogation of, any power to delegate conferred on a delegator by a relevant Act.</w:t>
      </w:r>
    </w:p>
    <w:p>
      <w:pPr>
        <w:pStyle w:val="Footnotesection"/>
      </w:pPr>
      <w:r>
        <w:tab/>
        <w:t>[Section 9 amended by No. 28 of 2006 s. 255.]</w:t>
      </w:r>
    </w:p>
    <w:p>
      <w:pPr>
        <w:pStyle w:val="Heading5"/>
        <w:rPr>
          <w:snapToGrid w:val="0"/>
        </w:rPr>
      </w:pPr>
      <w:bookmarkStart w:id="12" w:name="_Toc378751115"/>
      <w:r>
        <w:rPr>
          <w:rStyle w:val="CharSectno"/>
        </w:rPr>
        <w:t>10</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Footnotesection"/>
      </w:pPr>
      <w:r>
        <w:tab/>
        <w:t xml:space="preserve">[Section 10 inserted by No. 98 of 1985 s. 3; amended by No. 77 of 2006 Sch. 1 cl. 81.] </w:t>
      </w:r>
    </w:p>
    <w:p>
      <w:pPr>
        <w:pStyle w:val="Heading5"/>
        <w:rPr>
          <w:snapToGrid w:val="0"/>
        </w:rPr>
      </w:pPr>
      <w:bookmarkStart w:id="13" w:name="_Toc378751116"/>
      <w:r>
        <w:rPr>
          <w:rStyle w:val="CharSectno"/>
        </w:rPr>
        <w:t>11</w:t>
      </w:r>
      <w:r>
        <w:rPr>
          <w:snapToGrid w:val="0"/>
        </w:rPr>
        <w:t>.</w:t>
      </w:r>
      <w:r>
        <w:rPr>
          <w:snapToGrid w:val="0"/>
        </w:rPr>
        <w:tab/>
        <w:t>Advisory groups, committees, councils and panels, establishment of</w:t>
      </w:r>
      <w:bookmarkEnd w:id="13"/>
    </w:p>
    <w:p>
      <w:pPr>
        <w:pStyle w:val="Subsection"/>
        <w:rPr>
          <w:snapToGrid w:val="0"/>
        </w:rPr>
      </w:pPr>
      <w:r>
        <w:rPr>
          <w:snapToGrid w:val="0"/>
        </w:rPr>
        <w:tab/>
        <w:t>(1)</w:t>
      </w:r>
      <w:r>
        <w:rPr>
          <w:snapToGrid w:val="0"/>
        </w:rPr>
        <w:tab/>
        <w:t>The Minister may establish such groups, committees, councils and panels as he thinks are necessary for the purposes of advising him on the administration of this Act and any Act to which this Act applies or any provision thereof, and on the provision of health and related services in this State.</w:t>
      </w:r>
    </w:p>
    <w:p>
      <w:pPr>
        <w:pStyle w:val="Subsection"/>
        <w:rPr>
          <w:snapToGrid w:val="0"/>
        </w:rPr>
      </w:pPr>
      <w:r>
        <w:rPr>
          <w:snapToGrid w:val="0"/>
        </w:rPr>
        <w:tab/>
        <w:t>(2)</w:t>
      </w:r>
      <w:r>
        <w:rPr>
          <w:snapToGrid w:val="0"/>
        </w:rPr>
        <w:tab/>
        <w:t>The Minister may appoint such persons as he thinks fit to any group, committee, council or panel established under subsection (1).</w:t>
      </w:r>
    </w:p>
    <w:p>
      <w:pPr>
        <w:pStyle w:val="Subsection"/>
        <w:rPr>
          <w:snapToGrid w:val="0"/>
        </w:rPr>
      </w:pPr>
      <w:r>
        <w:rPr>
          <w:snapToGrid w:val="0"/>
        </w:rPr>
        <w:tab/>
        <w:t>(3)</w:t>
      </w:r>
      <w:r>
        <w:rPr>
          <w:snapToGrid w:val="0"/>
        </w:rPr>
        <w:tab/>
        <w:t>A member of a group, committee, council or panel appointed under this section is entitled to such remuneration and allowances as are determined by the Minister after consultation with the</w:t>
      </w:r>
      <w:r>
        <w:t xml:space="preserve"> Public Sector Commissioner</w:t>
      </w:r>
      <w:r>
        <w:rPr>
          <w:snapToGrid w:val="0"/>
        </w:rPr>
        <w:t>.</w:t>
      </w:r>
    </w:p>
    <w:p>
      <w:pPr>
        <w:pStyle w:val="Subsection"/>
        <w:keepLines/>
        <w:rPr>
          <w:snapToGrid w:val="0"/>
        </w:rPr>
      </w:pPr>
      <w:r>
        <w:rPr>
          <w:snapToGrid w:val="0"/>
        </w:rPr>
        <w:tab/>
        <w:t>(4)</w:t>
      </w:r>
      <w:r>
        <w:rPr>
          <w:snapToGrid w:val="0"/>
        </w:rPr>
        <w:tab/>
        <w:t>The terms and conditions, other than those referred to in subsection (3), applicable in relation to a person appointed under this section shall be as determined by the Minister from time to time either generally or with respect to a particular appointment.</w:t>
      </w:r>
    </w:p>
    <w:p>
      <w:pPr>
        <w:pStyle w:val="Subsection"/>
        <w:rPr>
          <w:snapToGrid w:val="0"/>
        </w:rPr>
      </w:pPr>
      <w:r>
        <w:rPr>
          <w:snapToGrid w:val="0"/>
        </w:rPr>
        <w:tab/>
        <w:t>(5)</w:t>
      </w:r>
      <w:r>
        <w:rPr>
          <w:snapToGrid w:val="0"/>
        </w:rPr>
        <w:tab/>
        <w:t>A person appointed under this section is not by that reason alone an officer of the Public Service of the State.</w:t>
      </w:r>
    </w:p>
    <w:p>
      <w:pPr>
        <w:pStyle w:val="Footnotesection"/>
      </w:pPr>
      <w:r>
        <w:tab/>
        <w:t>[Section 11 amended by No. 39 of 2010 s. 89.]</w:t>
      </w:r>
    </w:p>
    <w:p>
      <w:pPr>
        <w:pStyle w:val="Heading5"/>
        <w:rPr>
          <w:snapToGrid w:val="0"/>
        </w:rPr>
      </w:pPr>
      <w:bookmarkStart w:id="14" w:name="_Toc378751117"/>
      <w:r>
        <w:rPr>
          <w:rStyle w:val="CharSectno"/>
        </w:rPr>
        <w:t>12</w:t>
      </w:r>
      <w:r>
        <w:rPr>
          <w:snapToGrid w:val="0"/>
        </w:rPr>
        <w:t>.</w:t>
      </w:r>
      <w:r>
        <w:rPr>
          <w:snapToGrid w:val="0"/>
        </w:rPr>
        <w:tab/>
        <w:t>Regulations</w:t>
      </w:r>
      <w:bookmarkEnd w:id="14"/>
      <w:r>
        <w:rPr>
          <w:snapToGrid w:val="0"/>
        </w:rPr>
        <w:t xml:space="preserve"> </w:t>
      </w:r>
    </w:p>
    <w:p>
      <w:pPr>
        <w:pStyle w:val="Subsection"/>
        <w:rPr>
          <w:snapToGrid w:val="0"/>
        </w:rPr>
      </w:pPr>
      <w:r>
        <w:rPr>
          <w:snapToGrid w:val="0"/>
        </w:rPr>
        <w:tab/>
      </w:r>
      <w:r>
        <w:rPr>
          <w:snapToGrid w:val="0"/>
        </w:rPr>
        <w:tab/>
        <w:t>The Governor may make such regulations as are contemplated by this Act or as he considers necessary or expedient for the purposes of this Act.</w:t>
      </w:r>
    </w:p>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nHeading2"/>
      </w:pPr>
      <w:bookmarkStart w:id="15" w:name="_Toc378751118"/>
      <w:r>
        <w:t>Notes</w:t>
      </w:r>
      <w:bookmarkEnd w:id="15"/>
    </w:p>
    <w:p>
      <w:pPr>
        <w:pStyle w:val="nSubsection"/>
        <w:rPr>
          <w:snapToGrid w:val="0"/>
        </w:rPr>
      </w:pPr>
      <w:r>
        <w:rPr>
          <w:snapToGrid w:val="0"/>
          <w:vertAlign w:val="superscript"/>
        </w:rPr>
        <w:t>1</w:t>
      </w:r>
      <w:r>
        <w:rPr>
          <w:snapToGrid w:val="0"/>
        </w:rPr>
        <w:tab/>
        <w:t xml:space="preserve">This reprint is a compilation as at 18 March 2011 of the </w:t>
      </w:r>
      <w:r>
        <w:rPr>
          <w:i/>
          <w:noProof/>
          <w:snapToGrid w:val="0"/>
        </w:rPr>
        <w:t>Health Legislation Administration Act 1984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 w:name="_Toc378751119"/>
      <w:r>
        <w:rPr>
          <w:snapToGrid w:val="0"/>
        </w:rPr>
        <w:t>Compilation table</w:t>
      </w:r>
      <w:bookmarkEnd w:id="16"/>
    </w:p>
    <w:tbl>
      <w:tblPr>
        <w:tblW w:w="0" w:type="auto"/>
        <w:tblInd w:w="56"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After w:val="1"/>
          <w:wAfter w:w="28"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8" w:type="dxa"/>
          <w:cantSplit/>
        </w:trPr>
        <w:tc>
          <w:tcPr>
            <w:tcW w:w="2268" w:type="dxa"/>
            <w:gridSpan w:val="2"/>
            <w:tcBorders>
              <w:top w:val="single" w:sz="8" w:space="0" w:color="auto"/>
            </w:tcBorders>
          </w:tcPr>
          <w:p>
            <w:pPr>
              <w:pStyle w:val="nTable"/>
              <w:spacing w:after="40"/>
              <w:ind w:right="113"/>
              <w:rPr>
                <w:sz w:val="19"/>
              </w:rPr>
            </w:pPr>
            <w:r>
              <w:rPr>
                <w:i/>
                <w:sz w:val="19"/>
              </w:rPr>
              <w:t>Health Legislation Administration Act 1984</w:t>
            </w:r>
          </w:p>
        </w:tc>
        <w:tc>
          <w:tcPr>
            <w:tcW w:w="1134" w:type="dxa"/>
            <w:gridSpan w:val="2"/>
            <w:tcBorders>
              <w:top w:val="single" w:sz="8" w:space="0" w:color="auto"/>
            </w:tcBorders>
          </w:tcPr>
          <w:p>
            <w:pPr>
              <w:pStyle w:val="nTable"/>
              <w:spacing w:after="40"/>
              <w:rPr>
                <w:sz w:val="19"/>
              </w:rPr>
            </w:pPr>
            <w:r>
              <w:rPr>
                <w:sz w:val="19"/>
              </w:rPr>
              <w:t>27 of 1984</w:t>
            </w:r>
          </w:p>
        </w:tc>
        <w:tc>
          <w:tcPr>
            <w:tcW w:w="1134" w:type="dxa"/>
            <w:gridSpan w:val="2"/>
            <w:tcBorders>
              <w:top w:val="single" w:sz="8" w:space="0" w:color="auto"/>
            </w:tcBorders>
          </w:tcPr>
          <w:p>
            <w:pPr>
              <w:pStyle w:val="nTable"/>
              <w:spacing w:after="40"/>
              <w:rPr>
                <w:sz w:val="19"/>
              </w:rPr>
            </w:pPr>
            <w:r>
              <w:rPr>
                <w:sz w:val="19"/>
              </w:rPr>
              <w:t>31 May 1984</w:t>
            </w:r>
          </w:p>
        </w:tc>
        <w:tc>
          <w:tcPr>
            <w:tcW w:w="2552" w:type="dxa"/>
            <w:gridSpan w:val="2"/>
            <w:tcBorders>
              <w:top w:val="single" w:sz="8" w:space="0" w:color="auto"/>
            </w:tcBorders>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After w:val="1"/>
          <w:wAfter w:w="28" w:type="dxa"/>
          <w:cantSplit/>
        </w:trPr>
        <w:tc>
          <w:tcPr>
            <w:tcW w:w="2268" w:type="dxa"/>
            <w:gridSpan w:val="2"/>
          </w:tcPr>
          <w:p>
            <w:pPr>
              <w:pStyle w:val="nTable"/>
              <w:spacing w:after="40"/>
              <w:ind w:right="113"/>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2"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28" w:type="dxa"/>
          <w:cantSplit/>
        </w:trPr>
        <w:tc>
          <w:tcPr>
            <w:tcW w:w="2268" w:type="dxa"/>
            <w:gridSpan w:val="2"/>
          </w:tcPr>
          <w:p>
            <w:pPr>
              <w:pStyle w:val="nTable"/>
              <w:spacing w:after="40"/>
              <w:ind w:right="113"/>
              <w:rPr>
                <w:sz w:val="19"/>
              </w:rPr>
            </w:pPr>
            <w:r>
              <w:rPr>
                <w:i/>
                <w:sz w:val="19"/>
              </w:rPr>
              <w:t>Acts Amendment (Public Sector Management) Act 1994</w:t>
            </w:r>
            <w:r>
              <w:rPr>
                <w:sz w:val="19"/>
              </w:rPr>
              <w:t xml:space="preserve"> 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8" w:type="dxa"/>
          <w:cantSplit/>
        </w:trPr>
        <w:tc>
          <w:tcPr>
            <w:tcW w:w="2268" w:type="dxa"/>
            <w:gridSpan w:val="2"/>
          </w:tcPr>
          <w:p>
            <w:pPr>
              <w:pStyle w:val="nTable"/>
              <w:spacing w:after="40"/>
              <w:ind w:right="113"/>
              <w:rPr>
                <w:sz w:val="19"/>
              </w:rPr>
            </w:pPr>
            <w:r>
              <w:rPr>
                <w:i/>
                <w:sz w:val="19"/>
              </w:rPr>
              <w:t>Hospitals Amendment Act 1994</w:t>
            </w:r>
            <w:r>
              <w:rPr>
                <w:sz w:val="19"/>
              </w:rPr>
              <w:t xml:space="preserve"> s. 18 </w:t>
            </w:r>
          </w:p>
        </w:tc>
        <w:tc>
          <w:tcPr>
            <w:tcW w:w="1134" w:type="dxa"/>
            <w:gridSpan w:val="2"/>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52"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After w:val="1"/>
          <w:wAfter w:w="28" w:type="dxa"/>
          <w:cantSplit/>
        </w:trPr>
        <w:tc>
          <w:tcPr>
            <w:tcW w:w="2268" w:type="dxa"/>
            <w:gridSpan w:val="2"/>
          </w:tcPr>
          <w:p>
            <w:pPr>
              <w:pStyle w:val="nTable"/>
              <w:spacing w:after="40"/>
              <w:ind w:right="113"/>
              <w:rPr>
                <w:sz w:val="19"/>
              </w:rPr>
            </w:pPr>
            <w:r>
              <w:rPr>
                <w:i/>
                <w:sz w:val="19"/>
              </w:rPr>
              <w:t xml:space="preserve">Mental Health (Consequential Provisions) Act 1996 </w:t>
            </w:r>
            <w:r>
              <w:rPr>
                <w:sz w:val="19"/>
              </w:rPr>
              <w:t>Pt. 9</w:t>
            </w:r>
            <w:r>
              <w:rPr>
                <w:sz w:val="19"/>
                <w:vertAlign w:val="superscript"/>
              </w:rPr>
              <w:t> 4</w:t>
            </w:r>
          </w:p>
        </w:tc>
        <w:tc>
          <w:tcPr>
            <w:tcW w:w="1134" w:type="dxa"/>
            <w:gridSpan w:val="2"/>
          </w:tcPr>
          <w:p>
            <w:pPr>
              <w:pStyle w:val="nTable"/>
              <w:spacing w:after="40"/>
              <w:rPr>
                <w:sz w:val="19"/>
              </w:rPr>
            </w:pPr>
            <w:r>
              <w:rPr>
                <w:sz w:val="19"/>
              </w:rPr>
              <w:t>69 of 1996</w:t>
            </w:r>
          </w:p>
        </w:tc>
        <w:tc>
          <w:tcPr>
            <w:tcW w:w="1134" w:type="dxa"/>
            <w:gridSpan w:val="2"/>
          </w:tcPr>
          <w:p>
            <w:pPr>
              <w:pStyle w:val="nTable"/>
              <w:spacing w:after="40"/>
              <w:rPr>
                <w:sz w:val="19"/>
              </w:rPr>
            </w:pPr>
            <w:r>
              <w:rPr>
                <w:sz w:val="19"/>
              </w:rPr>
              <w:t>13 Nov 1996</w:t>
            </w:r>
          </w:p>
        </w:tc>
        <w:tc>
          <w:tcPr>
            <w:tcW w:w="2552" w:type="dxa"/>
            <w:gridSpan w:val="2"/>
          </w:tcPr>
          <w:p>
            <w:pPr>
              <w:pStyle w:val="nTable"/>
              <w:spacing w:after="40"/>
              <w:rPr>
                <w:sz w:val="19"/>
              </w:rPr>
            </w:pPr>
            <w:r>
              <w:rPr>
                <w:sz w:val="19"/>
              </w:rPr>
              <w:t>13 Nov 1997 (see s. 2)</w:t>
            </w:r>
          </w:p>
        </w:tc>
      </w:tr>
      <w:tr>
        <w:trPr>
          <w:gridAfter w:val="1"/>
          <w:wAfter w:w="28" w:type="dxa"/>
          <w:cantSplit/>
        </w:trPr>
        <w:tc>
          <w:tcPr>
            <w:tcW w:w="2268" w:type="dxa"/>
            <w:gridSpan w:val="2"/>
          </w:tcPr>
          <w:p>
            <w:pPr>
              <w:pStyle w:val="nTable"/>
              <w:spacing w:after="40"/>
              <w:ind w:right="113"/>
              <w:rPr>
                <w:sz w:val="19"/>
              </w:rPr>
            </w:pPr>
            <w:r>
              <w:rPr>
                <w:i/>
                <w:sz w:val="19"/>
              </w:rPr>
              <w:t>Statutes (Repeals and Minor Amendments) Act 1997</w:t>
            </w:r>
            <w:r>
              <w:rPr>
                <w:sz w:val="19"/>
              </w:rPr>
              <w:t xml:space="preserve"> s. 69</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8" w:type="dxa"/>
          <w:cantSplit/>
        </w:trPr>
        <w:tc>
          <w:tcPr>
            <w:tcW w:w="7088" w:type="dxa"/>
            <w:gridSpan w:val="8"/>
          </w:tcPr>
          <w:p>
            <w:pPr>
              <w:pStyle w:val="nTable"/>
              <w:spacing w:after="40"/>
              <w:rPr>
                <w:sz w:val="19"/>
              </w:rPr>
            </w:pPr>
            <w:r>
              <w:rPr>
                <w:b/>
                <w:sz w:val="19"/>
              </w:rPr>
              <w:t xml:space="preserve">Reprint of the </w:t>
            </w:r>
            <w:r>
              <w:rPr>
                <w:b/>
                <w:i/>
                <w:sz w:val="19"/>
              </w:rPr>
              <w:t xml:space="preserve">Health Legislation Administration Act 1984 </w:t>
            </w:r>
            <w:r>
              <w:rPr>
                <w:b/>
                <w:sz w:val="19"/>
              </w:rPr>
              <w:t xml:space="preserve">as at 11 Jan 2002 </w:t>
            </w:r>
            <w:r>
              <w:rPr>
                <w:sz w:val="19"/>
              </w:rPr>
              <w:t>(includes amendments listed above)</w:t>
            </w:r>
          </w:p>
        </w:tc>
      </w:tr>
      <w:tr>
        <w:trPr>
          <w:gridBefore w:val="1"/>
          <w:wBefore w:w="28" w:type="dxa"/>
          <w:cantSplit/>
        </w:trPr>
        <w:tc>
          <w:tcPr>
            <w:tcW w:w="2268" w:type="dxa"/>
            <w:gridSpan w:val="2"/>
          </w:tcPr>
          <w:p>
            <w:pPr>
              <w:pStyle w:val="nTable"/>
              <w:spacing w:after="40"/>
              <w:ind w:left="-28"/>
              <w:rPr>
                <w:iCs/>
                <w:snapToGrid w:val="0"/>
                <w:sz w:val="19"/>
                <w:vertAlign w:val="superscript"/>
              </w:rPr>
            </w:pPr>
            <w:r>
              <w:rPr>
                <w:i/>
                <w:snapToGrid w:val="0"/>
                <w:sz w:val="19"/>
              </w:rPr>
              <w:t>Machinery of Government (Miscellaneous Amendments) Act 2006</w:t>
            </w:r>
            <w:r>
              <w:rPr>
                <w:iCs/>
                <w:snapToGrid w:val="0"/>
                <w:sz w:val="19"/>
              </w:rPr>
              <w:t xml:space="preserve"> Pt. 9 Div. 3 </w:t>
            </w:r>
            <w:r>
              <w:rPr>
                <w:iCs/>
                <w:snapToGrid w:val="0"/>
                <w:sz w:val="19"/>
                <w:vertAlign w:val="superscript"/>
              </w:rPr>
              <w:t>5, 6</w:t>
            </w:r>
          </w:p>
        </w:tc>
        <w:tc>
          <w:tcPr>
            <w:tcW w:w="1134" w:type="dxa"/>
            <w:gridSpan w:val="2"/>
          </w:tcPr>
          <w:p>
            <w:pPr>
              <w:pStyle w:val="nTable"/>
              <w:spacing w:after="40"/>
              <w:rPr>
                <w:snapToGrid w:val="0"/>
                <w:sz w:val="19"/>
              </w:rPr>
            </w:pPr>
            <w:r>
              <w:rPr>
                <w:snapToGrid w:val="0"/>
                <w:sz w:val="19"/>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rPr>
              <w:t xml:space="preserve">Financial Legislation Amendment and Repeal Act 2006 </w:t>
            </w:r>
            <w:r>
              <w:rPr>
                <w:iCs/>
                <w:snapToGrid w:val="0"/>
                <w:sz w:val="19"/>
              </w:rPr>
              <w:t>Sch. 1 cl. 81</w:t>
            </w:r>
          </w:p>
        </w:tc>
        <w:tc>
          <w:tcPr>
            <w:tcW w:w="1134" w:type="dxa"/>
            <w:gridSpan w:val="2"/>
          </w:tcPr>
          <w:p>
            <w:pPr>
              <w:pStyle w:val="nTable"/>
              <w:spacing w:after="40"/>
              <w:rPr>
                <w:snapToGrid w:val="0"/>
                <w:sz w:val="19"/>
              </w:rPr>
            </w:pPr>
            <w:r>
              <w:rPr>
                <w:snapToGrid w:val="0"/>
                <w:sz w:val="19"/>
              </w:rPr>
              <w:t xml:space="preserve">77 of 2006 </w:t>
            </w:r>
          </w:p>
        </w:tc>
        <w:tc>
          <w:tcPr>
            <w:tcW w:w="1134" w:type="dxa"/>
            <w:gridSpan w:val="2"/>
          </w:tcPr>
          <w:p>
            <w:pPr>
              <w:pStyle w:val="nTable"/>
              <w:spacing w:after="40"/>
              <w:rPr>
                <w:sz w:val="19"/>
              </w:rPr>
            </w:pPr>
            <w:r>
              <w:rPr>
                <w:snapToGrid w:val="0"/>
                <w:sz w:val="19"/>
              </w:rPr>
              <w:t>21 Dec 2006</w:t>
            </w:r>
          </w:p>
        </w:tc>
        <w:tc>
          <w:tcPr>
            <w:tcW w:w="2552" w:type="dxa"/>
            <w:gridSpan w:val="2"/>
          </w:tcPr>
          <w:p>
            <w:pPr>
              <w:pStyle w:val="nTable"/>
              <w:spacing w:after="40"/>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rPr>
              <w:t>Medical Practitioners Act 2008</w:t>
            </w:r>
            <w:r>
              <w:rPr>
                <w:iCs/>
                <w:snapToGrid w:val="0"/>
                <w:sz w:val="19"/>
              </w:rPr>
              <w:t xml:space="preserve"> Sch. 3 cl. 24</w:t>
            </w:r>
          </w:p>
        </w:tc>
        <w:tc>
          <w:tcPr>
            <w:tcW w:w="1134" w:type="dxa"/>
            <w:gridSpan w:val="2"/>
          </w:tcPr>
          <w:p>
            <w:pPr>
              <w:pStyle w:val="nTable"/>
              <w:spacing w:after="40"/>
              <w:rPr>
                <w:snapToGrid w:val="0"/>
                <w:sz w:val="19"/>
              </w:rPr>
            </w:pPr>
            <w:r>
              <w:rPr>
                <w:sz w:val="19"/>
              </w:rPr>
              <w:t>22 of 2008</w:t>
            </w:r>
          </w:p>
        </w:tc>
        <w:tc>
          <w:tcPr>
            <w:tcW w:w="1134" w:type="dxa"/>
            <w:gridSpan w:val="2"/>
          </w:tcPr>
          <w:p>
            <w:pPr>
              <w:pStyle w:val="nTable"/>
              <w:spacing w:after="40"/>
              <w:rPr>
                <w:snapToGrid w:val="0"/>
                <w:sz w:val="19"/>
              </w:rPr>
            </w:pPr>
            <w:r>
              <w:rPr>
                <w:sz w:val="19"/>
              </w:rPr>
              <w:t>27 May 2008</w:t>
            </w:r>
          </w:p>
        </w:tc>
        <w:tc>
          <w:tcPr>
            <w:tcW w:w="2552" w:type="dxa"/>
            <w:gridSpan w:val="2"/>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rPr>
              <w:t xml:space="preserve">Health Practitioner Regulation National Law (WA) Act 2010 </w:t>
            </w:r>
            <w:r>
              <w:rPr>
                <w:iCs/>
                <w:snapToGrid w:val="0"/>
                <w:sz w:val="19"/>
              </w:rPr>
              <w:t>Pt. 5 Div. 23</w:t>
            </w:r>
          </w:p>
        </w:tc>
        <w:tc>
          <w:tcPr>
            <w:tcW w:w="1134" w:type="dxa"/>
            <w:gridSpan w:val="2"/>
          </w:tcPr>
          <w:p>
            <w:pPr>
              <w:pStyle w:val="nTable"/>
              <w:spacing w:after="40"/>
              <w:rPr>
                <w:sz w:val="19"/>
              </w:rPr>
            </w:pPr>
            <w:r>
              <w:rPr>
                <w:snapToGrid w:val="0"/>
                <w:sz w:val="19"/>
              </w:rPr>
              <w:t>35 of 2010</w:t>
            </w:r>
          </w:p>
        </w:tc>
        <w:tc>
          <w:tcPr>
            <w:tcW w:w="1134" w:type="dxa"/>
            <w:gridSpan w:val="2"/>
          </w:tcPr>
          <w:p>
            <w:pPr>
              <w:pStyle w:val="nTable"/>
              <w:spacing w:after="40"/>
              <w:rPr>
                <w:sz w:val="19"/>
              </w:rPr>
            </w:pPr>
            <w:r>
              <w:rPr>
                <w:snapToGrid w:val="0"/>
                <w:sz w:val="19"/>
              </w:rPr>
              <w:t>30 Aug 2010</w:t>
            </w:r>
          </w:p>
        </w:tc>
        <w:tc>
          <w:tcPr>
            <w:tcW w:w="2552" w:type="dxa"/>
            <w:gridSpan w:val="2"/>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gridBefore w:val="1"/>
          <w:wBefore w:w="28" w:type="dxa"/>
          <w:cantSplit/>
        </w:trPr>
        <w:tc>
          <w:tcPr>
            <w:tcW w:w="2268" w:type="dxa"/>
            <w:gridSpan w:val="2"/>
          </w:tcPr>
          <w:p>
            <w:pPr>
              <w:pStyle w:val="nTable"/>
              <w:spacing w:after="40"/>
              <w:ind w:left="-28"/>
              <w:rPr>
                <w:iCs/>
                <w:snapToGrid w:val="0"/>
                <w:sz w:val="19"/>
              </w:rPr>
            </w:pPr>
            <w:r>
              <w:rPr>
                <w:i/>
                <w:iCs/>
                <w:snapToGrid w:val="0"/>
                <w:sz w:val="19"/>
              </w:rPr>
              <w:t>Public Sector Reform Act 2010</w:t>
            </w:r>
            <w:r>
              <w:rPr>
                <w:iCs/>
                <w:snapToGrid w:val="0"/>
                <w:sz w:val="19"/>
              </w:rPr>
              <w:t xml:space="preserve"> s. 89</w:t>
            </w:r>
          </w:p>
        </w:tc>
        <w:tc>
          <w:tcPr>
            <w:tcW w:w="1134" w:type="dxa"/>
            <w:gridSpan w:val="2"/>
          </w:tcPr>
          <w:p>
            <w:pPr>
              <w:pStyle w:val="nTable"/>
              <w:spacing w:after="40"/>
              <w:rPr>
                <w:snapToGrid w:val="0"/>
                <w:sz w:val="19"/>
              </w:rPr>
            </w:pPr>
            <w:r>
              <w:rPr>
                <w:snapToGrid w:val="0"/>
                <w:sz w:val="19"/>
              </w:rPr>
              <w:t>39 of 2010</w:t>
            </w:r>
          </w:p>
        </w:tc>
        <w:tc>
          <w:tcPr>
            <w:tcW w:w="1134" w:type="dxa"/>
            <w:gridSpan w:val="2"/>
          </w:tcPr>
          <w:p>
            <w:pPr>
              <w:pStyle w:val="nTable"/>
              <w:spacing w:after="40"/>
              <w:rPr>
                <w:snapToGrid w:val="0"/>
                <w:sz w:val="19"/>
              </w:rPr>
            </w:pPr>
            <w:r>
              <w:rPr>
                <w:snapToGrid w:val="0"/>
                <w:sz w:val="19"/>
              </w:rPr>
              <w:t>1 Oct 2010</w:t>
            </w:r>
          </w:p>
        </w:tc>
        <w:tc>
          <w:tcPr>
            <w:tcW w:w="2552" w:type="dxa"/>
            <w:gridSpan w:val="2"/>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gridBefore w:val="1"/>
          <w:wBefore w:w="28" w:type="dxa"/>
          <w:cantSplit/>
        </w:trPr>
        <w:tc>
          <w:tcPr>
            <w:tcW w:w="7088" w:type="dxa"/>
            <w:gridSpan w:val="8"/>
            <w:tcBorders>
              <w:bottom w:val="single" w:sz="8" w:space="0" w:color="auto"/>
            </w:tcBorders>
          </w:tcPr>
          <w:p>
            <w:pPr>
              <w:pStyle w:val="nTable"/>
              <w:spacing w:after="40"/>
              <w:rPr>
                <w:snapToGrid w:val="0"/>
                <w:sz w:val="19"/>
              </w:rPr>
            </w:pPr>
            <w:r>
              <w:rPr>
                <w:b/>
                <w:sz w:val="19"/>
              </w:rPr>
              <w:t xml:space="preserve">Reprint 2: The </w:t>
            </w:r>
            <w:r>
              <w:rPr>
                <w:b/>
                <w:i/>
                <w:sz w:val="19"/>
              </w:rPr>
              <w:t xml:space="preserve">Health Legislation Administration Act 1984 </w:t>
            </w:r>
            <w:r>
              <w:rPr>
                <w:b/>
                <w:sz w:val="19"/>
              </w:rPr>
              <w:t xml:space="preserve">as at 18 Mar 2011 </w:t>
            </w:r>
            <w:r>
              <w:rPr>
                <w:sz w:val="19"/>
              </w:rPr>
              <w:t>(includes amendments listed above)</w:t>
            </w:r>
          </w:p>
        </w:tc>
      </w:tr>
    </w:tbl>
    <w:p>
      <w:pPr>
        <w:pStyle w:val="nSubsection"/>
        <w:spacing w:before="60"/>
      </w:pPr>
      <w:r>
        <w:rPr>
          <w:vertAlign w:val="superscript"/>
        </w:rPr>
        <w:t>2</w:t>
      </w:r>
      <w:r>
        <w:tab/>
        <w:t xml:space="preserve">Formerly referred to the </w:t>
      </w:r>
      <w:r>
        <w:rPr>
          <w:i/>
        </w:rPr>
        <w:t>Industrial Arbitration Act 1979,</w:t>
      </w:r>
      <w:r>
        <w:t xml:space="preserve"> the short title of which was changed to the </w:t>
      </w:r>
      <w:r>
        <w:rPr>
          <w:i/>
        </w:rPr>
        <w:t>Industrial Relations Act 1979</w:t>
      </w:r>
      <w:r>
        <w:t xml:space="preserve"> by the </w:t>
      </w:r>
      <w:r>
        <w:rPr>
          <w:i/>
        </w:rPr>
        <w:t>Acts Amendment and Repeal (Industrial Relations) Act (No. 2) 1984</w:t>
      </w:r>
      <w:r>
        <w:t xml:space="preserve">. The reference was amended under the </w:t>
      </w:r>
      <w:r>
        <w:rPr>
          <w:i/>
        </w:rPr>
        <w:t>Reprints Act 1984</w:t>
      </w:r>
      <w:r>
        <w:t xml:space="preserve"> s. 7(3)(gb).</w:t>
      </w:r>
    </w:p>
    <w:p>
      <w:pPr>
        <w:pStyle w:val="nSubsection"/>
        <w:spacing w:before="60"/>
      </w:pPr>
      <w:r>
        <w:rPr>
          <w:vertAlign w:val="superscript"/>
        </w:rPr>
        <w:t>3</w:t>
      </w:r>
      <w:r>
        <w:tab/>
        <w:t xml:space="preserve">Repealed by the </w:t>
      </w:r>
      <w:r>
        <w:rPr>
          <w:i/>
        </w:rPr>
        <w:t>Acts Amendment and Repeal (Industrial Relations) Act (No. 2) 1984</w:t>
      </w:r>
      <w:r>
        <w:t>.</w:t>
      </w:r>
    </w:p>
    <w:p>
      <w:pPr>
        <w:pStyle w:val="nSubsection"/>
        <w:spacing w:before="60"/>
      </w:pPr>
      <w:r>
        <w:rPr>
          <w:vertAlign w:val="superscript"/>
        </w:rPr>
        <w:t>4</w:t>
      </w:r>
      <w:r>
        <w:tab/>
        <w:t xml:space="preserve">The </w:t>
      </w:r>
      <w:r>
        <w:rPr>
          <w:i/>
        </w:rPr>
        <w:t>Mental Health (Consequential Provisions) Act 1996</w:t>
      </w:r>
      <w:r>
        <w:t xml:space="preserve"> s. 38(2) is a transitional provision of no further effect.</w:t>
      </w:r>
    </w:p>
    <w:p>
      <w:pPr>
        <w:pStyle w:val="nSubsection"/>
        <w:spacing w:before="60"/>
      </w:pPr>
      <w:r>
        <w:rPr>
          <w:vertAlign w:val="superscript"/>
        </w:rPr>
        <w:t>5</w:t>
      </w:r>
      <w:r>
        <w:tab/>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nSubsection"/>
        <w:spacing w:before="200"/>
      </w:pPr>
      <w:r>
        <w:rPr>
          <w:snapToGrid w:val="0"/>
          <w:vertAlign w:val="superscript"/>
        </w:rPr>
        <w:t>6</w:t>
      </w:r>
      <w:r>
        <w:rPr>
          <w:snapToGrid w:val="0"/>
        </w:rPr>
        <w:tab/>
        <w:t xml:space="preserve">The requirement to appoint a Commissioner of Health was removed from the Act and references to the Commissioner of Health were replaced by references to the CEO, see the </w:t>
      </w:r>
      <w:r>
        <w:rPr>
          <w:i/>
          <w:iCs/>
          <w:snapToGrid w:val="0"/>
        </w:rPr>
        <w:t>Machinery of Government (Miscellaneous Amendments) Act 2006</w:t>
      </w:r>
      <w:r>
        <w:rPr>
          <w:snapToGrid w:val="0"/>
        </w:rPr>
        <w:t xml:space="preserve"> Pt. 9.  Section 454 of that Act is a general transitional provision that applies to references to the Commissioner in written laws.</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
      <w:pPr>
        <w:pStyle w:val="nHeading2"/>
        <w:rPr>
          <w:sz w:val="28"/>
        </w:rPr>
      </w:pPr>
      <w:bookmarkStart w:id="17" w:name="_Toc378751120"/>
      <w:r>
        <w:rPr>
          <w:sz w:val="28"/>
        </w:rPr>
        <w:t>Defined Terms</w:t>
      </w:r>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 w:name="DefinedTerms"/>
      <w:bookmarkEnd w:id="18"/>
      <w:r>
        <w:t>CEO</w:t>
      </w:r>
      <w:r>
        <w:tab/>
        <w:t>3</w:t>
      </w:r>
    </w:p>
    <w:p>
      <w:pPr>
        <w:pStyle w:val="DefinedTerms"/>
      </w:pPr>
      <w:r>
        <w:t>Department</w:t>
      </w:r>
      <w:r>
        <w:tab/>
        <w:t>3</w:t>
      </w:r>
    </w:p>
    <w:p>
      <w:pPr>
        <w:pStyle w:val="DefinedTerms"/>
      </w:pPr>
      <w:r>
        <w:t>prescribed officer</w:t>
      </w:r>
      <w:r>
        <w:tab/>
        <w:t>3</w:t>
      </w:r>
    </w:p>
    <w:p>
      <w:pPr>
        <w:pStyle w:val="DefinedTerms"/>
      </w:pPr>
      <w:r>
        <w:t>section</w:t>
      </w:r>
      <w:r>
        <w:tab/>
        <w:t>3</w:t>
      </w:r>
    </w:p>
    <w:p>
      <w:pPr>
        <w:pStyle w:val="DefinedTerms"/>
      </w:pPr>
      <w:r>
        <w:t>subsection</w:t>
      </w:r>
      <w:r>
        <w:tab/>
        <w:t>3</w:t>
      </w:r>
    </w:p>
    <w:p>
      <w:pPr>
        <w:pStyle w:val="DefinedTerms"/>
      </w:pPr>
    </w:p>
    <w:p>
      <w:pPr>
        <w:pStyle w:val="DefinedTerms"/>
      </w:pPr>
    </w:p>
    <w:p>
      <w:pPr>
        <w:pStyle w:val="DefinedTerms"/>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5"/>
      <w:headerReference w:type="default" r:id="rId36"/>
      <w:headerReference w:type="first" r:id="rId37"/>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Mar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Mar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Mar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Mar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Mar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Mar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Mar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Mar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Mar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Health Legislation Administration Act 1984</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Legislation Administration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9</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7</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FCD6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7209E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56FBA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A278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F24DA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C66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E465D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F3015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C48A9F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A236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3A06F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9583FB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058"/>
    <w:docVar w:name="WAFER_20140129091404" w:val="RemoveTocBookmarks,RemoveUnusedBookmarks,RemoveLanguageTags,UsedStyles,ResetPageSize,UpdateArrangement"/>
    <w:docVar w:name="WAFER_20140129091404_GUID" w:val="f1aeaf33-6703-4cfa-b33e-32ead9623958"/>
    <w:docVar w:name="WAFER_20140129091409" w:val="RemoveTocBookmarks,RunningHeaders"/>
    <w:docVar w:name="WAFER_20140129091409_GUID" w:val="e7351973-3197-45f4-ac4e-d759312be957"/>
    <w:docVar w:name="WAFER_20151211131058" w:val="RemoveTrackChanges"/>
    <w:docVar w:name="WAFER_20151211131058_GUID" w:val="75ba22f6-f6fa-43db-b875-a4fd0ca72a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8260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2317</Words>
  <Characters>10870</Characters>
  <Application>Microsoft Office Word</Application>
  <DocSecurity>0</DocSecurity>
  <Lines>362</Lines>
  <Paragraphs>212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Legislation Administration Act 1984 - 02-a0-04</dc:title>
  <dc:subject/>
  <dc:creator/>
  <cp:keywords/>
  <dc:description/>
  <cp:lastModifiedBy>svcMRProcess</cp:lastModifiedBy>
  <cp:revision>4</cp:revision>
  <cp:lastPrinted>2011-03-30T08:10:00Z</cp:lastPrinted>
  <dcterms:created xsi:type="dcterms:W3CDTF">2015-12-13T14:58:00Z</dcterms:created>
  <dcterms:modified xsi:type="dcterms:W3CDTF">2015-12-13T14:58:00Z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1984</vt:lpwstr>
  </property>
  <property fmtid="{D5CDD505-2E9C-101B-9397-08002B2CF9AE}" pid="3" name="CommencementDate">
    <vt:lpwstr>20110318</vt:lpwstr>
  </property>
  <property fmtid="{D5CDD505-2E9C-101B-9397-08002B2CF9AE}" pid="4" name="DocumentType">
    <vt:lpwstr>Act</vt:lpwstr>
  </property>
  <property fmtid="{D5CDD505-2E9C-101B-9397-08002B2CF9AE}" pid="5" name="OwlsUID">
    <vt:i4>344</vt:i4>
  </property>
  <property fmtid="{D5CDD505-2E9C-101B-9397-08002B2CF9AE}" pid="6" name="AsAtDate">
    <vt:lpwstr>18 Mar 2011</vt:lpwstr>
  </property>
  <property fmtid="{D5CDD505-2E9C-101B-9397-08002B2CF9AE}" pid="7" name="Suffix">
    <vt:lpwstr>02-a0-04</vt:lpwstr>
  </property>
  <property fmtid="{D5CDD505-2E9C-101B-9397-08002B2CF9AE}" pid="8" name="ReprintNo">
    <vt:lpwstr>2</vt:lpwstr>
  </property>
  <property fmtid="{D5CDD505-2E9C-101B-9397-08002B2CF9AE}" pid="9" name="ReprintedAsAt">
    <vt:filetime>2011-03-17T16:00:00Z</vt:filetime>
  </property>
</Properties>
</file>