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1C5" w:rsidRDefault="009B6C4F">
      <w:pPr>
        <w:pStyle w:val="WA"/>
      </w:pPr>
      <w:bookmarkStart w:id="0" w:name="_GoBack"/>
      <w:bookmarkEnd w:id="0"/>
      <w:r>
        <w:t>Western Australia</w:t>
      </w:r>
    </w:p>
    <w:p w:rsidR="007B01C5" w:rsidRDefault="009B6C4F">
      <w:pPr>
        <w:pStyle w:val="NameofActRegPage1"/>
        <w:spacing w:before="3760" w:after="4200"/>
      </w:pPr>
      <w:r>
        <w:fldChar w:fldCharType="begin"/>
      </w:r>
      <w:r>
        <w:instrText xml:space="preserve"> STYLEREF "Name Of Act/Reg"</w:instrText>
      </w:r>
      <w:r>
        <w:fldChar w:fldCharType="separate"/>
      </w:r>
      <w:r w:rsidR="0003750A">
        <w:rPr>
          <w:noProof/>
        </w:rPr>
        <w:t>Sports Drug Testing Act 2001</w:t>
      </w:r>
      <w:r>
        <w:fldChar w:fldCharType="end"/>
      </w:r>
    </w:p>
    <w:p w:rsidR="007B01C5" w:rsidRDefault="007B01C5">
      <w:pPr>
        <w:jc w:val="center"/>
        <w:rPr>
          <w:b/>
        </w:rPr>
        <w:sectPr w:rsidR="007B01C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B01C5" w:rsidRDefault="009B6C4F">
      <w:pPr>
        <w:pStyle w:val="WA"/>
      </w:pPr>
      <w:r>
        <w:lastRenderedPageBreak/>
        <w:t>Western Australia</w:t>
      </w:r>
    </w:p>
    <w:p w:rsidR="007B01C5" w:rsidRDefault="009B6C4F">
      <w:pPr>
        <w:pStyle w:val="NameofActRegPage1"/>
      </w:pPr>
      <w:r>
        <w:fldChar w:fldCharType="begin"/>
      </w:r>
      <w:r>
        <w:instrText xml:space="preserve"> STYLEREF "Name Of Act/Reg"</w:instrText>
      </w:r>
      <w:r>
        <w:fldChar w:fldCharType="separate"/>
      </w:r>
      <w:r w:rsidR="0003750A">
        <w:rPr>
          <w:noProof/>
        </w:rPr>
        <w:t>Sports Drug Testing Act 2001</w:t>
      </w:r>
      <w:r>
        <w:fldChar w:fldCharType="end"/>
      </w:r>
    </w:p>
    <w:p w:rsidR="007B01C5" w:rsidRDefault="009B6C4F">
      <w:pPr>
        <w:pStyle w:val="Arrangement"/>
      </w:pPr>
      <w:r>
        <w:t>CONTENTS</w:t>
      </w:r>
    </w:p>
    <w:p w:rsidR="007B01C5" w:rsidRDefault="009B6C4F">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_Toc534106489 \h </w:instrText>
      </w:r>
      <w:r>
        <w:rPr>
          <w:noProof/>
        </w:rPr>
      </w:r>
      <w:r>
        <w:rPr>
          <w:noProof/>
        </w:rPr>
        <w:fldChar w:fldCharType="separate"/>
      </w:r>
      <w:r w:rsidR="0003750A">
        <w:rPr>
          <w:noProof/>
        </w:rPr>
        <w:t>1</w:t>
      </w:r>
      <w:r>
        <w:rPr>
          <w:noProof/>
        </w:rPr>
        <w:fldChar w:fldCharType="end"/>
      </w:r>
    </w:p>
    <w:p w:rsidR="007B01C5" w:rsidRDefault="009B6C4F">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_Toc534106490 \h </w:instrText>
      </w:r>
      <w:r>
        <w:rPr>
          <w:noProof/>
        </w:rPr>
      </w:r>
      <w:r>
        <w:rPr>
          <w:noProof/>
        </w:rPr>
        <w:fldChar w:fldCharType="separate"/>
      </w:r>
      <w:r w:rsidR="0003750A">
        <w:rPr>
          <w:noProof/>
        </w:rPr>
        <w:t>1</w:t>
      </w:r>
      <w:r>
        <w:rPr>
          <w:noProof/>
        </w:rPr>
        <w:fldChar w:fldCharType="end"/>
      </w:r>
    </w:p>
    <w:p w:rsidR="007B01C5" w:rsidRDefault="009B6C4F">
      <w:pPr>
        <w:pStyle w:val="TOC4"/>
        <w:tabs>
          <w:tab w:val="left" w:pos="1701"/>
        </w:tabs>
        <w:rPr>
          <w:noProof/>
        </w:rPr>
      </w:pPr>
      <w:r>
        <w:rPr>
          <w:noProof/>
        </w:rPr>
        <w:t>3.</w:t>
      </w:r>
      <w:r>
        <w:rPr>
          <w:noProof/>
        </w:rPr>
        <w:tab/>
        <w:t>Interpretation</w:t>
      </w:r>
      <w:r>
        <w:rPr>
          <w:noProof/>
        </w:rPr>
        <w:tab/>
      </w:r>
      <w:r>
        <w:rPr>
          <w:noProof/>
        </w:rPr>
        <w:fldChar w:fldCharType="begin"/>
      </w:r>
      <w:r>
        <w:rPr>
          <w:noProof/>
        </w:rPr>
        <w:instrText xml:space="preserve"> PAGEREF _Toc534106491 \h </w:instrText>
      </w:r>
      <w:r>
        <w:rPr>
          <w:noProof/>
        </w:rPr>
      </w:r>
      <w:r>
        <w:rPr>
          <w:noProof/>
        </w:rPr>
        <w:fldChar w:fldCharType="separate"/>
      </w:r>
      <w:r w:rsidR="0003750A">
        <w:rPr>
          <w:noProof/>
        </w:rPr>
        <w:t>1</w:t>
      </w:r>
      <w:r>
        <w:rPr>
          <w:noProof/>
        </w:rPr>
        <w:fldChar w:fldCharType="end"/>
      </w:r>
    </w:p>
    <w:p w:rsidR="007B01C5" w:rsidRDefault="009B6C4F">
      <w:pPr>
        <w:pStyle w:val="TOC4"/>
        <w:tabs>
          <w:tab w:val="left" w:pos="1701"/>
        </w:tabs>
        <w:rPr>
          <w:noProof/>
        </w:rPr>
      </w:pPr>
      <w:r>
        <w:rPr>
          <w:noProof/>
        </w:rPr>
        <w:t>4.</w:t>
      </w:r>
      <w:r>
        <w:rPr>
          <w:noProof/>
        </w:rPr>
        <w:tab/>
        <w:t>Functions of ASDA and Administrative Appeals Tribunal</w:t>
      </w:r>
      <w:r>
        <w:rPr>
          <w:noProof/>
        </w:rPr>
        <w:tab/>
      </w:r>
      <w:r>
        <w:rPr>
          <w:noProof/>
        </w:rPr>
        <w:fldChar w:fldCharType="begin"/>
      </w:r>
      <w:r>
        <w:rPr>
          <w:noProof/>
        </w:rPr>
        <w:instrText xml:space="preserve"> PAGEREF _Toc534106492 \h </w:instrText>
      </w:r>
      <w:r>
        <w:rPr>
          <w:noProof/>
        </w:rPr>
      </w:r>
      <w:r>
        <w:rPr>
          <w:noProof/>
        </w:rPr>
        <w:fldChar w:fldCharType="separate"/>
      </w:r>
      <w:r w:rsidR="0003750A">
        <w:rPr>
          <w:noProof/>
        </w:rPr>
        <w:t>2</w:t>
      </w:r>
      <w:r>
        <w:rPr>
          <w:noProof/>
        </w:rPr>
        <w:fldChar w:fldCharType="end"/>
      </w:r>
    </w:p>
    <w:p w:rsidR="007B01C5" w:rsidRDefault="009B6C4F">
      <w:pPr>
        <w:pStyle w:val="TOC4"/>
        <w:tabs>
          <w:tab w:val="left" w:pos="1701"/>
        </w:tabs>
        <w:rPr>
          <w:noProof/>
        </w:rPr>
      </w:pPr>
      <w:r>
        <w:rPr>
          <w:noProof/>
        </w:rPr>
        <w:t>5.</w:t>
      </w:r>
      <w:r>
        <w:rPr>
          <w:noProof/>
        </w:rPr>
        <w:tab/>
        <w:t>Competitors under 18</w:t>
      </w:r>
      <w:r>
        <w:rPr>
          <w:noProof/>
        </w:rPr>
        <w:tab/>
      </w:r>
      <w:r>
        <w:rPr>
          <w:noProof/>
        </w:rPr>
        <w:fldChar w:fldCharType="begin"/>
      </w:r>
      <w:r>
        <w:rPr>
          <w:noProof/>
        </w:rPr>
        <w:instrText xml:space="preserve"> PAGEREF _Toc534106493 \h </w:instrText>
      </w:r>
      <w:r>
        <w:rPr>
          <w:noProof/>
        </w:rPr>
      </w:r>
      <w:r>
        <w:rPr>
          <w:noProof/>
        </w:rPr>
        <w:fldChar w:fldCharType="separate"/>
      </w:r>
      <w:r w:rsidR="0003750A">
        <w:rPr>
          <w:noProof/>
        </w:rPr>
        <w:t>3</w:t>
      </w:r>
      <w:r>
        <w:rPr>
          <w:noProof/>
        </w:rPr>
        <w:fldChar w:fldCharType="end"/>
      </w:r>
    </w:p>
    <w:p w:rsidR="007B01C5" w:rsidRDefault="009B6C4F">
      <w:pPr>
        <w:pStyle w:val="TOC4"/>
        <w:tabs>
          <w:tab w:val="left" w:pos="1701"/>
        </w:tabs>
        <w:rPr>
          <w:noProof/>
        </w:rPr>
      </w:pPr>
      <w:r>
        <w:rPr>
          <w:noProof/>
        </w:rPr>
        <w:t>6.</w:t>
      </w:r>
      <w:r>
        <w:rPr>
          <w:noProof/>
        </w:rPr>
        <w:tab/>
        <w:t>Agreement about performance of functions</w:t>
      </w:r>
      <w:r>
        <w:rPr>
          <w:noProof/>
        </w:rPr>
        <w:tab/>
      </w:r>
      <w:r>
        <w:rPr>
          <w:noProof/>
        </w:rPr>
        <w:fldChar w:fldCharType="begin"/>
      </w:r>
      <w:r>
        <w:rPr>
          <w:noProof/>
        </w:rPr>
        <w:instrText xml:space="preserve"> PAGEREF _Toc534106494 \h </w:instrText>
      </w:r>
      <w:r>
        <w:rPr>
          <w:noProof/>
        </w:rPr>
      </w:r>
      <w:r>
        <w:rPr>
          <w:noProof/>
        </w:rPr>
        <w:fldChar w:fldCharType="separate"/>
      </w:r>
      <w:r w:rsidR="0003750A">
        <w:rPr>
          <w:noProof/>
        </w:rPr>
        <w:t>3</w:t>
      </w:r>
      <w:r>
        <w:rPr>
          <w:noProof/>
        </w:rPr>
        <w:fldChar w:fldCharType="end"/>
      </w:r>
    </w:p>
    <w:p w:rsidR="007B01C5" w:rsidRDefault="009B6C4F">
      <w:pPr>
        <w:pStyle w:val="TOC4"/>
        <w:tabs>
          <w:tab w:val="left" w:pos="1701"/>
        </w:tabs>
        <w:rPr>
          <w:noProof/>
        </w:rPr>
      </w:pPr>
      <w:r>
        <w:rPr>
          <w:noProof/>
        </w:rPr>
        <w:t>7.</w:t>
      </w:r>
      <w:r>
        <w:rPr>
          <w:noProof/>
        </w:rPr>
        <w:tab/>
        <w:t>Regulations</w:t>
      </w:r>
      <w:r>
        <w:rPr>
          <w:noProof/>
        </w:rPr>
        <w:tab/>
      </w:r>
      <w:r>
        <w:rPr>
          <w:noProof/>
        </w:rPr>
        <w:fldChar w:fldCharType="begin"/>
      </w:r>
      <w:r>
        <w:rPr>
          <w:noProof/>
        </w:rPr>
        <w:instrText xml:space="preserve"> PAGEREF _Toc534106495 \h </w:instrText>
      </w:r>
      <w:r>
        <w:rPr>
          <w:noProof/>
        </w:rPr>
      </w:r>
      <w:r>
        <w:rPr>
          <w:noProof/>
        </w:rPr>
        <w:fldChar w:fldCharType="separate"/>
      </w:r>
      <w:r w:rsidR="0003750A">
        <w:rPr>
          <w:noProof/>
        </w:rPr>
        <w:t>4</w:t>
      </w:r>
      <w:r>
        <w:rPr>
          <w:noProof/>
        </w:rPr>
        <w:fldChar w:fldCharType="end"/>
      </w:r>
    </w:p>
    <w:p w:rsidR="007B01C5" w:rsidRDefault="009B6C4F">
      <w:pPr>
        <w:pStyle w:val="TOC2"/>
        <w:tabs>
          <w:tab w:val="right" w:leader="dot" w:pos="7086"/>
        </w:tabs>
        <w:rPr>
          <w:noProof/>
        </w:rPr>
      </w:pPr>
      <w:r>
        <w:rPr>
          <w:noProof/>
        </w:rPr>
        <w:t>Notes</w:t>
      </w:r>
    </w:p>
    <w:p w:rsidR="007B01C5" w:rsidRDefault="009B6C4F">
      <w:pPr>
        <w:pStyle w:val="TOC4"/>
        <w:rPr>
          <w:noProof/>
        </w:rPr>
      </w:pPr>
      <w:r>
        <w:rPr>
          <w:noProof/>
          <w:snapToGrid w:val="0"/>
        </w:rPr>
        <w:tab/>
        <w:t>Compilation table</w:t>
      </w:r>
      <w:r>
        <w:rPr>
          <w:noProof/>
        </w:rPr>
        <w:tab/>
      </w:r>
      <w:r>
        <w:rPr>
          <w:noProof/>
        </w:rPr>
        <w:fldChar w:fldCharType="begin"/>
      </w:r>
      <w:r>
        <w:rPr>
          <w:noProof/>
        </w:rPr>
        <w:instrText xml:space="preserve"> PAGEREF _Toc534106496 \h </w:instrText>
      </w:r>
      <w:r>
        <w:rPr>
          <w:noProof/>
        </w:rPr>
      </w:r>
      <w:r>
        <w:rPr>
          <w:noProof/>
        </w:rPr>
        <w:fldChar w:fldCharType="separate"/>
      </w:r>
      <w:r w:rsidR="0003750A">
        <w:rPr>
          <w:noProof/>
        </w:rPr>
        <w:t>5</w:t>
      </w:r>
      <w:r>
        <w:rPr>
          <w:noProof/>
        </w:rPr>
        <w:fldChar w:fldCharType="end"/>
      </w:r>
    </w:p>
    <w:p w:rsidR="007B01C5" w:rsidRDefault="009B6C4F">
      <w:pPr>
        <w:pStyle w:val="TOC2"/>
      </w:pPr>
      <w:r>
        <w:fldChar w:fldCharType="end"/>
      </w:r>
    </w:p>
    <w:p w:rsidR="007B01C5" w:rsidRDefault="009B6C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B01C5" w:rsidRDefault="007B01C5">
      <w:pPr>
        <w:pStyle w:val="NoteHeading"/>
        <w:sectPr w:rsidR="007B01C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B01C5" w:rsidRDefault="009B6C4F">
      <w:pPr>
        <w:pStyle w:val="WA"/>
      </w:pPr>
      <w:r>
        <w:t>Western Australia</w:t>
      </w:r>
    </w:p>
    <w:p w:rsidR="007B01C5" w:rsidRDefault="009B6C4F">
      <w:pPr>
        <w:pStyle w:val="NameofActReg"/>
        <w:suppressLineNumbers/>
        <w:spacing w:before="800" w:after="300"/>
      </w:pPr>
      <w:r>
        <w:t>Sports Drug Testing Act 2001</w:t>
      </w:r>
    </w:p>
    <w:p w:rsidR="007B01C5" w:rsidRDefault="009B6C4F">
      <w:pPr>
        <w:pStyle w:val="LongTitle"/>
        <w:suppressLineNumbers/>
      </w:pPr>
      <w:bookmarkStart w:id="1" w:name="BillCited"/>
      <w:bookmarkEnd w:id="1"/>
      <w:r>
        <w:rPr>
          <w:snapToGrid w:val="0"/>
        </w:rPr>
        <w:t>An Act to provide for drug testing of persons representing Western Australia in sport and certain other persons participating in sport in Western Australia, and for related purposes</w:t>
      </w:r>
      <w:r>
        <w:t>.</w:t>
      </w:r>
    </w:p>
    <w:p w:rsidR="007B01C5" w:rsidRDefault="009B6C4F">
      <w:pPr>
        <w:pStyle w:val="Heading5"/>
        <w:rPr>
          <w:snapToGrid w:val="0"/>
        </w:rPr>
      </w:pPr>
      <w:bookmarkStart w:id="2" w:name="_Toc479483705"/>
      <w:bookmarkStart w:id="3" w:name="_Toc479995216"/>
      <w:bookmarkStart w:id="4" w:name="_Toc492786470"/>
      <w:bookmarkStart w:id="5" w:name="_Toc527181863"/>
      <w:bookmarkStart w:id="6" w:name="_Toc534106174"/>
      <w:bookmarkStart w:id="7" w:name="_Toc534106489"/>
      <w:r>
        <w:rPr>
          <w:rStyle w:val="CharSectno"/>
        </w:rPr>
        <w:t>1</w:t>
      </w:r>
      <w:r>
        <w:rPr>
          <w:snapToGrid w:val="0"/>
        </w:rPr>
        <w:t>.</w:t>
      </w:r>
      <w:r>
        <w:rPr>
          <w:snapToGrid w:val="0"/>
        </w:rPr>
        <w:tab/>
        <w:t>Short title</w:t>
      </w:r>
      <w:bookmarkEnd w:id="2"/>
      <w:bookmarkEnd w:id="3"/>
      <w:bookmarkEnd w:id="4"/>
      <w:bookmarkEnd w:id="5"/>
      <w:bookmarkEnd w:id="6"/>
      <w:bookmarkEnd w:id="7"/>
    </w:p>
    <w:p w:rsidR="007B01C5" w:rsidRDefault="009B6C4F">
      <w:pPr>
        <w:pStyle w:val="Subsection"/>
        <w:rPr>
          <w:snapToGrid w:val="0"/>
        </w:rPr>
      </w:pPr>
      <w:r>
        <w:rPr>
          <w:snapToGrid w:val="0"/>
        </w:rPr>
        <w:tab/>
      </w:r>
      <w:r>
        <w:rPr>
          <w:snapToGrid w:val="0"/>
        </w:rPr>
        <w:tab/>
        <w:t>This Act may be cited as the</w:t>
      </w:r>
      <w:r>
        <w:rPr>
          <w:i/>
          <w:snapToGrid w:val="0"/>
        </w:rPr>
        <w:t xml:space="preserve"> Sports Drug Testing Act 2001</w:t>
      </w:r>
      <w:r>
        <w:rPr>
          <w:snapToGrid w:val="0"/>
        </w:rPr>
        <w:t xml:space="preserve">. </w:t>
      </w:r>
    </w:p>
    <w:p w:rsidR="007B01C5" w:rsidRDefault="009B6C4F">
      <w:pPr>
        <w:pStyle w:val="Heading5"/>
        <w:rPr>
          <w:snapToGrid w:val="0"/>
        </w:rPr>
      </w:pPr>
      <w:bookmarkStart w:id="8" w:name="Start_Cursor"/>
      <w:bookmarkStart w:id="9" w:name="_Toc479483706"/>
      <w:bookmarkStart w:id="10" w:name="_Toc479995217"/>
      <w:bookmarkStart w:id="11" w:name="_Toc492786471"/>
      <w:bookmarkStart w:id="12" w:name="_Toc527181864"/>
      <w:bookmarkStart w:id="13" w:name="_Toc534106175"/>
      <w:bookmarkStart w:id="14" w:name="_Toc534106490"/>
      <w:bookmarkEnd w:id="8"/>
      <w:r>
        <w:rPr>
          <w:rStyle w:val="CharSectno"/>
        </w:rPr>
        <w:t>2</w:t>
      </w:r>
      <w:r>
        <w:rPr>
          <w:snapToGrid w:val="0"/>
        </w:rPr>
        <w:t>.</w:t>
      </w:r>
      <w:r>
        <w:rPr>
          <w:snapToGrid w:val="0"/>
        </w:rPr>
        <w:tab/>
        <w:t>Commencement</w:t>
      </w:r>
      <w:bookmarkEnd w:id="9"/>
      <w:bookmarkEnd w:id="10"/>
      <w:bookmarkEnd w:id="11"/>
      <w:bookmarkEnd w:id="12"/>
      <w:bookmarkEnd w:id="13"/>
      <w:bookmarkEnd w:id="14"/>
    </w:p>
    <w:p w:rsidR="007B01C5" w:rsidRDefault="009B6C4F">
      <w:pPr>
        <w:pStyle w:val="Subsection"/>
      </w:pPr>
      <w:r>
        <w:tab/>
      </w:r>
      <w:r>
        <w:tab/>
        <w:t>This Act comes into operation on a day fixed by proclamation.</w:t>
      </w:r>
    </w:p>
    <w:p w:rsidR="007B01C5" w:rsidRDefault="009B6C4F">
      <w:pPr>
        <w:pStyle w:val="Heading5"/>
      </w:pPr>
      <w:bookmarkStart w:id="15" w:name="_Toc534106176"/>
      <w:bookmarkStart w:id="16" w:name="_Toc534106491"/>
      <w:r>
        <w:rPr>
          <w:rStyle w:val="CharSectno"/>
        </w:rPr>
        <w:t>3</w:t>
      </w:r>
      <w:r>
        <w:t>.</w:t>
      </w:r>
      <w:r>
        <w:tab/>
        <w:t>Interpretation</w:t>
      </w:r>
      <w:bookmarkEnd w:id="15"/>
      <w:bookmarkEnd w:id="16"/>
    </w:p>
    <w:p w:rsidR="007B01C5" w:rsidRDefault="009B6C4F">
      <w:pPr>
        <w:pStyle w:val="Subsection"/>
      </w:pPr>
      <w:r>
        <w:tab/>
      </w:r>
      <w:r>
        <w:tab/>
        <w:t>In this Act —</w:t>
      </w:r>
    </w:p>
    <w:p w:rsidR="007B01C5" w:rsidRDefault="009B6C4F">
      <w:pPr>
        <w:pStyle w:val="Defstart"/>
      </w:pPr>
      <w:r>
        <w:tab/>
      </w:r>
      <w:r>
        <w:rPr>
          <w:rStyle w:val="CharDefText"/>
        </w:rPr>
        <w:t>ASDA</w:t>
      </w:r>
      <w:r>
        <w:t xml:space="preserve"> means the Australian Sports Drug Agency established by the Commonwealth Act; </w:t>
      </w:r>
    </w:p>
    <w:p w:rsidR="007B01C5" w:rsidRDefault="009B6C4F">
      <w:pPr>
        <w:pStyle w:val="Defstart"/>
      </w:pPr>
      <w:r>
        <w:tab/>
      </w:r>
      <w:r>
        <w:rPr>
          <w:rStyle w:val="CharDefText"/>
        </w:rPr>
        <w:t>Australian competitor</w:t>
      </w:r>
      <w:r>
        <w:t xml:space="preserve"> means a person who is a competitor within the meaning of the Commonwealth Act; </w:t>
      </w:r>
    </w:p>
    <w:p w:rsidR="007B01C5" w:rsidRDefault="009B6C4F">
      <w:pPr>
        <w:pStyle w:val="Defstart"/>
      </w:pPr>
      <w:r>
        <w:tab/>
      </w:r>
      <w:r>
        <w:rPr>
          <w:rStyle w:val="CharDefText"/>
        </w:rPr>
        <w:t>Commonwealth Act</w:t>
      </w:r>
      <w:r>
        <w:t xml:space="preserve"> means the </w:t>
      </w:r>
      <w:r>
        <w:rPr>
          <w:i/>
        </w:rPr>
        <w:t>Australian Sports Drug Agency Act 1990</w:t>
      </w:r>
      <w:r>
        <w:t xml:space="preserve"> of the Commonwealth; </w:t>
      </w:r>
    </w:p>
    <w:p w:rsidR="007B01C5" w:rsidRDefault="009B6C4F">
      <w:pPr>
        <w:pStyle w:val="Defstart"/>
      </w:pPr>
      <w:r>
        <w:tab/>
      </w:r>
      <w:r>
        <w:rPr>
          <w:rStyle w:val="CharDefText"/>
        </w:rPr>
        <w:t>sample</w:t>
      </w:r>
      <w:r>
        <w:t xml:space="preserve"> has the same meaning as it has in the Commonwealth Act;</w:t>
      </w:r>
    </w:p>
    <w:p w:rsidR="007B01C5" w:rsidRDefault="009B6C4F">
      <w:pPr>
        <w:pStyle w:val="Defstart"/>
      </w:pPr>
      <w:r>
        <w:tab/>
      </w:r>
      <w:r>
        <w:rPr>
          <w:rStyle w:val="CharDefText"/>
        </w:rPr>
        <w:t>sporting competition</w:t>
      </w:r>
      <w:r>
        <w:t xml:space="preserve"> has the same meaning as it has in the Commonwealth Act; </w:t>
      </w:r>
    </w:p>
    <w:p w:rsidR="007B01C5" w:rsidRDefault="009B6C4F">
      <w:pPr>
        <w:pStyle w:val="Defstart"/>
      </w:pPr>
      <w:r>
        <w:tab/>
      </w:r>
      <w:r>
        <w:rPr>
          <w:rStyle w:val="CharDefText"/>
        </w:rPr>
        <w:t>WA competitor</w:t>
      </w:r>
      <w:r>
        <w:t xml:space="preserve"> means a person, other than an Australian competitor, who —</w:t>
      </w:r>
    </w:p>
    <w:p w:rsidR="007B01C5" w:rsidRDefault="009B6C4F">
      <w:pPr>
        <w:pStyle w:val="Defpara"/>
      </w:pPr>
      <w:r>
        <w:tab/>
        <w:t>(a)</w:t>
      </w:r>
      <w:r>
        <w:tab/>
        <w:t xml:space="preserve">represents, is selected to represent, or purports to represent, Western Australia in sporting competition, whether as an individual or as part of a team; </w:t>
      </w:r>
    </w:p>
    <w:p w:rsidR="007B01C5" w:rsidRDefault="009B6C4F">
      <w:pPr>
        <w:pStyle w:val="Defpara"/>
      </w:pPr>
      <w:r>
        <w:tab/>
        <w:t>(b)</w:t>
      </w:r>
      <w:r>
        <w:tab/>
        <w:t>is in a squad formed for the purpose of selecting a person or team to represent Western Australia in sporting competition;</w:t>
      </w:r>
    </w:p>
    <w:p w:rsidR="007B01C5" w:rsidRDefault="009B6C4F">
      <w:pPr>
        <w:pStyle w:val="Defpara"/>
      </w:pPr>
      <w:r>
        <w:tab/>
        <w:t>(c)</w:t>
      </w:r>
      <w:r>
        <w:tab/>
        <w:t>who receives support (as defined in the Commonwealth Act) from the Government for the purposes of enabling or assisting the person to participate in, or train for participation in, sporting competition; or</w:t>
      </w:r>
    </w:p>
    <w:p w:rsidR="007B01C5" w:rsidRDefault="009B6C4F">
      <w:pPr>
        <w:pStyle w:val="Defpara"/>
      </w:pPr>
      <w:r>
        <w:tab/>
        <w:t>(d)</w:t>
      </w:r>
      <w:r>
        <w:tab/>
        <w:t xml:space="preserve">whose name is entered on a register under the Commonwealth Act. </w:t>
      </w:r>
    </w:p>
    <w:p w:rsidR="007B01C5" w:rsidRDefault="009B6C4F">
      <w:pPr>
        <w:pStyle w:val="Heading5"/>
      </w:pPr>
      <w:bookmarkStart w:id="17" w:name="_Toc534106177"/>
      <w:bookmarkStart w:id="18" w:name="_Toc534106492"/>
      <w:r>
        <w:rPr>
          <w:rStyle w:val="CharSectno"/>
        </w:rPr>
        <w:t>4</w:t>
      </w:r>
      <w:r>
        <w:t>.</w:t>
      </w:r>
      <w:r>
        <w:tab/>
        <w:t>Functions of ASDA and Administrative Appeals Tribunal</w:t>
      </w:r>
      <w:bookmarkEnd w:id="17"/>
      <w:bookmarkEnd w:id="18"/>
      <w:r>
        <w:t xml:space="preserve"> </w:t>
      </w:r>
    </w:p>
    <w:p w:rsidR="007B01C5" w:rsidRDefault="009B6C4F">
      <w:pPr>
        <w:pStyle w:val="Subsection"/>
      </w:pPr>
      <w:r>
        <w:tab/>
        <w:t>(1)</w:t>
      </w:r>
      <w:r>
        <w:tab/>
        <w:t>ASDA has the same functions in relation to WA competitors as are conferred on it by the Commonwealth Act in relation to Australian competitors.</w:t>
      </w:r>
    </w:p>
    <w:p w:rsidR="007B01C5" w:rsidRDefault="009B6C4F">
      <w:pPr>
        <w:pStyle w:val="Subsection"/>
      </w:pPr>
      <w:r>
        <w:tab/>
        <w:t>(2)</w:t>
      </w:r>
      <w:r>
        <w:tab/>
        <w:t>Without limiting subsection (1) it is a function of ASDA to disseminate information about the use of drugs in sport including —</w:t>
      </w:r>
    </w:p>
    <w:p w:rsidR="007B01C5" w:rsidRDefault="009B6C4F">
      <w:pPr>
        <w:pStyle w:val="Indenta"/>
      </w:pPr>
      <w:r>
        <w:tab/>
        <w:t>(a)</w:t>
      </w:r>
      <w:r>
        <w:tab/>
        <w:t xml:space="preserve">the possibility of WA competitors being requested to provide samples for testing and the procedures involved in providing and testing samples; and </w:t>
      </w:r>
    </w:p>
    <w:p w:rsidR="007B01C5" w:rsidRDefault="009B6C4F">
      <w:pPr>
        <w:pStyle w:val="Indenta"/>
      </w:pPr>
      <w:r>
        <w:tab/>
        <w:t>(b)</w:t>
      </w:r>
      <w:r>
        <w:tab/>
        <w:t>the likely consequences for WA competitors who fail to comply with requests to provide samples or who record positive test results.</w:t>
      </w:r>
    </w:p>
    <w:p w:rsidR="007B01C5" w:rsidRDefault="009B6C4F">
      <w:pPr>
        <w:pStyle w:val="Subsection"/>
      </w:pPr>
      <w:r>
        <w:tab/>
        <w:t>(3)</w:t>
      </w:r>
      <w:r>
        <w:tab/>
        <w:t xml:space="preserve">The Administrative Appeals Tribunal, and members and officers of that tribunal, have the same functions in relation to WA competitors as they have under the Commonwealth Act in relation to Australian competitors. </w:t>
      </w:r>
    </w:p>
    <w:p w:rsidR="007B01C5" w:rsidRDefault="009B6C4F">
      <w:pPr>
        <w:pStyle w:val="Subsection"/>
      </w:pPr>
      <w:r>
        <w:tab/>
        <w:t>(4)</w:t>
      </w:r>
      <w:r>
        <w:tab/>
        <w:t>For the purposes of this section the Commonwealth Act is to be read as if —</w:t>
      </w:r>
    </w:p>
    <w:p w:rsidR="007B01C5" w:rsidRDefault="009B6C4F">
      <w:pPr>
        <w:pStyle w:val="Indenta"/>
      </w:pPr>
      <w:r>
        <w:tab/>
        <w:t>(a)</w:t>
      </w:r>
      <w:r>
        <w:tab/>
        <w:t>references to a competitor or an Australian competitor were references to a WA competitor;</w:t>
      </w:r>
    </w:p>
    <w:p w:rsidR="007B01C5" w:rsidRDefault="009B6C4F">
      <w:pPr>
        <w:pStyle w:val="Indenta"/>
      </w:pPr>
      <w:r>
        <w:tab/>
        <w:t>(b)</w:t>
      </w:r>
      <w:r>
        <w:tab/>
        <w:t>references to international sporting competition were references to national sporting competition;</w:t>
      </w:r>
    </w:p>
    <w:p w:rsidR="007B01C5" w:rsidRDefault="009B6C4F">
      <w:pPr>
        <w:pStyle w:val="Indenta"/>
      </w:pPr>
      <w:r>
        <w:tab/>
        <w:t>(c)</w:t>
      </w:r>
      <w:r>
        <w:tab/>
        <w:t xml:space="preserve">references to representing Australia were references to representing Western Australia; </w:t>
      </w:r>
    </w:p>
    <w:p w:rsidR="007B01C5" w:rsidRDefault="009B6C4F">
      <w:pPr>
        <w:pStyle w:val="Indenta"/>
      </w:pPr>
      <w:r>
        <w:tab/>
        <w:t>(d)</w:t>
      </w:r>
      <w:r>
        <w:tab/>
        <w:t xml:space="preserve">references to a national team were references to a Western Australian team; </w:t>
      </w:r>
    </w:p>
    <w:p w:rsidR="007B01C5" w:rsidRDefault="009B6C4F">
      <w:pPr>
        <w:pStyle w:val="Indenta"/>
      </w:pPr>
      <w:r>
        <w:tab/>
        <w:t>(e)</w:t>
      </w:r>
      <w:r>
        <w:tab/>
        <w:t>references to something occurring within and outside Australia were references to it occurring within or outside Western Australia; and</w:t>
      </w:r>
    </w:p>
    <w:p w:rsidR="007B01C5" w:rsidRDefault="009B6C4F">
      <w:pPr>
        <w:pStyle w:val="Indenta"/>
      </w:pPr>
      <w:r>
        <w:tab/>
        <w:t>(f)</w:t>
      </w:r>
      <w:r>
        <w:tab/>
        <w:t>any prescribed changes, and any other necessary changes, had been made.</w:t>
      </w:r>
    </w:p>
    <w:p w:rsidR="007B01C5" w:rsidRDefault="009B6C4F">
      <w:pPr>
        <w:pStyle w:val="Heading5"/>
      </w:pPr>
      <w:bookmarkStart w:id="19" w:name="_Toc534106178"/>
      <w:bookmarkStart w:id="20" w:name="_Toc534106493"/>
      <w:r>
        <w:rPr>
          <w:rStyle w:val="CharSectno"/>
        </w:rPr>
        <w:t>5</w:t>
      </w:r>
      <w:r>
        <w:t>.</w:t>
      </w:r>
      <w:r>
        <w:tab/>
        <w:t>Competitors under 18</w:t>
      </w:r>
      <w:bookmarkEnd w:id="19"/>
      <w:bookmarkEnd w:id="20"/>
    </w:p>
    <w:p w:rsidR="007B01C5" w:rsidRDefault="009B6C4F">
      <w:pPr>
        <w:pStyle w:val="Subsection"/>
      </w:pPr>
      <w:r>
        <w:tab/>
        <w:t>(1)</w:t>
      </w:r>
      <w:r>
        <w:tab/>
        <w:t xml:space="preserve">Despite section 4, ASDA must not request a WA competitor who is under 18 to provide a sample unless it has first obtained the written consent of the competitor’s parent or guardian. </w:t>
      </w:r>
    </w:p>
    <w:p w:rsidR="007B01C5" w:rsidRDefault="009B6C4F">
      <w:pPr>
        <w:pStyle w:val="Subsection"/>
      </w:pPr>
      <w:r>
        <w:tab/>
        <w:t>(2)</w:t>
      </w:r>
      <w:r>
        <w:tab/>
        <w:t>A refusal by the parent or guardian to give consent —</w:t>
      </w:r>
    </w:p>
    <w:p w:rsidR="007B01C5" w:rsidRDefault="009B6C4F">
      <w:pPr>
        <w:pStyle w:val="Indenta"/>
      </w:pPr>
      <w:r>
        <w:tab/>
        <w:t>(a)</w:t>
      </w:r>
      <w:r>
        <w:tab/>
        <w:t xml:space="preserve">is not a failure by the competitor to provide a sample; and </w:t>
      </w:r>
    </w:p>
    <w:p w:rsidR="007B01C5" w:rsidRDefault="009B6C4F">
      <w:pPr>
        <w:pStyle w:val="Indenta"/>
      </w:pPr>
      <w:r>
        <w:tab/>
        <w:t>(b)</w:t>
      </w:r>
      <w:r>
        <w:tab/>
        <w:t>is not grounds on which the competitor’s name may be entered on a register under the Commonwealth Act.</w:t>
      </w:r>
    </w:p>
    <w:p w:rsidR="007B01C5" w:rsidRDefault="009B6C4F">
      <w:pPr>
        <w:pStyle w:val="Subsection"/>
      </w:pPr>
      <w:r>
        <w:tab/>
        <w:t>(3)</w:t>
      </w:r>
      <w:r>
        <w:tab/>
        <w:t>A consent for the purposes of this section may be given, or refused, either generally or in relation to a particular request.</w:t>
      </w:r>
    </w:p>
    <w:p w:rsidR="007B01C5" w:rsidRDefault="009B6C4F">
      <w:pPr>
        <w:pStyle w:val="Heading5"/>
      </w:pPr>
      <w:bookmarkStart w:id="21" w:name="_Toc534106179"/>
      <w:bookmarkStart w:id="22" w:name="_Toc534106494"/>
      <w:r>
        <w:rPr>
          <w:rStyle w:val="CharSectno"/>
        </w:rPr>
        <w:t>6</w:t>
      </w:r>
      <w:r>
        <w:t>.</w:t>
      </w:r>
      <w:r>
        <w:tab/>
        <w:t>Agreement about performance of functions</w:t>
      </w:r>
      <w:bookmarkEnd w:id="21"/>
      <w:bookmarkEnd w:id="22"/>
    </w:p>
    <w:p w:rsidR="007B01C5" w:rsidRDefault="009B6C4F">
      <w:pPr>
        <w:pStyle w:val="Subsection"/>
      </w:pPr>
      <w:r>
        <w:tab/>
        <w:t>(1)</w:t>
      </w:r>
      <w:r>
        <w:tab/>
        <w:t>Despite section 4, ASDA must not exercise any functions conferred by this Act unless there is in force an agreement between ASDA and the Minister about the performance of those functions.</w:t>
      </w:r>
    </w:p>
    <w:p w:rsidR="007B01C5" w:rsidRDefault="009B6C4F">
      <w:pPr>
        <w:pStyle w:val="Subsection"/>
      </w:pPr>
      <w:r>
        <w:tab/>
        <w:t>(2)</w:t>
      </w:r>
      <w:r>
        <w:tab/>
        <w:t>An agreement between the Minister and ASDA may require ASDA to perform those functions in the manner, or subject to the conditions, provided in the agreement.</w:t>
      </w:r>
    </w:p>
    <w:p w:rsidR="007B01C5" w:rsidRDefault="009B6C4F">
      <w:pPr>
        <w:pStyle w:val="Heading5"/>
      </w:pPr>
      <w:bookmarkStart w:id="23" w:name="_Toc534106180"/>
      <w:bookmarkStart w:id="24" w:name="_Toc534106495"/>
      <w:r>
        <w:rPr>
          <w:rStyle w:val="CharSectno"/>
        </w:rPr>
        <w:t>7</w:t>
      </w:r>
      <w:r>
        <w:t>.</w:t>
      </w:r>
      <w:r>
        <w:tab/>
        <w:t>Regulations</w:t>
      </w:r>
      <w:bookmarkEnd w:id="23"/>
      <w:bookmarkEnd w:id="24"/>
    </w:p>
    <w:p w:rsidR="007B01C5" w:rsidRDefault="009B6C4F">
      <w:pPr>
        <w:pStyle w:val="Subsection"/>
        <w:rPr>
          <w:rStyle w:val="CharDivText"/>
        </w:rPr>
      </w:pPr>
      <w:r>
        <w:tab/>
      </w:r>
      <w:r>
        <w:tab/>
        <w:t>The Governor may make regulations prescribing all matters that are required or permitted by this Act to be prescribed, or are necessary or convenient to be prescribed, for giving effect to the purposes of this Act.</w:t>
      </w:r>
    </w:p>
    <w:p w:rsidR="007B01C5" w:rsidRDefault="007B01C5">
      <w:pPr>
        <w:rPr>
          <w:rStyle w:val="CharDivText"/>
        </w:rPr>
        <w:sectPr w:rsidR="007B01C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B01C5" w:rsidRDefault="009B6C4F">
      <w:pPr>
        <w:pStyle w:val="nHeading2"/>
      </w:pPr>
      <w:r>
        <w:t>Notes</w:t>
      </w:r>
    </w:p>
    <w:p w:rsidR="007B01C5" w:rsidRDefault="009B6C4F">
      <w:pPr>
        <w:pStyle w:val="nSubsection"/>
        <w:rPr>
          <w:snapToGrid w:val="0"/>
        </w:rPr>
      </w:pPr>
      <w:r>
        <w:rPr>
          <w:snapToGrid w:val="0"/>
          <w:vertAlign w:val="superscript"/>
        </w:rPr>
        <w:t>1</w:t>
      </w:r>
      <w:r>
        <w:rPr>
          <w:snapToGrid w:val="0"/>
        </w:rPr>
        <w:tab/>
        <w:t>This is a compilation of the</w:t>
      </w:r>
      <w:r>
        <w:rPr>
          <w:i/>
          <w:snapToGrid w:val="0"/>
        </w:rPr>
        <w:t xml:space="preserve"> Sports Drug Testing Act 2001</w:t>
      </w:r>
      <w:r>
        <w:rPr>
          <w:snapToGrid w:val="0"/>
        </w:rPr>
        <w:t>.  The following table contains information about that Act.</w:t>
      </w:r>
    </w:p>
    <w:p w:rsidR="007B01C5" w:rsidRDefault="009B6C4F">
      <w:pPr>
        <w:pStyle w:val="nHeading3"/>
        <w:rPr>
          <w:snapToGrid w:val="0"/>
        </w:rPr>
      </w:pPr>
      <w:bookmarkStart w:id="25" w:name="_Toc512403484"/>
      <w:bookmarkStart w:id="26" w:name="_Toc513954704"/>
      <w:bookmarkStart w:id="27" w:name="_Toc534106181"/>
      <w:bookmarkStart w:id="28" w:name="_Toc534106496"/>
      <w:r>
        <w:rPr>
          <w:snapToGrid w:val="0"/>
        </w:rPr>
        <w:t>Compilation table</w:t>
      </w:r>
      <w:bookmarkEnd w:id="25"/>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B01C5">
        <w:trPr>
          <w:tblHeader/>
        </w:trPr>
        <w:tc>
          <w:tcPr>
            <w:tcW w:w="2268" w:type="dxa"/>
            <w:tcBorders>
              <w:top w:val="single" w:sz="4" w:space="0" w:color="auto"/>
            </w:tcBorders>
          </w:tcPr>
          <w:p w:rsidR="007B01C5" w:rsidRDefault="009B6C4F">
            <w:pPr>
              <w:pStyle w:val="nTable"/>
              <w:rPr>
                <w:b/>
              </w:rPr>
            </w:pPr>
            <w:r>
              <w:rPr>
                <w:b/>
              </w:rPr>
              <w:t>Short title</w:t>
            </w:r>
          </w:p>
        </w:tc>
        <w:tc>
          <w:tcPr>
            <w:tcW w:w="1134" w:type="dxa"/>
            <w:tcBorders>
              <w:top w:val="single" w:sz="4" w:space="0" w:color="auto"/>
            </w:tcBorders>
          </w:tcPr>
          <w:p w:rsidR="007B01C5" w:rsidRDefault="009B6C4F">
            <w:pPr>
              <w:pStyle w:val="nTable"/>
              <w:rPr>
                <w:b/>
              </w:rPr>
            </w:pPr>
            <w:r>
              <w:rPr>
                <w:b/>
              </w:rPr>
              <w:t>Number and Year</w:t>
            </w:r>
          </w:p>
        </w:tc>
        <w:tc>
          <w:tcPr>
            <w:tcW w:w="1134" w:type="dxa"/>
            <w:tcBorders>
              <w:top w:val="single" w:sz="4" w:space="0" w:color="auto"/>
            </w:tcBorders>
          </w:tcPr>
          <w:p w:rsidR="007B01C5" w:rsidRDefault="009B6C4F">
            <w:pPr>
              <w:pStyle w:val="nTable"/>
              <w:rPr>
                <w:b/>
              </w:rPr>
            </w:pPr>
            <w:r>
              <w:rPr>
                <w:b/>
              </w:rPr>
              <w:t>Assent</w:t>
            </w:r>
          </w:p>
        </w:tc>
        <w:tc>
          <w:tcPr>
            <w:tcW w:w="2552" w:type="dxa"/>
            <w:tcBorders>
              <w:top w:val="single" w:sz="4" w:space="0" w:color="auto"/>
            </w:tcBorders>
          </w:tcPr>
          <w:p w:rsidR="007B01C5" w:rsidRDefault="009B6C4F">
            <w:pPr>
              <w:pStyle w:val="nTable"/>
              <w:rPr>
                <w:b/>
              </w:rPr>
            </w:pPr>
            <w:r>
              <w:rPr>
                <w:b/>
              </w:rPr>
              <w:t>Commencement</w:t>
            </w:r>
          </w:p>
        </w:tc>
      </w:tr>
      <w:tr w:rsidR="007B01C5">
        <w:tc>
          <w:tcPr>
            <w:tcW w:w="2268" w:type="dxa"/>
            <w:tcBorders>
              <w:top w:val="single" w:sz="4" w:space="0" w:color="auto"/>
              <w:bottom w:val="single" w:sz="4" w:space="0" w:color="auto"/>
            </w:tcBorders>
          </w:tcPr>
          <w:p w:rsidR="007B01C5" w:rsidRDefault="009B6C4F">
            <w:pPr>
              <w:pStyle w:val="nTable"/>
              <w:spacing w:before="100"/>
            </w:pPr>
            <w:r>
              <w:rPr>
                <w:i/>
                <w:snapToGrid w:val="0"/>
              </w:rPr>
              <w:t>Sports Drug Testing</w:t>
            </w:r>
            <w:r>
              <w:rPr>
                <w:i/>
                <w:snapToGrid w:val="0"/>
              </w:rPr>
              <w:br/>
              <w:t>Act 2001</w:t>
            </w:r>
          </w:p>
        </w:tc>
        <w:tc>
          <w:tcPr>
            <w:tcW w:w="1134" w:type="dxa"/>
            <w:tcBorders>
              <w:top w:val="single" w:sz="4" w:space="0" w:color="auto"/>
              <w:bottom w:val="single" w:sz="4" w:space="0" w:color="auto"/>
            </w:tcBorders>
          </w:tcPr>
          <w:p w:rsidR="007B01C5" w:rsidRDefault="009B6C4F">
            <w:pPr>
              <w:pStyle w:val="nTable"/>
              <w:spacing w:before="100"/>
            </w:pPr>
            <w:r>
              <w:t>13 of 2001</w:t>
            </w:r>
          </w:p>
        </w:tc>
        <w:tc>
          <w:tcPr>
            <w:tcW w:w="1134" w:type="dxa"/>
            <w:tcBorders>
              <w:top w:val="single" w:sz="4" w:space="0" w:color="auto"/>
              <w:bottom w:val="single" w:sz="4" w:space="0" w:color="auto"/>
            </w:tcBorders>
          </w:tcPr>
          <w:p w:rsidR="007B01C5" w:rsidRDefault="009B6C4F">
            <w:pPr>
              <w:pStyle w:val="nTable"/>
              <w:spacing w:before="100"/>
            </w:pPr>
            <w:r>
              <w:t>14 Aug 2001</w:t>
            </w:r>
          </w:p>
        </w:tc>
        <w:tc>
          <w:tcPr>
            <w:tcW w:w="2552" w:type="dxa"/>
            <w:tcBorders>
              <w:top w:val="single" w:sz="4" w:space="0" w:color="auto"/>
              <w:bottom w:val="single" w:sz="4" w:space="0" w:color="auto"/>
            </w:tcBorders>
          </w:tcPr>
          <w:p w:rsidR="007B01C5" w:rsidRDefault="009B6C4F">
            <w:pPr>
              <w:pStyle w:val="nTable"/>
              <w:spacing w:before="100"/>
            </w:pPr>
            <w:r>
              <w:t xml:space="preserve">29 Dec 2001 (see s. 2 and </w:t>
            </w:r>
            <w:r>
              <w:rPr>
                <w:i/>
              </w:rPr>
              <w:t>Gazette</w:t>
            </w:r>
            <w:r>
              <w:t xml:space="preserve"> 28 Dec 2001 p. 6713)</w:t>
            </w:r>
          </w:p>
        </w:tc>
      </w:tr>
    </w:tbl>
    <w:p w:rsidR="007B01C5" w:rsidRDefault="007B01C5"/>
    <w:p w:rsidR="007B01C5" w:rsidRDefault="007B01C5">
      <w:pPr>
        <w:sectPr w:rsidR="007B01C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B01C5" w:rsidRDefault="007B01C5"/>
    <w:sectPr w:rsidR="007B01C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1C5" w:rsidRDefault="009B6C4F">
      <w:r>
        <w:separator/>
      </w:r>
    </w:p>
  </w:endnote>
  <w:endnote w:type="continuationSeparator" w:id="0">
    <w:p w:rsidR="007B01C5" w:rsidRDefault="009B6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r>
  </w:p>
  <w:p w:rsidR="007B01C5" w:rsidRDefault="009B6C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r>
  </w:p>
  <w:p w:rsidR="007B01C5" w:rsidRDefault="009B6C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750A">
      <w:rPr>
        <w:rStyle w:val="PageNumber"/>
        <w:rFonts w:ascii="Arial" w:hAnsi="Arial" w:cs="Arial"/>
        <w:noProof/>
      </w:rPr>
      <w:t>i</w:t>
    </w:r>
    <w:r>
      <w:rPr>
        <w:rStyle w:val="PageNumber"/>
        <w:rFonts w:ascii="Arial" w:hAnsi="Arial" w:cs="Arial"/>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750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 xml:space="preserve"> </w:t>
    </w:r>
  </w:p>
  <w:p w:rsidR="007B01C5" w:rsidRDefault="009B6C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750A">
      <w:rPr>
        <w:rStyle w:val="CharPageNo"/>
        <w:rFonts w:ascii="Arial" w:hAnsi="Arial"/>
        <w:noProof/>
      </w:rPr>
      <w:t>5</w:t>
    </w:r>
    <w:r>
      <w:rPr>
        <w:rStyle w:val="CharPageNo"/>
        <w:rFonts w:ascii="Arial" w:hAnsi="Arial"/>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Footer"/>
      <w:tabs>
        <w:tab w:val="clear" w:pos="4153"/>
        <w:tab w:val="right" w:pos="7088"/>
      </w:tabs>
      <w:rPr>
        <w:rStyle w:val="PageNumber"/>
      </w:rPr>
    </w:pPr>
  </w:p>
  <w:p w:rsidR="007B01C5" w:rsidRDefault="009B6C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750A">
      <w:rPr>
        <w:rFonts w:ascii="Arial" w:hAnsi="Arial" w:cs="Arial"/>
        <w:sz w:val="20"/>
        <w:lang w:val="en-US"/>
      </w:rPr>
      <w:t>29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750A">
      <w:rPr>
        <w:rFonts w:ascii="Arial" w:hAnsi="Arial" w:cs="Arial"/>
        <w:sz w:val="20"/>
        <w:lang w:val="en-US"/>
      </w:rPr>
      <w:t>00-a0-10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750A">
      <w:rPr>
        <w:rStyle w:val="CharPageNo"/>
        <w:rFonts w:ascii="Arial" w:hAnsi="Arial"/>
        <w:noProof/>
      </w:rPr>
      <w:t>1</w:t>
    </w:r>
    <w:r>
      <w:rPr>
        <w:rStyle w:val="CharPageNo"/>
        <w:rFonts w:ascii="Arial" w:hAnsi="Arial"/>
      </w:rPr>
      <w:fldChar w:fldCharType="end"/>
    </w:r>
  </w:p>
  <w:p w:rsidR="007B01C5" w:rsidRDefault="009B6C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1C5" w:rsidRDefault="009B6C4F">
      <w:r>
        <w:separator/>
      </w:r>
    </w:p>
  </w:footnote>
  <w:footnote w:type="continuationSeparator" w:id="0">
    <w:p w:rsidR="007B01C5" w:rsidRDefault="009B6C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9B6C4F">
    <w:pPr>
      <w:pStyle w:val="headerpartodd"/>
      <w:ind w:left="0" w:firstLine="0"/>
      <w:rPr>
        <w:i/>
      </w:rPr>
    </w:pPr>
    <w:r>
      <w:rPr>
        <w:i/>
      </w:rPr>
      <w:fldChar w:fldCharType="begin"/>
    </w:r>
    <w:r>
      <w:rPr>
        <w:i/>
      </w:rPr>
      <w:instrText xml:space="preserve"> Styleref "Name of Act/Reg" </w:instrText>
    </w:r>
    <w:r>
      <w:rPr>
        <w:i/>
      </w:rPr>
      <w:fldChar w:fldCharType="separate"/>
    </w:r>
    <w:r w:rsidR="0003750A">
      <w:rPr>
        <w:i/>
        <w:noProof/>
      </w:rPr>
      <w:t>Sports Drug Testing Act 2001</w:t>
    </w:r>
    <w:r>
      <w:rPr>
        <w:i/>
      </w:rPr>
      <w:fldChar w:fldCharType="end"/>
    </w:r>
  </w:p>
  <w:p w:rsidR="007B01C5" w:rsidRDefault="009B6C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B01C5" w:rsidRDefault="009B6C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B01C5" w:rsidRDefault="007B01C5">
    <w:pPr>
      <w:pStyle w:val="headerpart"/>
    </w:pPr>
  </w:p>
  <w:p w:rsidR="007B01C5" w:rsidRDefault="007B01C5">
    <w:pPr>
      <w:pBdr>
        <w:bottom w:val="single" w:sz="6" w:space="1" w:color="auto"/>
      </w:pBdr>
      <w:rPr>
        <w:b/>
      </w:rPr>
    </w:pPr>
  </w:p>
  <w:p w:rsidR="007B01C5" w:rsidRDefault="007B01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01C5">
      <w:trPr>
        <w:cantSplit/>
      </w:trPr>
      <w:tc>
        <w:tcPr>
          <w:tcW w:w="7258" w:type="dxa"/>
          <w:gridSpan w:val="2"/>
        </w:tcPr>
        <w:p w:rsidR="007B01C5" w:rsidRDefault="009B6C4F">
          <w:pPr>
            <w:pStyle w:val="HeaderActNameLeft"/>
          </w:pPr>
          <w:fldSimple w:instr=" Styleref &quot;Name of Act/Reg&quot; ">
            <w:r w:rsidR="0003750A">
              <w:rPr>
                <w:noProof/>
              </w:rPr>
              <w:t>Sports Drug Testing Act 2001</w:t>
            </w:r>
          </w:fldSimple>
        </w:p>
      </w:tc>
    </w:tr>
    <w:tr w:rsidR="007B01C5">
      <w:tc>
        <w:tcPr>
          <w:tcW w:w="1548" w:type="dxa"/>
        </w:tcPr>
        <w:p w:rsidR="007B01C5" w:rsidRDefault="007B01C5">
          <w:pPr>
            <w:pStyle w:val="HeaderNumberLeft"/>
          </w:pPr>
        </w:p>
      </w:tc>
      <w:tc>
        <w:tcPr>
          <w:tcW w:w="5715" w:type="dxa"/>
        </w:tcPr>
        <w:p w:rsidR="007B01C5" w:rsidRDefault="007B01C5">
          <w:pPr>
            <w:pStyle w:val="HeaderTextLeft"/>
          </w:pPr>
        </w:p>
      </w:tc>
    </w:tr>
    <w:tr w:rsidR="007B01C5">
      <w:tc>
        <w:tcPr>
          <w:tcW w:w="1548" w:type="dxa"/>
        </w:tcPr>
        <w:p w:rsidR="007B01C5" w:rsidRDefault="007B01C5">
          <w:pPr>
            <w:pStyle w:val="HeaderNumberLeft"/>
          </w:pPr>
        </w:p>
      </w:tc>
      <w:tc>
        <w:tcPr>
          <w:tcW w:w="5715" w:type="dxa"/>
        </w:tcPr>
        <w:p w:rsidR="007B01C5" w:rsidRDefault="007B01C5">
          <w:pPr>
            <w:pStyle w:val="HeaderTextLeft"/>
          </w:pPr>
        </w:p>
      </w:tc>
    </w:tr>
    <w:tr w:rsidR="007B01C5">
      <w:trPr>
        <w:cantSplit/>
      </w:trPr>
      <w:tc>
        <w:tcPr>
          <w:tcW w:w="7258" w:type="dxa"/>
          <w:gridSpan w:val="2"/>
        </w:tcPr>
        <w:p w:rsidR="007B01C5" w:rsidRDefault="009B6C4F">
          <w:pPr>
            <w:pStyle w:val="HeaderSectionLeft"/>
            <w:rPr>
              <w:b w:val="0"/>
            </w:rPr>
          </w:pPr>
          <w:r>
            <w:rPr>
              <w:b w:val="0"/>
            </w:rPr>
            <w:t>Contents</w:t>
          </w:r>
        </w:p>
      </w:tc>
    </w:tr>
  </w:tbl>
  <w:p w:rsidR="007B01C5" w:rsidRDefault="007B01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01C5">
      <w:trPr>
        <w:cantSplit/>
      </w:trPr>
      <w:tc>
        <w:tcPr>
          <w:tcW w:w="7258" w:type="dxa"/>
          <w:gridSpan w:val="2"/>
        </w:tcPr>
        <w:p w:rsidR="007B01C5" w:rsidRDefault="009B6C4F">
          <w:pPr>
            <w:pStyle w:val="HeaderActNameRight"/>
            <w:ind w:right="17"/>
          </w:pPr>
          <w:fldSimple w:instr=" Styleref &quot;Name of Act/Reg&quot; ">
            <w:r w:rsidR="0003750A">
              <w:rPr>
                <w:noProof/>
              </w:rPr>
              <w:t>Sports Drug Testing Act 2001</w:t>
            </w:r>
          </w:fldSimple>
        </w:p>
      </w:tc>
    </w:tr>
    <w:tr w:rsidR="007B01C5">
      <w:tc>
        <w:tcPr>
          <w:tcW w:w="5715" w:type="dxa"/>
        </w:tcPr>
        <w:p w:rsidR="007B01C5" w:rsidRDefault="007B01C5">
          <w:pPr>
            <w:pStyle w:val="HeaderTextRight"/>
          </w:pPr>
        </w:p>
      </w:tc>
      <w:tc>
        <w:tcPr>
          <w:tcW w:w="1548" w:type="dxa"/>
        </w:tcPr>
        <w:p w:rsidR="007B01C5" w:rsidRDefault="007B01C5">
          <w:pPr>
            <w:pStyle w:val="HeaderNumberRight"/>
            <w:ind w:right="17"/>
          </w:pPr>
        </w:p>
      </w:tc>
    </w:tr>
    <w:tr w:rsidR="007B01C5">
      <w:tc>
        <w:tcPr>
          <w:tcW w:w="5715" w:type="dxa"/>
        </w:tcPr>
        <w:p w:rsidR="007B01C5" w:rsidRDefault="007B01C5">
          <w:pPr>
            <w:pStyle w:val="HeaderTextRight"/>
          </w:pPr>
        </w:p>
      </w:tc>
      <w:tc>
        <w:tcPr>
          <w:tcW w:w="1548" w:type="dxa"/>
        </w:tcPr>
        <w:p w:rsidR="007B01C5" w:rsidRDefault="007B01C5">
          <w:pPr>
            <w:pStyle w:val="HeaderNumberRight"/>
            <w:ind w:right="17"/>
          </w:pPr>
        </w:p>
      </w:tc>
    </w:tr>
    <w:tr w:rsidR="007B01C5">
      <w:trPr>
        <w:cantSplit/>
      </w:trPr>
      <w:tc>
        <w:tcPr>
          <w:tcW w:w="7258" w:type="dxa"/>
          <w:gridSpan w:val="2"/>
        </w:tcPr>
        <w:p w:rsidR="007B01C5" w:rsidRDefault="009B6C4F">
          <w:pPr>
            <w:pStyle w:val="HeaderSectionRight"/>
            <w:ind w:right="17"/>
            <w:rPr>
              <w:b w:val="0"/>
            </w:rPr>
          </w:pPr>
          <w:r>
            <w:rPr>
              <w:b w:val="0"/>
            </w:rPr>
            <w:t>Contents</w:t>
          </w:r>
        </w:p>
      </w:tc>
    </w:tr>
  </w:tbl>
  <w:p w:rsidR="007B01C5" w:rsidRDefault="007B01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01C5">
      <w:trPr>
        <w:cantSplit/>
      </w:trPr>
      <w:tc>
        <w:tcPr>
          <w:tcW w:w="7258" w:type="dxa"/>
          <w:gridSpan w:val="2"/>
        </w:tcPr>
        <w:p w:rsidR="007B01C5" w:rsidRDefault="009B6C4F">
          <w:pPr>
            <w:pStyle w:val="HeaderActNameLeft"/>
          </w:pPr>
          <w:fldSimple w:instr=" Styleref &quot;Name of Act/Reg&quot; ">
            <w:r w:rsidR="0003750A">
              <w:rPr>
                <w:noProof/>
              </w:rPr>
              <w:t>Sports Drug Testing Act 2001</w:t>
            </w:r>
          </w:fldSimple>
        </w:p>
      </w:tc>
    </w:tr>
    <w:tr w:rsidR="007B01C5">
      <w:tc>
        <w:tcPr>
          <w:tcW w:w="1548" w:type="dxa"/>
        </w:tcPr>
        <w:p w:rsidR="007B01C5" w:rsidRDefault="009B6C4F">
          <w:pPr>
            <w:pStyle w:val="HeaderNumberLeft"/>
          </w:pPr>
          <w:r>
            <w:fldChar w:fldCharType="begin"/>
          </w:r>
          <w:r>
            <w:instrText xml:space="preserve"> styleref CharPartNo </w:instrText>
          </w:r>
          <w:r>
            <w:fldChar w:fldCharType="end"/>
          </w:r>
        </w:p>
      </w:tc>
      <w:tc>
        <w:tcPr>
          <w:tcW w:w="5715" w:type="dxa"/>
        </w:tcPr>
        <w:p w:rsidR="007B01C5" w:rsidRDefault="009B6C4F">
          <w:pPr>
            <w:pStyle w:val="HeaderTextLeft"/>
          </w:pPr>
          <w:r>
            <w:fldChar w:fldCharType="begin"/>
          </w:r>
          <w:r>
            <w:instrText xml:space="preserve"> styleref CharPartText </w:instrText>
          </w:r>
          <w:r>
            <w:fldChar w:fldCharType="end"/>
          </w:r>
        </w:p>
      </w:tc>
    </w:tr>
    <w:tr w:rsidR="007B01C5">
      <w:tc>
        <w:tcPr>
          <w:tcW w:w="1548" w:type="dxa"/>
        </w:tcPr>
        <w:p w:rsidR="007B01C5" w:rsidRDefault="009B6C4F">
          <w:pPr>
            <w:pStyle w:val="HeaderNumberLeft"/>
          </w:pPr>
          <w:r>
            <w:fldChar w:fldCharType="begin"/>
          </w:r>
          <w:r>
            <w:instrText xml:space="preserve"> styleref CharDivNo </w:instrText>
          </w:r>
          <w:r>
            <w:fldChar w:fldCharType="end"/>
          </w:r>
        </w:p>
      </w:tc>
      <w:tc>
        <w:tcPr>
          <w:tcW w:w="5715" w:type="dxa"/>
        </w:tcPr>
        <w:p w:rsidR="007B01C5" w:rsidRDefault="009B6C4F">
          <w:pPr>
            <w:pStyle w:val="HeaderTextLeft"/>
          </w:pPr>
          <w:r>
            <w:fldChar w:fldCharType="begin"/>
          </w:r>
          <w:r>
            <w:instrText xml:space="preserve"> styleref CharDivText </w:instrText>
          </w:r>
          <w:r>
            <w:fldChar w:fldCharType="end"/>
          </w:r>
        </w:p>
      </w:tc>
    </w:tr>
    <w:tr w:rsidR="007B01C5">
      <w:trPr>
        <w:cantSplit/>
      </w:trPr>
      <w:tc>
        <w:tcPr>
          <w:tcW w:w="7258" w:type="dxa"/>
          <w:gridSpan w:val="2"/>
        </w:tcPr>
        <w:p w:rsidR="007B01C5" w:rsidRDefault="009B6C4F">
          <w:pPr>
            <w:pStyle w:val="HeaderSectionLeft"/>
          </w:pPr>
          <w:r>
            <w:t xml:space="preserve">s. </w:t>
          </w:r>
          <w:fldSimple w:instr=" styleref CharSectno ">
            <w:r w:rsidR="0003750A">
              <w:rPr>
                <w:noProof/>
              </w:rPr>
              <w:t>1</w:t>
            </w:r>
          </w:fldSimple>
        </w:p>
      </w:tc>
    </w:tr>
  </w:tbl>
  <w:p w:rsidR="007B01C5" w:rsidRDefault="007B01C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01C5">
      <w:trPr>
        <w:cantSplit/>
      </w:trPr>
      <w:tc>
        <w:tcPr>
          <w:tcW w:w="7258" w:type="dxa"/>
          <w:gridSpan w:val="2"/>
        </w:tcPr>
        <w:p w:rsidR="007B01C5" w:rsidRDefault="009B6C4F">
          <w:pPr>
            <w:pStyle w:val="HeaderActNameRight"/>
            <w:ind w:right="17"/>
          </w:pPr>
          <w:fldSimple w:instr=" Styleref &quot;Name of Act/Reg&quot; ">
            <w:r w:rsidR="0003750A">
              <w:rPr>
                <w:noProof/>
              </w:rPr>
              <w:t>Sports Drug Testing Act 2001</w:t>
            </w:r>
          </w:fldSimple>
        </w:p>
      </w:tc>
    </w:tr>
    <w:tr w:rsidR="007B01C5">
      <w:tc>
        <w:tcPr>
          <w:tcW w:w="5715" w:type="dxa"/>
        </w:tcPr>
        <w:p w:rsidR="007B01C5" w:rsidRDefault="009B6C4F">
          <w:pPr>
            <w:pStyle w:val="HeaderTextRight"/>
          </w:pPr>
          <w:r>
            <w:fldChar w:fldCharType="begin"/>
          </w:r>
          <w:r>
            <w:instrText xml:space="preserve"> styleref CharPartText </w:instrText>
          </w:r>
          <w:r>
            <w:fldChar w:fldCharType="end"/>
          </w:r>
        </w:p>
      </w:tc>
      <w:tc>
        <w:tcPr>
          <w:tcW w:w="1548" w:type="dxa"/>
        </w:tcPr>
        <w:p w:rsidR="007B01C5" w:rsidRDefault="009B6C4F">
          <w:pPr>
            <w:pStyle w:val="HeaderNumberRight"/>
            <w:ind w:right="17"/>
          </w:pPr>
          <w:r>
            <w:fldChar w:fldCharType="begin"/>
          </w:r>
          <w:r>
            <w:instrText xml:space="preserve"> styleref CharPartNo </w:instrText>
          </w:r>
          <w:r>
            <w:fldChar w:fldCharType="end"/>
          </w:r>
        </w:p>
      </w:tc>
    </w:tr>
    <w:tr w:rsidR="007B01C5">
      <w:tc>
        <w:tcPr>
          <w:tcW w:w="5715" w:type="dxa"/>
        </w:tcPr>
        <w:p w:rsidR="007B01C5" w:rsidRDefault="009B6C4F">
          <w:pPr>
            <w:pStyle w:val="HeaderTextRight"/>
          </w:pPr>
          <w:r>
            <w:fldChar w:fldCharType="begin"/>
          </w:r>
          <w:r>
            <w:instrText xml:space="preserve"> styleref CharDivText </w:instrText>
          </w:r>
          <w:r>
            <w:fldChar w:fldCharType="end"/>
          </w:r>
        </w:p>
      </w:tc>
      <w:tc>
        <w:tcPr>
          <w:tcW w:w="1548" w:type="dxa"/>
        </w:tcPr>
        <w:p w:rsidR="007B01C5" w:rsidRDefault="009B6C4F">
          <w:pPr>
            <w:pStyle w:val="HeaderNumberRight"/>
            <w:ind w:right="17"/>
          </w:pPr>
          <w:r>
            <w:fldChar w:fldCharType="begin"/>
          </w:r>
          <w:r>
            <w:instrText xml:space="preserve"> styleref CharDivNo </w:instrText>
          </w:r>
          <w:r>
            <w:fldChar w:fldCharType="end"/>
          </w:r>
        </w:p>
      </w:tc>
    </w:tr>
    <w:tr w:rsidR="007B01C5">
      <w:trPr>
        <w:cantSplit/>
      </w:trPr>
      <w:tc>
        <w:tcPr>
          <w:tcW w:w="7258" w:type="dxa"/>
          <w:gridSpan w:val="2"/>
        </w:tcPr>
        <w:p w:rsidR="007B01C5" w:rsidRDefault="009B6C4F">
          <w:pPr>
            <w:pStyle w:val="HeaderSectionRight"/>
            <w:ind w:right="17"/>
          </w:pPr>
          <w:r>
            <w:t xml:space="preserve">s. </w:t>
          </w:r>
          <w:fldSimple w:instr=" styleref CharSectno ">
            <w:r w:rsidR="0003750A">
              <w:rPr>
                <w:noProof/>
              </w:rPr>
              <w:t>1</w:t>
            </w:r>
          </w:fldSimple>
        </w:p>
      </w:tc>
    </w:tr>
  </w:tbl>
  <w:p w:rsidR="007B01C5" w:rsidRDefault="007B01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B01C5">
      <w:trPr>
        <w:cantSplit/>
      </w:trPr>
      <w:tc>
        <w:tcPr>
          <w:tcW w:w="7312" w:type="dxa"/>
          <w:gridSpan w:val="2"/>
        </w:tcPr>
        <w:p w:rsidR="007B01C5" w:rsidRDefault="009B6C4F">
          <w:pPr>
            <w:pStyle w:val="HeaderActNameLeft"/>
          </w:pPr>
          <w:fldSimple w:instr=" Styleref &quot;Name of Act/Reg&quot; ">
            <w:r w:rsidR="0003750A">
              <w:rPr>
                <w:noProof/>
              </w:rPr>
              <w:t>Sports Drug Testing Act 2001</w:t>
            </w:r>
          </w:fldSimple>
        </w:p>
      </w:tc>
    </w:tr>
    <w:tr w:rsidR="007B01C5">
      <w:tc>
        <w:tcPr>
          <w:tcW w:w="1548" w:type="dxa"/>
        </w:tcPr>
        <w:p w:rsidR="007B01C5" w:rsidRDefault="007B01C5">
          <w:pPr>
            <w:pStyle w:val="HeaderNumberLeft"/>
          </w:pPr>
        </w:p>
      </w:tc>
      <w:tc>
        <w:tcPr>
          <w:tcW w:w="5764" w:type="dxa"/>
        </w:tcPr>
        <w:p w:rsidR="007B01C5" w:rsidRDefault="007B01C5">
          <w:pPr>
            <w:pStyle w:val="HeaderTextLeft"/>
          </w:pPr>
        </w:p>
      </w:tc>
    </w:tr>
    <w:tr w:rsidR="007B01C5">
      <w:tc>
        <w:tcPr>
          <w:tcW w:w="1548" w:type="dxa"/>
        </w:tcPr>
        <w:p w:rsidR="007B01C5" w:rsidRDefault="007B01C5">
          <w:pPr>
            <w:pStyle w:val="HeaderNumberLeft"/>
          </w:pPr>
        </w:p>
      </w:tc>
      <w:tc>
        <w:tcPr>
          <w:tcW w:w="5764" w:type="dxa"/>
        </w:tcPr>
        <w:p w:rsidR="007B01C5" w:rsidRDefault="007B01C5">
          <w:pPr>
            <w:pStyle w:val="HeaderTextLeft"/>
          </w:pPr>
        </w:p>
      </w:tc>
    </w:tr>
    <w:tr w:rsidR="007B01C5">
      <w:trPr>
        <w:cantSplit/>
      </w:trPr>
      <w:tc>
        <w:tcPr>
          <w:tcW w:w="7312" w:type="dxa"/>
          <w:gridSpan w:val="2"/>
        </w:tcPr>
        <w:p w:rsidR="007B01C5" w:rsidRDefault="007B01C5">
          <w:pPr>
            <w:pStyle w:val="HeaderSectionLeft"/>
          </w:pPr>
        </w:p>
      </w:tc>
    </w:tr>
  </w:tbl>
  <w:p w:rsidR="007B01C5" w:rsidRDefault="007B01C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B01C5">
      <w:trPr>
        <w:cantSplit/>
      </w:trPr>
      <w:tc>
        <w:tcPr>
          <w:tcW w:w="7312" w:type="dxa"/>
          <w:gridSpan w:val="2"/>
        </w:tcPr>
        <w:p w:rsidR="007B01C5" w:rsidRDefault="009B6C4F">
          <w:pPr>
            <w:pStyle w:val="HeaderActNameRight"/>
          </w:pPr>
          <w:fldSimple w:instr=" Styleref &quot;Name of Act/Reg&quot; ">
            <w:r w:rsidR="0003750A">
              <w:rPr>
                <w:noProof/>
              </w:rPr>
              <w:t>Sports Drug Testing Act 2001</w:t>
            </w:r>
          </w:fldSimple>
        </w:p>
      </w:tc>
    </w:tr>
    <w:tr w:rsidR="007B01C5">
      <w:tc>
        <w:tcPr>
          <w:tcW w:w="5760" w:type="dxa"/>
        </w:tcPr>
        <w:p w:rsidR="007B01C5" w:rsidRDefault="007B01C5">
          <w:pPr>
            <w:pStyle w:val="HeaderTextRight"/>
          </w:pPr>
        </w:p>
      </w:tc>
      <w:tc>
        <w:tcPr>
          <w:tcW w:w="1552" w:type="dxa"/>
        </w:tcPr>
        <w:p w:rsidR="007B01C5" w:rsidRDefault="007B01C5">
          <w:pPr>
            <w:pStyle w:val="HeaderNumberRight"/>
          </w:pPr>
        </w:p>
      </w:tc>
    </w:tr>
    <w:tr w:rsidR="007B01C5">
      <w:tc>
        <w:tcPr>
          <w:tcW w:w="5760" w:type="dxa"/>
        </w:tcPr>
        <w:p w:rsidR="007B01C5" w:rsidRDefault="007B01C5">
          <w:pPr>
            <w:pStyle w:val="HeaderTextRight"/>
          </w:pPr>
        </w:p>
      </w:tc>
      <w:tc>
        <w:tcPr>
          <w:tcW w:w="1552" w:type="dxa"/>
        </w:tcPr>
        <w:p w:rsidR="007B01C5" w:rsidRDefault="007B01C5">
          <w:pPr>
            <w:pStyle w:val="HeaderNumberRight"/>
          </w:pPr>
        </w:p>
      </w:tc>
    </w:tr>
    <w:tr w:rsidR="007B01C5">
      <w:trPr>
        <w:cantSplit/>
      </w:trPr>
      <w:tc>
        <w:tcPr>
          <w:tcW w:w="7312" w:type="dxa"/>
          <w:gridSpan w:val="2"/>
        </w:tcPr>
        <w:p w:rsidR="007B01C5" w:rsidRDefault="007B01C5">
          <w:pPr>
            <w:pStyle w:val="HeaderSectionRight"/>
          </w:pPr>
        </w:p>
      </w:tc>
    </w:tr>
  </w:tbl>
  <w:p w:rsidR="007B01C5" w:rsidRDefault="007B01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1C5" w:rsidRDefault="007B01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F647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02DD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702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24880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9C2F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D09E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1630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EB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82C4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5DCA7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623E72C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DBE60F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7F67B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F928D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C4F"/>
    <w:rsid w:val="0003750A"/>
    <w:rsid w:val="004C7A38"/>
    <w:rsid w:val="007B01C5"/>
    <w:rsid w:val="009B6C4F"/>
    <w:rsid w:val="00CD04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R1">
    <w:name w:val="R1"/>
    <w:aliases w:val="1. or 1.(1)"/>
    <w:basedOn w:val="Normal"/>
    <w:next w:val="R2"/>
    <w:pPr>
      <w:tabs>
        <w:tab w:val="right" w:pos="794"/>
        <w:tab w:val="left" w:pos="964"/>
      </w:tabs>
      <w:spacing w:before="120" w:line="260" w:lineRule="exact"/>
      <w:ind w:left="964" w:hanging="964"/>
      <w:jc w:val="both"/>
    </w:pPr>
  </w:style>
  <w:style w:type="paragraph" w:customStyle="1" w:styleId="R2">
    <w:name w:val="R2"/>
    <w:aliases w:val="(2)"/>
    <w:basedOn w:val="R1"/>
    <w:pPr>
      <w:spacing w:before="180"/>
    </w:pPr>
  </w:style>
  <w:style w:type="paragraph" w:customStyle="1" w:styleId="P1">
    <w:name w:val="P1"/>
    <w:aliases w:val="(a)"/>
    <w:basedOn w:val="R1"/>
    <w:pPr>
      <w:tabs>
        <w:tab w:val="clear" w:pos="794"/>
        <w:tab w:val="clear" w:pos="964"/>
        <w:tab w:val="right" w:pos="1191"/>
        <w:tab w:val="left" w:pos="1644"/>
      </w:tabs>
      <w:spacing w:before="60"/>
      <w:ind w:left="1418" w:hanging="1418"/>
    </w:pPr>
  </w:style>
  <w:style w:type="paragraph" w:customStyle="1" w:styleId="P2">
    <w:name w:val="P2"/>
    <w:aliases w:val="(i)"/>
    <w:basedOn w:val="P1"/>
    <w:pPr>
      <w:tabs>
        <w:tab w:val="clear" w:pos="1191"/>
        <w:tab w:val="clear" w:pos="1644"/>
        <w:tab w:val="right" w:pos="1758"/>
        <w:tab w:val="left" w:pos="2155"/>
      </w:tabs>
      <w:ind w:left="1985" w:hanging="1985"/>
    </w:pPr>
  </w:style>
  <w:style w:type="paragraph" w:customStyle="1" w:styleId="HR">
    <w:name w:val="HR"/>
    <w:aliases w:val="Regulation Heading"/>
    <w:basedOn w:val="Normal"/>
    <w:next w:val="R1"/>
    <w:pPr>
      <w:keepNext/>
      <w:spacing w:before="360"/>
      <w:ind w:left="964" w:hanging="964"/>
    </w:pPr>
    <w:rPr>
      <w:rFonts w:ascii="Arial" w:hAnsi="Arial"/>
      <w:b/>
    </w:rPr>
  </w:style>
  <w:style w:type="paragraph" w:customStyle="1" w:styleId="Note">
    <w:name w:val="Note"/>
    <w:basedOn w:val="Normal"/>
    <w:pPr>
      <w:tabs>
        <w:tab w:val="left" w:pos="1560"/>
      </w:tabs>
      <w:spacing w:before="120" w:line="220" w:lineRule="exact"/>
      <w:ind w:left="964"/>
      <w:jc w:val="both"/>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R1">
    <w:name w:val="R1"/>
    <w:aliases w:val="1. or 1.(1)"/>
    <w:basedOn w:val="Normal"/>
    <w:next w:val="R2"/>
    <w:pPr>
      <w:tabs>
        <w:tab w:val="right" w:pos="794"/>
        <w:tab w:val="left" w:pos="964"/>
      </w:tabs>
      <w:spacing w:before="120" w:line="260" w:lineRule="exact"/>
      <w:ind w:left="964" w:hanging="964"/>
      <w:jc w:val="both"/>
    </w:pPr>
  </w:style>
  <w:style w:type="paragraph" w:customStyle="1" w:styleId="R2">
    <w:name w:val="R2"/>
    <w:aliases w:val="(2)"/>
    <w:basedOn w:val="R1"/>
    <w:pPr>
      <w:spacing w:before="180"/>
    </w:pPr>
  </w:style>
  <w:style w:type="paragraph" w:customStyle="1" w:styleId="P1">
    <w:name w:val="P1"/>
    <w:aliases w:val="(a)"/>
    <w:basedOn w:val="R1"/>
    <w:pPr>
      <w:tabs>
        <w:tab w:val="clear" w:pos="794"/>
        <w:tab w:val="clear" w:pos="964"/>
        <w:tab w:val="right" w:pos="1191"/>
        <w:tab w:val="left" w:pos="1644"/>
      </w:tabs>
      <w:spacing w:before="60"/>
      <w:ind w:left="1418" w:hanging="1418"/>
    </w:pPr>
  </w:style>
  <w:style w:type="paragraph" w:customStyle="1" w:styleId="P2">
    <w:name w:val="P2"/>
    <w:aliases w:val="(i)"/>
    <w:basedOn w:val="P1"/>
    <w:pPr>
      <w:tabs>
        <w:tab w:val="clear" w:pos="1191"/>
        <w:tab w:val="clear" w:pos="1644"/>
        <w:tab w:val="right" w:pos="1758"/>
        <w:tab w:val="left" w:pos="2155"/>
      </w:tabs>
      <w:ind w:left="1985" w:hanging="1985"/>
    </w:pPr>
  </w:style>
  <w:style w:type="paragraph" w:customStyle="1" w:styleId="HR">
    <w:name w:val="HR"/>
    <w:aliases w:val="Regulation Heading"/>
    <w:basedOn w:val="Normal"/>
    <w:next w:val="R1"/>
    <w:pPr>
      <w:keepNext/>
      <w:spacing w:before="360"/>
      <w:ind w:left="964" w:hanging="964"/>
    </w:pPr>
    <w:rPr>
      <w:rFonts w:ascii="Arial" w:hAnsi="Arial"/>
      <w:b/>
    </w:rPr>
  </w:style>
  <w:style w:type="paragraph" w:customStyle="1" w:styleId="Note">
    <w:name w:val="Note"/>
    <w:basedOn w:val="Normal"/>
    <w:pPr>
      <w:tabs>
        <w:tab w:val="left" w:pos="1560"/>
      </w:tabs>
      <w:spacing w:before="120" w:line="220" w:lineRule="exact"/>
      <w:ind w:left="964"/>
      <w:jc w:val="both"/>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878</Words>
  <Characters>4497</Characters>
  <Application>Microsoft Office Word</Application>
  <DocSecurity>0</DocSecurity>
  <Lines>145</Lines>
  <Paragraphs>91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Parliamentary Counsel's Office</Company>
  <LinksUpToDate>false</LinksUpToDate>
  <CharactersWithSpaces>5284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Drug Testing Act 2001 - 00-a0-10</dc:title>
  <dc:subject>Bills and Amendments</dc:subject>
  <dc:creator>CarrollC</dc:creator>
  <cp:keywords/>
  <cp:lastModifiedBy>svcMRProcess</cp:lastModifiedBy>
  <cp:revision>4</cp:revision>
  <cp:lastPrinted>2001-08-14T23:25:00Z</cp:lastPrinted>
  <dcterms:created xsi:type="dcterms:W3CDTF">2013-02-20T15:11:00Z</dcterms:created>
  <dcterms:modified xsi:type="dcterms:W3CDTF">2013-02-20T15:11:00Z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2001</vt:lpwstr>
  </property>
  <property fmtid="{D5CDD505-2E9C-101B-9397-08002B2CF9AE}" pid="3" name="CommencementDate">
    <vt:lpwstr>20011229</vt:lpwstr>
  </property>
  <property fmtid="{D5CDD505-2E9C-101B-9397-08002B2CF9AE}" pid="4" name="DocumentType">
    <vt:lpwstr>Act</vt:lpwstr>
  </property>
  <property fmtid="{D5CDD505-2E9C-101B-9397-08002B2CF9AE}" pid="5" name="AsAtDate">
    <vt:lpwstr>29 Dec 2001</vt:lpwstr>
  </property>
  <property fmtid="{D5CDD505-2E9C-101B-9397-08002B2CF9AE}" pid="6" name="Suffix">
    <vt:lpwstr>00-a0-10</vt:lpwstr>
  </property>
</Properties>
</file>