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smartTag w:uri="urn:schemas-microsoft-com:office:smarttags" w:element="State">
        <w:smartTag w:uri="urn:schemas-microsoft-com:office:smarttags" w:element="plac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Misuse of Drugs Act 1981</w:t>
      </w:r>
      <w:r>
        <w:rPr>
          <w:sz w:val="48"/>
        </w:rP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Misuse of Drugs Act 1981</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_Toc290558503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_Toc290558504 \h </w:instrText>
      </w:r>
      <w:r>
        <w:fldChar w:fldCharType="separate"/>
      </w:r>
      <w:r>
        <w:t>2</w:t>
      </w:r>
      <w:r>
        <w:fldChar w:fldCharType="end"/>
      </w:r>
    </w:p>
    <w:p>
      <w:pPr>
        <w:pStyle w:val="TOC8"/>
        <w:rPr>
          <w:sz w:val="24"/>
          <w:szCs w:val="24"/>
          <w:lang w:val="en-US"/>
        </w:rPr>
      </w:pPr>
      <w:r>
        <w:t>3</w:t>
      </w:r>
      <w:r>
        <w:rPr>
          <w:snapToGrid w:val="0"/>
        </w:rPr>
        <w:t>.</w:t>
      </w:r>
      <w:r>
        <w:rPr>
          <w:snapToGrid w:val="0"/>
        </w:rPr>
        <w:tab/>
        <w:t>Terms used in this Act</w:t>
      </w:r>
      <w:r>
        <w:tab/>
      </w:r>
      <w:r>
        <w:fldChar w:fldCharType="begin"/>
      </w:r>
      <w:r>
        <w:instrText xml:space="preserve"> PAGEREF _Toc290558505 \h </w:instrText>
      </w:r>
      <w:r>
        <w:fldChar w:fldCharType="separate"/>
      </w:r>
      <w:r>
        <w:t>2</w:t>
      </w:r>
      <w:r>
        <w:fldChar w:fldCharType="end"/>
      </w:r>
    </w:p>
    <w:p>
      <w:pPr>
        <w:pStyle w:val="TOC8"/>
        <w:rPr>
          <w:sz w:val="24"/>
          <w:szCs w:val="24"/>
          <w:lang w:val="en-US"/>
        </w:rPr>
      </w:pPr>
      <w:r>
        <w:t>3A</w:t>
      </w:r>
      <w:r>
        <w:rPr>
          <w:snapToGrid w:val="0"/>
        </w:rPr>
        <w:t xml:space="preserve">. </w:t>
      </w:r>
      <w:r>
        <w:rPr>
          <w:snapToGrid w:val="0"/>
        </w:rPr>
        <w:tab/>
        <w:t>Approved analysts and botanists</w:t>
      </w:r>
      <w:r>
        <w:tab/>
      </w:r>
      <w:r>
        <w:fldChar w:fldCharType="begin"/>
      </w:r>
      <w:r>
        <w:instrText xml:space="preserve"> PAGEREF _Toc290558506 \h </w:instrText>
      </w:r>
      <w:r>
        <w:fldChar w:fldCharType="separate"/>
      </w:r>
      <w:r>
        <w:t>5</w:t>
      </w:r>
      <w:r>
        <w:fldChar w:fldCharType="end"/>
      </w:r>
    </w:p>
    <w:p>
      <w:pPr>
        <w:pStyle w:val="TOC8"/>
        <w:rPr>
          <w:sz w:val="24"/>
          <w:szCs w:val="24"/>
          <w:lang w:val="en-US"/>
        </w:rPr>
      </w:pPr>
      <w:r>
        <w:t>4</w:t>
      </w:r>
      <w:r>
        <w:rPr>
          <w:snapToGrid w:val="0"/>
        </w:rPr>
        <w:t>.</w:t>
      </w:r>
      <w:r>
        <w:rPr>
          <w:snapToGrid w:val="0"/>
        </w:rPr>
        <w:tab/>
        <w:t>Drugs and plants to which Act applies</w:t>
      </w:r>
      <w:r>
        <w:tab/>
      </w:r>
      <w:r>
        <w:fldChar w:fldCharType="begin"/>
      </w:r>
      <w:r>
        <w:instrText xml:space="preserve"> PAGEREF _Toc290558507 \h </w:instrText>
      </w:r>
      <w:r>
        <w:fldChar w:fldCharType="separate"/>
      </w:r>
      <w:r>
        <w:t>5</w:t>
      </w:r>
      <w:r>
        <w:fldChar w:fldCharType="end"/>
      </w:r>
    </w:p>
    <w:p>
      <w:pPr>
        <w:pStyle w:val="TOC2"/>
        <w:tabs>
          <w:tab w:val="right" w:leader="dot" w:pos="7086"/>
        </w:tabs>
        <w:rPr>
          <w:b w:val="0"/>
          <w:sz w:val="24"/>
          <w:szCs w:val="24"/>
          <w:lang w:val="en-US"/>
        </w:rPr>
      </w:pPr>
      <w:r>
        <w:t>Part II — Offences relating to prohibited drugs and prohibited plants</w:t>
      </w:r>
    </w:p>
    <w:p>
      <w:pPr>
        <w:pStyle w:val="TOC8"/>
        <w:rPr>
          <w:sz w:val="24"/>
          <w:szCs w:val="24"/>
          <w:lang w:val="en-US"/>
        </w:rPr>
      </w:pPr>
      <w:r>
        <w:t>5</w:t>
      </w:r>
      <w:r>
        <w:rPr>
          <w:snapToGrid w:val="0"/>
        </w:rPr>
        <w:t>.</w:t>
      </w:r>
      <w:r>
        <w:rPr>
          <w:snapToGrid w:val="0"/>
        </w:rPr>
        <w:tab/>
        <w:t>Offences concerned with prohibited drugs and prohibited plants in relation to premises and utensils</w:t>
      </w:r>
      <w:r>
        <w:tab/>
      </w:r>
      <w:r>
        <w:fldChar w:fldCharType="begin"/>
      </w:r>
      <w:r>
        <w:instrText xml:space="preserve"> PAGEREF _Toc290558509 \h </w:instrText>
      </w:r>
      <w:r>
        <w:fldChar w:fldCharType="separate"/>
      </w:r>
      <w:r>
        <w:t>7</w:t>
      </w:r>
      <w:r>
        <w:fldChar w:fldCharType="end"/>
      </w:r>
    </w:p>
    <w:p>
      <w:pPr>
        <w:pStyle w:val="TOC8"/>
        <w:rPr>
          <w:sz w:val="24"/>
          <w:szCs w:val="24"/>
          <w:lang w:val="en-US"/>
        </w:rPr>
      </w:pPr>
      <w:r>
        <w:t>6</w:t>
      </w:r>
      <w:r>
        <w:rPr>
          <w:snapToGrid w:val="0"/>
        </w:rPr>
        <w:t>.</w:t>
      </w:r>
      <w:r>
        <w:rPr>
          <w:snapToGrid w:val="0"/>
        </w:rPr>
        <w:tab/>
        <w:t>Offences concerned with prohibited drugs generally</w:t>
      </w:r>
      <w:r>
        <w:tab/>
      </w:r>
      <w:r>
        <w:fldChar w:fldCharType="begin"/>
      </w:r>
      <w:r>
        <w:instrText xml:space="preserve"> PAGEREF _Toc290558510 \h </w:instrText>
      </w:r>
      <w:r>
        <w:fldChar w:fldCharType="separate"/>
      </w:r>
      <w:r>
        <w:t>8</w:t>
      </w:r>
      <w:r>
        <w:fldChar w:fldCharType="end"/>
      </w:r>
    </w:p>
    <w:p>
      <w:pPr>
        <w:pStyle w:val="TOC8"/>
        <w:rPr>
          <w:sz w:val="24"/>
          <w:szCs w:val="24"/>
          <w:lang w:val="en-US"/>
        </w:rPr>
      </w:pPr>
      <w:r>
        <w:t>7</w:t>
      </w:r>
      <w:r>
        <w:rPr>
          <w:snapToGrid w:val="0"/>
        </w:rPr>
        <w:t>.</w:t>
      </w:r>
      <w:r>
        <w:rPr>
          <w:snapToGrid w:val="0"/>
        </w:rPr>
        <w:tab/>
        <w:t>Offences concerned with prohibited plants generally</w:t>
      </w:r>
      <w:r>
        <w:tab/>
      </w:r>
      <w:r>
        <w:fldChar w:fldCharType="begin"/>
      </w:r>
      <w:r>
        <w:instrText xml:space="preserve"> PAGEREF _Toc290558511 \h </w:instrText>
      </w:r>
      <w:r>
        <w:fldChar w:fldCharType="separate"/>
      </w:r>
      <w:r>
        <w:t>10</w:t>
      </w:r>
      <w:r>
        <w:fldChar w:fldCharType="end"/>
      </w:r>
    </w:p>
    <w:p>
      <w:pPr>
        <w:pStyle w:val="TOC8"/>
        <w:rPr>
          <w:sz w:val="24"/>
          <w:szCs w:val="24"/>
          <w:lang w:val="en-US"/>
        </w:rPr>
      </w:pPr>
      <w:r>
        <w:t>7A</w:t>
      </w:r>
      <w:r>
        <w:rPr>
          <w:snapToGrid w:val="0"/>
        </w:rPr>
        <w:t>.</w:t>
      </w:r>
      <w:r>
        <w:rPr>
          <w:snapToGrid w:val="0"/>
        </w:rPr>
        <w:tab/>
        <w:t>Selling or supplying a thing knowing it will be used in the hydroponic cultivation of a prohibited plant</w:t>
      </w:r>
      <w:r>
        <w:tab/>
      </w:r>
      <w:r>
        <w:fldChar w:fldCharType="begin"/>
      </w:r>
      <w:r>
        <w:instrText xml:space="preserve"> PAGEREF _Toc290558512 \h </w:instrText>
      </w:r>
      <w:r>
        <w:fldChar w:fldCharType="separate"/>
      </w:r>
      <w:r>
        <w:t>11</w:t>
      </w:r>
      <w:r>
        <w:fldChar w:fldCharType="end"/>
      </w:r>
    </w:p>
    <w:p>
      <w:pPr>
        <w:pStyle w:val="TOC8"/>
        <w:rPr>
          <w:sz w:val="24"/>
          <w:szCs w:val="24"/>
          <w:lang w:val="en-US"/>
        </w:rPr>
      </w:pPr>
      <w:r>
        <w:t>8</w:t>
      </w:r>
      <w:r>
        <w:rPr>
          <w:snapToGrid w:val="0"/>
        </w:rPr>
        <w:t>.</w:t>
      </w:r>
      <w:r>
        <w:rPr>
          <w:snapToGrid w:val="0"/>
        </w:rPr>
        <w:tab/>
        <w:t>Fraudulent behaviour in relation to prohibited drugs</w:t>
      </w:r>
      <w:r>
        <w:tab/>
      </w:r>
      <w:r>
        <w:fldChar w:fldCharType="begin"/>
      </w:r>
      <w:r>
        <w:instrText xml:space="preserve"> PAGEREF _Toc290558513 \h </w:instrText>
      </w:r>
      <w:r>
        <w:fldChar w:fldCharType="separate"/>
      </w:r>
      <w:r>
        <w:t>12</w:t>
      </w:r>
      <w:r>
        <w:fldChar w:fldCharType="end"/>
      </w:r>
    </w:p>
    <w:p>
      <w:pPr>
        <w:pStyle w:val="TOC8"/>
        <w:rPr>
          <w:sz w:val="24"/>
          <w:szCs w:val="24"/>
          <w:lang w:val="en-US"/>
        </w:rPr>
      </w:pPr>
      <w:r>
        <w:t>8A.</w:t>
      </w:r>
      <w:r>
        <w:tab/>
        <w:t>Defences relating to industrial hemp or industrial hemp seed</w:t>
      </w:r>
      <w:r>
        <w:tab/>
      </w:r>
      <w:r>
        <w:fldChar w:fldCharType="begin"/>
      </w:r>
      <w:r>
        <w:instrText xml:space="preserve"> PAGEREF _Toc290558514 \h </w:instrText>
      </w:r>
      <w:r>
        <w:fldChar w:fldCharType="separate"/>
      </w:r>
      <w:r>
        <w:t>12</w:t>
      </w:r>
      <w:r>
        <w:fldChar w:fldCharType="end"/>
      </w:r>
    </w:p>
    <w:p>
      <w:pPr>
        <w:pStyle w:val="TOC2"/>
        <w:tabs>
          <w:tab w:val="right" w:leader="dot" w:pos="7086"/>
        </w:tabs>
        <w:rPr>
          <w:b w:val="0"/>
          <w:sz w:val="24"/>
          <w:szCs w:val="24"/>
          <w:lang w:val="en-US"/>
        </w:rPr>
      </w:pPr>
      <w:r>
        <w:t>Part III — Procedure</w:t>
      </w:r>
    </w:p>
    <w:p>
      <w:pPr>
        <w:pStyle w:val="TOC8"/>
        <w:rPr>
          <w:sz w:val="24"/>
          <w:szCs w:val="24"/>
          <w:lang w:val="en-US"/>
        </w:rPr>
      </w:pPr>
      <w:r>
        <w:t>9.</w:t>
      </w:r>
      <w:r>
        <w:tab/>
        <w:t>Summary trial of some indictable offences</w:t>
      </w:r>
      <w:r>
        <w:tab/>
      </w:r>
      <w:r>
        <w:fldChar w:fldCharType="begin"/>
      </w:r>
      <w:r>
        <w:instrText xml:space="preserve"> PAGEREF _Toc290558516 \h </w:instrText>
      </w:r>
      <w:r>
        <w:fldChar w:fldCharType="separate"/>
      </w:r>
      <w:r>
        <w:t>16</w:t>
      </w:r>
      <w:r>
        <w:fldChar w:fldCharType="end"/>
      </w:r>
    </w:p>
    <w:p>
      <w:pPr>
        <w:pStyle w:val="TOC8"/>
        <w:rPr>
          <w:sz w:val="24"/>
          <w:szCs w:val="24"/>
          <w:lang w:val="en-US"/>
        </w:rPr>
      </w:pPr>
      <w:r>
        <w:t>10.</w:t>
      </w:r>
      <w:r>
        <w:tab/>
        <w:t>Alternative verdicts</w:t>
      </w:r>
      <w:r>
        <w:tab/>
      </w:r>
      <w:r>
        <w:fldChar w:fldCharType="begin"/>
      </w:r>
      <w:r>
        <w:instrText xml:space="preserve"> PAGEREF _Toc290558517 \h </w:instrText>
      </w:r>
      <w:r>
        <w:fldChar w:fldCharType="separate"/>
      </w:r>
      <w:r>
        <w:t>17</w:t>
      </w:r>
      <w:r>
        <w:fldChar w:fldCharType="end"/>
      </w:r>
    </w:p>
    <w:p>
      <w:pPr>
        <w:pStyle w:val="TOC8"/>
        <w:rPr>
          <w:sz w:val="24"/>
          <w:szCs w:val="24"/>
          <w:lang w:val="en-US"/>
        </w:rPr>
      </w:pPr>
      <w:r>
        <w:t>11</w:t>
      </w:r>
      <w:r>
        <w:rPr>
          <w:snapToGrid w:val="0"/>
        </w:rPr>
        <w:t>.</w:t>
      </w:r>
      <w:r>
        <w:rPr>
          <w:snapToGrid w:val="0"/>
        </w:rPr>
        <w:tab/>
        <w:t>Presumption of intent to sell or supply</w:t>
      </w:r>
      <w:r>
        <w:tab/>
      </w:r>
      <w:r>
        <w:fldChar w:fldCharType="begin"/>
      </w:r>
      <w:r>
        <w:instrText xml:space="preserve"> PAGEREF _Toc290558518 \h </w:instrText>
      </w:r>
      <w:r>
        <w:fldChar w:fldCharType="separate"/>
      </w:r>
      <w:r>
        <w:t>17</w:t>
      </w:r>
      <w:r>
        <w:fldChar w:fldCharType="end"/>
      </w:r>
    </w:p>
    <w:p>
      <w:pPr>
        <w:pStyle w:val="TOC2"/>
        <w:tabs>
          <w:tab w:val="right" w:leader="dot" w:pos="7086"/>
        </w:tabs>
        <w:rPr>
          <w:b w:val="0"/>
          <w:sz w:val="24"/>
          <w:szCs w:val="24"/>
          <w:lang w:val="en-US"/>
        </w:rPr>
      </w:pPr>
      <w:r>
        <w:t>Part IV</w:t>
      </w:r>
      <w:r>
        <w:rPr>
          <w:b w:val="0"/>
        </w:rPr>
        <w:t> </w:t>
      </w:r>
      <w:r>
        <w:t>—</w:t>
      </w:r>
      <w:r>
        <w:rPr>
          <w:b w:val="0"/>
        </w:rPr>
        <w:t> </w:t>
      </w:r>
      <w:r>
        <w:t>Controls relating to possession, sale, supply and storage of certain substances and things</w:t>
      </w:r>
    </w:p>
    <w:p>
      <w:pPr>
        <w:pStyle w:val="TOC8"/>
        <w:rPr>
          <w:sz w:val="24"/>
          <w:szCs w:val="24"/>
          <w:lang w:val="en-US"/>
        </w:rPr>
      </w:pPr>
      <w:r>
        <w:t>12.</w:t>
      </w:r>
      <w:r>
        <w:tab/>
        <w:t>Terms used in this Part</w:t>
      </w:r>
      <w:r>
        <w:tab/>
      </w:r>
      <w:r>
        <w:fldChar w:fldCharType="begin"/>
      </w:r>
      <w:r>
        <w:instrText xml:space="preserve"> PAGEREF _Toc290558520 \h </w:instrText>
      </w:r>
      <w:r>
        <w:fldChar w:fldCharType="separate"/>
      </w:r>
      <w:r>
        <w:t>19</w:t>
      </w:r>
      <w:r>
        <w:fldChar w:fldCharType="end"/>
      </w:r>
    </w:p>
    <w:p>
      <w:pPr>
        <w:pStyle w:val="TOC8"/>
        <w:rPr>
          <w:sz w:val="24"/>
          <w:szCs w:val="24"/>
          <w:lang w:val="en-US"/>
        </w:rPr>
      </w:pPr>
      <w:r>
        <w:t>13.</w:t>
      </w:r>
      <w:r>
        <w:tab/>
        <w:t>Part not applicable to possession, sale or supply of certain substances or things</w:t>
      </w:r>
      <w:r>
        <w:tab/>
      </w:r>
      <w:r>
        <w:fldChar w:fldCharType="begin"/>
      </w:r>
      <w:r>
        <w:instrText xml:space="preserve"> PAGEREF _Toc290558521 \h </w:instrText>
      </w:r>
      <w:r>
        <w:fldChar w:fldCharType="separate"/>
      </w:r>
      <w:r>
        <w:t>19</w:t>
      </w:r>
      <w:r>
        <w:fldChar w:fldCharType="end"/>
      </w:r>
    </w:p>
    <w:p>
      <w:pPr>
        <w:pStyle w:val="TOC8"/>
        <w:rPr>
          <w:sz w:val="24"/>
          <w:szCs w:val="24"/>
          <w:lang w:val="en-US"/>
        </w:rPr>
      </w:pPr>
      <w:r>
        <w:t>14.</w:t>
      </w:r>
      <w:r>
        <w:tab/>
        <w:t>Possession of certain substances or things</w:t>
      </w:r>
      <w:r>
        <w:tab/>
      </w:r>
      <w:r>
        <w:fldChar w:fldCharType="begin"/>
      </w:r>
      <w:r>
        <w:instrText xml:space="preserve"> PAGEREF _Toc290558522 \h </w:instrText>
      </w:r>
      <w:r>
        <w:fldChar w:fldCharType="separate"/>
      </w:r>
      <w:r>
        <w:t>20</w:t>
      </w:r>
      <w:r>
        <w:fldChar w:fldCharType="end"/>
      </w:r>
    </w:p>
    <w:p>
      <w:pPr>
        <w:pStyle w:val="TOC8"/>
        <w:rPr>
          <w:sz w:val="24"/>
          <w:szCs w:val="24"/>
          <w:lang w:val="en-US"/>
        </w:rPr>
      </w:pPr>
      <w:r>
        <w:t>15.</w:t>
      </w:r>
      <w:r>
        <w:tab/>
        <w:t>Sale or supply of category 1 items</w:t>
      </w:r>
      <w:r>
        <w:tab/>
      </w:r>
      <w:r>
        <w:fldChar w:fldCharType="begin"/>
      </w:r>
      <w:r>
        <w:instrText xml:space="preserve"> PAGEREF _Toc290558523 \h </w:instrText>
      </w:r>
      <w:r>
        <w:fldChar w:fldCharType="separate"/>
      </w:r>
      <w:r>
        <w:t>21</w:t>
      </w:r>
      <w:r>
        <w:fldChar w:fldCharType="end"/>
      </w:r>
    </w:p>
    <w:p>
      <w:pPr>
        <w:pStyle w:val="TOC8"/>
        <w:rPr>
          <w:sz w:val="24"/>
          <w:szCs w:val="24"/>
          <w:lang w:val="en-US"/>
        </w:rPr>
      </w:pPr>
      <w:r>
        <w:t>16.</w:t>
      </w:r>
      <w:r>
        <w:tab/>
        <w:t>Storage of category 1 items</w:t>
      </w:r>
      <w:r>
        <w:tab/>
      </w:r>
      <w:r>
        <w:fldChar w:fldCharType="begin"/>
      </w:r>
      <w:r>
        <w:instrText xml:space="preserve"> PAGEREF _Toc290558524 \h </w:instrText>
      </w:r>
      <w:r>
        <w:fldChar w:fldCharType="separate"/>
      </w:r>
      <w:r>
        <w:t>22</w:t>
      </w:r>
      <w:r>
        <w:fldChar w:fldCharType="end"/>
      </w:r>
    </w:p>
    <w:p>
      <w:pPr>
        <w:pStyle w:val="TOC8"/>
        <w:rPr>
          <w:sz w:val="24"/>
          <w:szCs w:val="24"/>
          <w:lang w:val="en-US"/>
        </w:rPr>
      </w:pPr>
      <w:r>
        <w:t>17.</w:t>
      </w:r>
      <w:r>
        <w:tab/>
        <w:t>Sale or supply of category 2 items</w:t>
      </w:r>
      <w:r>
        <w:tab/>
      </w:r>
      <w:r>
        <w:fldChar w:fldCharType="begin"/>
      </w:r>
      <w:r>
        <w:instrText xml:space="preserve"> PAGEREF _Toc290558525 \h </w:instrText>
      </w:r>
      <w:r>
        <w:fldChar w:fldCharType="separate"/>
      </w:r>
      <w:r>
        <w:t>22</w:t>
      </w:r>
      <w:r>
        <w:fldChar w:fldCharType="end"/>
      </w:r>
    </w:p>
    <w:p>
      <w:pPr>
        <w:pStyle w:val="TOC8"/>
        <w:rPr>
          <w:sz w:val="24"/>
          <w:szCs w:val="24"/>
          <w:lang w:val="en-US"/>
        </w:rPr>
      </w:pPr>
      <w:r>
        <w:t>18.</w:t>
      </w:r>
      <w:r>
        <w:tab/>
        <w:t>Offences relating to declarations under section 15(1)(c) or 17(1)(b)</w:t>
      </w:r>
      <w:r>
        <w:tab/>
      </w:r>
      <w:r>
        <w:fldChar w:fldCharType="begin"/>
      </w:r>
      <w:r>
        <w:instrText xml:space="preserve"> PAGEREF _Toc290558526 \h </w:instrText>
      </w:r>
      <w:r>
        <w:fldChar w:fldCharType="separate"/>
      </w:r>
      <w:r>
        <w:t>23</w:t>
      </w:r>
      <w:r>
        <w:fldChar w:fldCharType="end"/>
      </w:r>
    </w:p>
    <w:p>
      <w:pPr>
        <w:pStyle w:val="TOC8"/>
        <w:rPr>
          <w:sz w:val="24"/>
          <w:szCs w:val="24"/>
          <w:lang w:val="en-US"/>
        </w:rPr>
      </w:pPr>
      <w:r>
        <w:t>19B.</w:t>
      </w:r>
      <w:r>
        <w:tab/>
        <w:t>Selling ice pipes</w:t>
      </w:r>
      <w:r>
        <w:tab/>
      </w:r>
      <w:r>
        <w:fldChar w:fldCharType="begin"/>
      </w:r>
      <w:r>
        <w:instrText xml:space="preserve"> PAGEREF _Toc290558527 \h </w:instrText>
      </w:r>
      <w:r>
        <w:fldChar w:fldCharType="separate"/>
      </w:r>
      <w:r>
        <w:t>23</w:t>
      </w:r>
      <w:r>
        <w:fldChar w:fldCharType="end"/>
      </w:r>
    </w:p>
    <w:p>
      <w:pPr>
        <w:pStyle w:val="TOC8"/>
        <w:rPr>
          <w:sz w:val="24"/>
          <w:szCs w:val="24"/>
          <w:lang w:val="en-US"/>
        </w:rPr>
      </w:pPr>
      <w:r>
        <w:t>19.</w:t>
      </w:r>
      <w:r>
        <w:tab/>
        <w:t>Powers of police officers for purposes of this Part</w:t>
      </w:r>
      <w:r>
        <w:tab/>
      </w:r>
      <w:r>
        <w:fldChar w:fldCharType="begin"/>
      </w:r>
      <w:r>
        <w:instrText xml:space="preserve"> PAGEREF _Toc290558528 \h </w:instrText>
      </w:r>
      <w:r>
        <w:fldChar w:fldCharType="separate"/>
      </w:r>
      <w:r>
        <w:t>24</w:t>
      </w:r>
      <w:r>
        <w:fldChar w:fldCharType="end"/>
      </w:r>
    </w:p>
    <w:p>
      <w:pPr>
        <w:pStyle w:val="TOC8"/>
        <w:rPr>
          <w:sz w:val="24"/>
          <w:szCs w:val="24"/>
          <w:lang w:val="en-US"/>
        </w:rPr>
      </w:pPr>
      <w:r>
        <w:t>20.</w:t>
      </w:r>
      <w:r>
        <w:tab/>
        <w:t>Regulations as to category 1 items and category 2 items</w:t>
      </w:r>
      <w:r>
        <w:tab/>
      </w:r>
      <w:r>
        <w:fldChar w:fldCharType="begin"/>
      </w:r>
      <w:r>
        <w:instrText xml:space="preserve"> PAGEREF _Toc290558529 \h </w:instrText>
      </w:r>
      <w:r>
        <w:fldChar w:fldCharType="separate"/>
      </w:r>
      <w:r>
        <w:t>26</w:t>
      </w:r>
      <w:r>
        <w:fldChar w:fldCharType="end"/>
      </w:r>
    </w:p>
    <w:p>
      <w:pPr>
        <w:pStyle w:val="TOC2"/>
        <w:tabs>
          <w:tab w:val="right" w:leader="dot" w:pos="7086"/>
        </w:tabs>
        <w:rPr>
          <w:b w:val="0"/>
          <w:sz w:val="24"/>
          <w:szCs w:val="24"/>
          <w:lang w:val="en-US"/>
        </w:rPr>
      </w:pPr>
      <w:r>
        <w:t>Part V — Location, seizure, detention and disposal of things used in commission of offences</w:t>
      </w:r>
    </w:p>
    <w:p>
      <w:pPr>
        <w:pStyle w:val="TOC8"/>
        <w:rPr>
          <w:sz w:val="24"/>
          <w:szCs w:val="24"/>
          <w:lang w:val="en-US"/>
        </w:rPr>
      </w:pPr>
      <w:r>
        <w:t>21</w:t>
      </w:r>
      <w:r>
        <w:rPr>
          <w:snapToGrid w:val="0"/>
        </w:rPr>
        <w:t>.</w:t>
      </w:r>
      <w:r>
        <w:rPr>
          <w:snapToGrid w:val="0"/>
        </w:rPr>
        <w:tab/>
        <w:t>Terms used in this Part</w:t>
      </w:r>
      <w:r>
        <w:tab/>
      </w:r>
      <w:r>
        <w:fldChar w:fldCharType="begin"/>
      </w:r>
      <w:r>
        <w:instrText xml:space="preserve"> PAGEREF _Toc290558531 \h </w:instrText>
      </w:r>
      <w:r>
        <w:fldChar w:fldCharType="separate"/>
      </w:r>
      <w:r>
        <w:t>27</w:t>
      </w:r>
      <w:r>
        <w:fldChar w:fldCharType="end"/>
      </w:r>
    </w:p>
    <w:p>
      <w:pPr>
        <w:pStyle w:val="TOC8"/>
        <w:rPr>
          <w:sz w:val="24"/>
          <w:szCs w:val="24"/>
          <w:lang w:val="en-US"/>
        </w:rPr>
      </w:pPr>
      <w:r>
        <w:t>22</w:t>
      </w:r>
      <w:r>
        <w:rPr>
          <w:snapToGrid w:val="0"/>
        </w:rPr>
        <w:t>.</w:t>
      </w:r>
      <w:r>
        <w:rPr>
          <w:snapToGrid w:val="0"/>
        </w:rPr>
        <w:tab/>
        <w:t>Powers of police officers and approved persons in relation to manufacturers, sellers and suppliers of prohibited drugs and cultivators, sellers and suppliers of prohibited plants</w:t>
      </w:r>
      <w:r>
        <w:tab/>
      </w:r>
      <w:r>
        <w:fldChar w:fldCharType="begin"/>
      </w:r>
      <w:r>
        <w:instrText xml:space="preserve"> PAGEREF _Toc290558532 \h </w:instrText>
      </w:r>
      <w:r>
        <w:fldChar w:fldCharType="separate"/>
      </w:r>
      <w:r>
        <w:t>27</w:t>
      </w:r>
      <w:r>
        <w:fldChar w:fldCharType="end"/>
      </w:r>
    </w:p>
    <w:p>
      <w:pPr>
        <w:pStyle w:val="TOC8"/>
        <w:rPr>
          <w:sz w:val="24"/>
          <w:szCs w:val="24"/>
          <w:lang w:val="en-US"/>
        </w:rPr>
      </w:pPr>
      <w:r>
        <w:t>23</w:t>
      </w:r>
      <w:r>
        <w:rPr>
          <w:snapToGrid w:val="0"/>
        </w:rPr>
        <w:t>.</w:t>
      </w:r>
      <w:r>
        <w:rPr>
          <w:snapToGrid w:val="0"/>
        </w:rPr>
        <w:tab/>
        <w:t>Powers of police officers when things suspected of being used in commission of offences</w:t>
      </w:r>
      <w:r>
        <w:tab/>
      </w:r>
      <w:r>
        <w:fldChar w:fldCharType="begin"/>
      </w:r>
      <w:r>
        <w:instrText xml:space="preserve"> PAGEREF _Toc290558533 \h </w:instrText>
      </w:r>
      <w:r>
        <w:fldChar w:fldCharType="separate"/>
      </w:r>
      <w:r>
        <w:t>28</w:t>
      </w:r>
      <w:r>
        <w:fldChar w:fldCharType="end"/>
      </w:r>
    </w:p>
    <w:p>
      <w:pPr>
        <w:pStyle w:val="TOC8"/>
        <w:rPr>
          <w:sz w:val="24"/>
          <w:szCs w:val="24"/>
          <w:lang w:val="en-US"/>
        </w:rPr>
      </w:pPr>
      <w:r>
        <w:t>24</w:t>
      </w:r>
      <w:r>
        <w:rPr>
          <w:snapToGrid w:val="0"/>
        </w:rPr>
        <w:t>.</w:t>
      </w:r>
      <w:r>
        <w:rPr>
          <w:snapToGrid w:val="0"/>
        </w:rPr>
        <w:tab/>
        <w:t>Granting of search warrants in connection with prevention or detection of offences</w:t>
      </w:r>
      <w:r>
        <w:tab/>
      </w:r>
      <w:r>
        <w:fldChar w:fldCharType="begin"/>
      </w:r>
      <w:r>
        <w:instrText xml:space="preserve"> PAGEREF _Toc290558534 \h </w:instrText>
      </w:r>
      <w:r>
        <w:fldChar w:fldCharType="separate"/>
      </w:r>
      <w:r>
        <w:t>29</w:t>
      </w:r>
      <w:r>
        <w:fldChar w:fldCharType="end"/>
      </w:r>
    </w:p>
    <w:p>
      <w:pPr>
        <w:pStyle w:val="TOC8"/>
        <w:rPr>
          <w:sz w:val="24"/>
          <w:szCs w:val="24"/>
          <w:lang w:val="en-US"/>
        </w:rPr>
      </w:pPr>
      <w:r>
        <w:t>25</w:t>
      </w:r>
      <w:r>
        <w:rPr>
          <w:snapToGrid w:val="0"/>
        </w:rPr>
        <w:t>.</w:t>
      </w:r>
      <w:r>
        <w:rPr>
          <w:snapToGrid w:val="0"/>
        </w:rPr>
        <w:tab/>
        <w:t>Powers ancillary to power of search</w:t>
      </w:r>
      <w:r>
        <w:tab/>
      </w:r>
      <w:r>
        <w:fldChar w:fldCharType="begin"/>
      </w:r>
      <w:r>
        <w:instrText xml:space="preserve"> PAGEREF _Toc290558535 \h </w:instrText>
      </w:r>
      <w:r>
        <w:fldChar w:fldCharType="separate"/>
      </w:r>
      <w:r>
        <w:t>30</w:t>
      </w:r>
      <w:r>
        <w:fldChar w:fldCharType="end"/>
      </w:r>
    </w:p>
    <w:p>
      <w:pPr>
        <w:pStyle w:val="TOC8"/>
        <w:rPr>
          <w:sz w:val="24"/>
          <w:szCs w:val="24"/>
          <w:lang w:val="en-US"/>
        </w:rPr>
      </w:pPr>
      <w:r>
        <w:t>26</w:t>
      </w:r>
      <w:r>
        <w:rPr>
          <w:snapToGrid w:val="0"/>
        </w:rPr>
        <w:t>.</w:t>
      </w:r>
      <w:r>
        <w:rPr>
          <w:snapToGrid w:val="0"/>
        </w:rPr>
        <w:tab/>
        <w:t>Powers of police officers and others when things suspected of being used in commission of offences found, received or acquired</w:t>
      </w:r>
      <w:r>
        <w:tab/>
      </w:r>
      <w:r>
        <w:fldChar w:fldCharType="begin"/>
      </w:r>
      <w:r>
        <w:instrText xml:space="preserve"> PAGEREF _Toc290558536 \h </w:instrText>
      </w:r>
      <w:r>
        <w:fldChar w:fldCharType="separate"/>
      </w:r>
      <w:r>
        <w:t>31</w:t>
      </w:r>
      <w:r>
        <w:fldChar w:fldCharType="end"/>
      </w:r>
    </w:p>
    <w:p>
      <w:pPr>
        <w:pStyle w:val="TOC8"/>
        <w:rPr>
          <w:sz w:val="24"/>
          <w:szCs w:val="24"/>
          <w:lang w:val="en-US"/>
        </w:rPr>
      </w:pPr>
      <w:r>
        <w:t>26A</w:t>
      </w:r>
      <w:r>
        <w:rPr>
          <w:snapToGrid w:val="0"/>
        </w:rPr>
        <w:t>.</w:t>
      </w:r>
      <w:r>
        <w:rPr>
          <w:snapToGrid w:val="0"/>
        </w:rPr>
        <w:tab/>
        <w:t>Powers of approved analyst or approved botanist</w:t>
      </w:r>
      <w:r>
        <w:tab/>
      </w:r>
      <w:r>
        <w:fldChar w:fldCharType="begin"/>
      </w:r>
      <w:r>
        <w:instrText xml:space="preserve"> PAGEREF _Toc290558537 \h </w:instrText>
      </w:r>
      <w:r>
        <w:fldChar w:fldCharType="separate"/>
      </w:r>
      <w:r>
        <w:t>32</w:t>
      </w:r>
      <w:r>
        <w:fldChar w:fldCharType="end"/>
      </w:r>
    </w:p>
    <w:p>
      <w:pPr>
        <w:pStyle w:val="TOC8"/>
        <w:rPr>
          <w:sz w:val="24"/>
          <w:szCs w:val="24"/>
          <w:lang w:val="en-US"/>
        </w:rPr>
      </w:pPr>
      <w:r>
        <w:t>27</w:t>
      </w:r>
      <w:r>
        <w:rPr>
          <w:snapToGrid w:val="0"/>
        </w:rPr>
        <w:t>.</w:t>
      </w:r>
      <w:r>
        <w:rPr>
          <w:snapToGrid w:val="0"/>
        </w:rPr>
        <w:tab/>
        <w:t>Disposal of prohibited drugs and prohibited plants</w:t>
      </w:r>
      <w:r>
        <w:tab/>
      </w:r>
      <w:r>
        <w:fldChar w:fldCharType="begin"/>
      </w:r>
      <w:r>
        <w:instrText xml:space="preserve"> PAGEREF _Toc290558538 \h </w:instrText>
      </w:r>
      <w:r>
        <w:fldChar w:fldCharType="separate"/>
      </w:r>
      <w:r>
        <w:t>32</w:t>
      </w:r>
      <w:r>
        <w:fldChar w:fldCharType="end"/>
      </w:r>
    </w:p>
    <w:p>
      <w:pPr>
        <w:pStyle w:val="TOC8"/>
        <w:rPr>
          <w:sz w:val="24"/>
          <w:szCs w:val="24"/>
          <w:lang w:val="en-US"/>
        </w:rPr>
      </w:pPr>
      <w:r>
        <w:t>27A</w:t>
      </w:r>
      <w:r>
        <w:rPr>
          <w:snapToGrid w:val="0"/>
        </w:rPr>
        <w:t xml:space="preserve">. </w:t>
      </w:r>
      <w:r>
        <w:rPr>
          <w:snapToGrid w:val="0"/>
        </w:rPr>
        <w:tab/>
        <w:t>Analysis at request of accused</w:t>
      </w:r>
      <w:r>
        <w:tab/>
      </w:r>
      <w:r>
        <w:fldChar w:fldCharType="begin"/>
      </w:r>
      <w:r>
        <w:instrText xml:space="preserve"> PAGEREF _Toc290558539 \h </w:instrText>
      </w:r>
      <w:r>
        <w:fldChar w:fldCharType="separate"/>
      </w:r>
      <w:r>
        <w:t>34</w:t>
      </w:r>
      <w:r>
        <w:fldChar w:fldCharType="end"/>
      </w:r>
    </w:p>
    <w:p>
      <w:pPr>
        <w:pStyle w:val="TOC8"/>
        <w:rPr>
          <w:sz w:val="24"/>
          <w:szCs w:val="24"/>
          <w:lang w:val="en-US"/>
        </w:rPr>
      </w:pPr>
      <w:r>
        <w:t>27B</w:t>
      </w:r>
      <w:r>
        <w:rPr>
          <w:snapToGrid w:val="0"/>
        </w:rPr>
        <w:t xml:space="preserve">. </w:t>
      </w:r>
      <w:r>
        <w:rPr>
          <w:snapToGrid w:val="0"/>
        </w:rPr>
        <w:tab/>
        <w:t>Confidentiality</w:t>
      </w:r>
      <w:r>
        <w:tab/>
      </w:r>
      <w:r>
        <w:fldChar w:fldCharType="begin"/>
      </w:r>
      <w:r>
        <w:instrText xml:space="preserve"> PAGEREF _Toc290558540 \h </w:instrText>
      </w:r>
      <w:r>
        <w:fldChar w:fldCharType="separate"/>
      </w:r>
      <w:r>
        <w:t>35</w:t>
      </w:r>
      <w:r>
        <w:fldChar w:fldCharType="end"/>
      </w:r>
    </w:p>
    <w:p>
      <w:pPr>
        <w:pStyle w:val="TOC8"/>
        <w:rPr>
          <w:sz w:val="24"/>
          <w:szCs w:val="24"/>
          <w:lang w:val="en-US"/>
        </w:rPr>
      </w:pPr>
      <w:r>
        <w:t>28</w:t>
      </w:r>
      <w:r>
        <w:rPr>
          <w:snapToGrid w:val="0"/>
        </w:rPr>
        <w:t>.</w:t>
      </w:r>
      <w:r>
        <w:rPr>
          <w:snapToGrid w:val="0"/>
        </w:rPr>
        <w:tab/>
        <w:t>Disposal of things other than prohibited drugs and prohibited plants</w:t>
      </w:r>
      <w:r>
        <w:tab/>
      </w:r>
      <w:r>
        <w:fldChar w:fldCharType="begin"/>
      </w:r>
      <w:r>
        <w:instrText xml:space="preserve"> PAGEREF _Toc290558541 \h </w:instrText>
      </w:r>
      <w:r>
        <w:fldChar w:fldCharType="separate"/>
      </w:r>
      <w:r>
        <w:t>36</w:t>
      </w:r>
      <w:r>
        <w:fldChar w:fldCharType="end"/>
      </w:r>
    </w:p>
    <w:p>
      <w:pPr>
        <w:pStyle w:val="TOC8"/>
        <w:rPr>
          <w:sz w:val="24"/>
          <w:szCs w:val="24"/>
          <w:lang w:val="en-US"/>
        </w:rPr>
      </w:pPr>
      <w:r>
        <w:t>29</w:t>
      </w:r>
      <w:r>
        <w:rPr>
          <w:snapToGrid w:val="0"/>
        </w:rPr>
        <w:t>.</w:t>
      </w:r>
      <w:r>
        <w:rPr>
          <w:snapToGrid w:val="0"/>
        </w:rPr>
        <w:tab/>
        <w:t>Hindering police officers and approved persons in exercise of powers conferred by or under this Part</w:t>
      </w:r>
      <w:r>
        <w:tab/>
      </w:r>
      <w:r>
        <w:fldChar w:fldCharType="begin"/>
      </w:r>
      <w:r>
        <w:instrText xml:space="preserve"> PAGEREF _Toc290558542 \h </w:instrText>
      </w:r>
      <w:r>
        <w:fldChar w:fldCharType="separate"/>
      </w:r>
      <w:r>
        <w:t>37</w:t>
      </w:r>
      <w:r>
        <w:fldChar w:fldCharType="end"/>
      </w:r>
    </w:p>
    <w:p>
      <w:pPr>
        <w:pStyle w:val="TOC8"/>
        <w:rPr>
          <w:sz w:val="24"/>
          <w:szCs w:val="24"/>
          <w:lang w:val="en-US"/>
        </w:rPr>
      </w:pPr>
      <w:r>
        <w:t>30</w:t>
      </w:r>
      <w:r>
        <w:rPr>
          <w:snapToGrid w:val="0"/>
        </w:rPr>
        <w:t>.</w:t>
      </w:r>
      <w:r>
        <w:rPr>
          <w:snapToGrid w:val="0"/>
        </w:rPr>
        <w:tab/>
        <w:t>Approved persons</w:t>
      </w:r>
      <w:r>
        <w:tab/>
      </w:r>
      <w:r>
        <w:fldChar w:fldCharType="begin"/>
      </w:r>
      <w:r>
        <w:instrText xml:space="preserve"> PAGEREF _Toc290558543 \h </w:instrText>
      </w:r>
      <w:r>
        <w:fldChar w:fldCharType="separate"/>
      </w:r>
      <w:r>
        <w:t>37</w:t>
      </w:r>
      <w:r>
        <w:fldChar w:fldCharType="end"/>
      </w:r>
    </w:p>
    <w:p>
      <w:pPr>
        <w:pStyle w:val="TOC2"/>
        <w:tabs>
          <w:tab w:val="right" w:leader="dot" w:pos="7086"/>
        </w:tabs>
        <w:rPr>
          <w:b w:val="0"/>
          <w:sz w:val="24"/>
          <w:szCs w:val="24"/>
          <w:lang w:val="en-US"/>
        </w:rPr>
      </w:pPr>
      <w:r>
        <w:t>Part VI — General</w:t>
      </w:r>
    </w:p>
    <w:p>
      <w:pPr>
        <w:pStyle w:val="TOC8"/>
        <w:rPr>
          <w:sz w:val="24"/>
          <w:szCs w:val="24"/>
          <w:lang w:val="en-US"/>
        </w:rPr>
      </w:pPr>
      <w:r>
        <w:t>31</w:t>
      </w:r>
      <w:r>
        <w:rPr>
          <w:snapToGrid w:val="0"/>
        </w:rPr>
        <w:t>.</w:t>
      </w:r>
      <w:r>
        <w:rPr>
          <w:snapToGrid w:val="0"/>
        </w:rPr>
        <w:tab/>
        <w:t>Undercover officers</w:t>
      </w:r>
      <w:r>
        <w:tab/>
      </w:r>
      <w:r>
        <w:fldChar w:fldCharType="begin"/>
      </w:r>
      <w:r>
        <w:instrText xml:space="preserve"> PAGEREF _Toc290558545 \h </w:instrText>
      </w:r>
      <w:r>
        <w:fldChar w:fldCharType="separate"/>
      </w:r>
      <w:r>
        <w:t>38</w:t>
      </w:r>
      <w:r>
        <w:fldChar w:fldCharType="end"/>
      </w:r>
    </w:p>
    <w:p>
      <w:pPr>
        <w:pStyle w:val="TOC8"/>
        <w:rPr>
          <w:sz w:val="24"/>
          <w:szCs w:val="24"/>
          <w:lang w:val="en-US"/>
        </w:rPr>
      </w:pPr>
      <w:r>
        <w:t>32</w:t>
      </w:r>
      <w:r>
        <w:rPr>
          <w:snapToGrid w:val="0"/>
        </w:rPr>
        <w:t>.</w:t>
      </w:r>
      <w:r>
        <w:rPr>
          <w:snapToGrid w:val="0"/>
        </w:rPr>
        <w:tab/>
        <w:t>No limitation</w:t>
      </w:r>
      <w:r>
        <w:tab/>
      </w:r>
      <w:r>
        <w:fldChar w:fldCharType="begin"/>
      </w:r>
      <w:r>
        <w:instrText xml:space="preserve"> PAGEREF _Toc290558546 \h </w:instrText>
      </w:r>
      <w:r>
        <w:fldChar w:fldCharType="separate"/>
      </w:r>
      <w:r>
        <w:t>39</w:t>
      </w:r>
      <w:r>
        <w:fldChar w:fldCharType="end"/>
      </w:r>
    </w:p>
    <w:p>
      <w:pPr>
        <w:pStyle w:val="TOC8"/>
        <w:rPr>
          <w:sz w:val="24"/>
          <w:szCs w:val="24"/>
          <w:lang w:val="en-US"/>
        </w:rPr>
      </w:pPr>
      <w:r>
        <w:t>32A</w:t>
      </w:r>
      <w:r>
        <w:rPr>
          <w:snapToGrid w:val="0"/>
        </w:rPr>
        <w:t xml:space="preserve">. </w:t>
      </w:r>
      <w:r>
        <w:rPr>
          <w:snapToGrid w:val="0"/>
        </w:rPr>
        <w:tab/>
        <w:t>Drug trafficking</w:t>
      </w:r>
      <w:r>
        <w:tab/>
      </w:r>
      <w:r>
        <w:fldChar w:fldCharType="begin"/>
      </w:r>
      <w:r>
        <w:instrText xml:space="preserve"> PAGEREF _Toc290558547 \h </w:instrText>
      </w:r>
      <w:r>
        <w:fldChar w:fldCharType="separate"/>
      </w:r>
      <w:r>
        <w:t>39</w:t>
      </w:r>
      <w:r>
        <w:fldChar w:fldCharType="end"/>
      </w:r>
    </w:p>
    <w:p>
      <w:pPr>
        <w:pStyle w:val="TOC8"/>
        <w:rPr>
          <w:sz w:val="24"/>
          <w:szCs w:val="24"/>
          <w:lang w:val="en-US"/>
        </w:rPr>
      </w:pPr>
      <w:r>
        <w:t>33</w:t>
      </w:r>
      <w:r>
        <w:rPr>
          <w:snapToGrid w:val="0"/>
        </w:rPr>
        <w:t>.</w:t>
      </w:r>
      <w:r>
        <w:rPr>
          <w:snapToGrid w:val="0"/>
        </w:rPr>
        <w:tab/>
        <w:t>Attempts, conspiracies, incitements and accessories after the fact</w:t>
      </w:r>
      <w:r>
        <w:tab/>
      </w:r>
      <w:r>
        <w:fldChar w:fldCharType="begin"/>
      </w:r>
      <w:r>
        <w:instrText xml:space="preserve"> PAGEREF _Toc290558548 \h </w:instrText>
      </w:r>
      <w:r>
        <w:fldChar w:fldCharType="separate"/>
      </w:r>
      <w:r>
        <w:t>41</w:t>
      </w:r>
      <w:r>
        <w:fldChar w:fldCharType="end"/>
      </w:r>
    </w:p>
    <w:p>
      <w:pPr>
        <w:pStyle w:val="TOC8"/>
        <w:rPr>
          <w:sz w:val="24"/>
          <w:szCs w:val="24"/>
          <w:lang w:val="en-US"/>
        </w:rPr>
      </w:pPr>
      <w:r>
        <w:t>34</w:t>
      </w:r>
      <w:r>
        <w:rPr>
          <w:snapToGrid w:val="0"/>
        </w:rPr>
        <w:t>.</w:t>
      </w:r>
      <w:r>
        <w:rPr>
          <w:snapToGrid w:val="0"/>
        </w:rPr>
        <w:tab/>
        <w:t>Penalties</w:t>
      </w:r>
      <w:r>
        <w:tab/>
      </w:r>
      <w:r>
        <w:fldChar w:fldCharType="begin"/>
      </w:r>
      <w:r>
        <w:instrText xml:space="preserve"> PAGEREF _Toc290558549 \h </w:instrText>
      </w:r>
      <w:r>
        <w:fldChar w:fldCharType="separate"/>
      </w:r>
      <w:r>
        <w:t>42</w:t>
      </w:r>
      <w:r>
        <w:fldChar w:fldCharType="end"/>
      </w:r>
    </w:p>
    <w:p>
      <w:pPr>
        <w:pStyle w:val="TOC8"/>
        <w:rPr>
          <w:sz w:val="24"/>
          <w:szCs w:val="24"/>
          <w:lang w:val="en-US"/>
        </w:rPr>
      </w:pPr>
      <w:r>
        <w:t>35</w:t>
      </w:r>
      <w:r>
        <w:rPr>
          <w:snapToGrid w:val="0"/>
        </w:rPr>
        <w:t>.</w:t>
      </w:r>
      <w:r>
        <w:rPr>
          <w:snapToGrid w:val="0"/>
        </w:rPr>
        <w:tab/>
        <w:t>Criminal liability of company officers</w:t>
      </w:r>
      <w:r>
        <w:tab/>
      </w:r>
      <w:r>
        <w:fldChar w:fldCharType="begin"/>
      </w:r>
      <w:r>
        <w:instrText xml:space="preserve"> PAGEREF _Toc290558550 \h </w:instrText>
      </w:r>
      <w:r>
        <w:fldChar w:fldCharType="separate"/>
      </w:r>
      <w:r>
        <w:t>43</w:t>
      </w:r>
      <w:r>
        <w:fldChar w:fldCharType="end"/>
      </w:r>
    </w:p>
    <w:p>
      <w:pPr>
        <w:pStyle w:val="TOC8"/>
        <w:rPr>
          <w:sz w:val="24"/>
          <w:szCs w:val="24"/>
          <w:lang w:val="en-US"/>
        </w:rPr>
      </w:pPr>
      <w:r>
        <w:t>37</w:t>
      </w:r>
      <w:r>
        <w:rPr>
          <w:snapToGrid w:val="0"/>
        </w:rPr>
        <w:t>.</w:t>
      </w:r>
      <w:r>
        <w:rPr>
          <w:snapToGrid w:val="0"/>
        </w:rPr>
        <w:tab/>
        <w:t>Proof of exceptions</w:t>
      </w:r>
      <w:r>
        <w:tab/>
      </w:r>
      <w:r>
        <w:fldChar w:fldCharType="begin"/>
      </w:r>
      <w:r>
        <w:instrText xml:space="preserve"> PAGEREF _Toc290558551 \h </w:instrText>
      </w:r>
      <w:r>
        <w:fldChar w:fldCharType="separate"/>
      </w:r>
      <w:r>
        <w:t>43</w:t>
      </w:r>
      <w:r>
        <w:fldChar w:fldCharType="end"/>
      </w:r>
    </w:p>
    <w:p>
      <w:pPr>
        <w:pStyle w:val="TOC8"/>
        <w:rPr>
          <w:sz w:val="24"/>
          <w:szCs w:val="24"/>
          <w:lang w:val="en-US"/>
        </w:rPr>
      </w:pPr>
      <w:r>
        <w:t>38</w:t>
      </w:r>
      <w:r>
        <w:rPr>
          <w:snapToGrid w:val="0"/>
        </w:rPr>
        <w:t>.</w:t>
      </w:r>
      <w:r>
        <w:rPr>
          <w:snapToGrid w:val="0"/>
        </w:rPr>
        <w:tab/>
        <w:t>Certificate of approved analyst or approved botanist</w:t>
      </w:r>
      <w:r>
        <w:tab/>
      </w:r>
      <w:r>
        <w:fldChar w:fldCharType="begin"/>
      </w:r>
      <w:r>
        <w:instrText xml:space="preserve"> PAGEREF _Toc290558552 \h </w:instrText>
      </w:r>
      <w:r>
        <w:fldChar w:fldCharType="separate"/>
      </w:r>
      <w:r>
        <w:t>44</w:t>
      </w:r>
      <w:r>
        <w:fldChar w:fldCharType="end"/>
      </w:r>
    </w:p>
    <w:p>
      <w:pPr>
        <w:pStyle w:val="TOC8"/>
        <w:rPr>
          <w:sz w:val="24"/>
          <w:szCs w:val="24"/>
          <w:lang w:val="en-US"/>
        </w:rPr>
      </w:pPr>
      <w:r>
        <w:t>38A</w:t>
      </w:r>
      <w:r>
        <w:rPr>
          <w:snapToGrid w:val="0"/>
        </w:rPr>
        <w:t xml:space="preserve">. </w:t>
      </w:r>
      <w:r>
        <w:rPr>
          <w:snapToGrid w:val="0"/>
        </w:rPr>
        <w:tab/>
        <w:t>Accused may obtain a copy of certificate</w:t>
      </w:r>
      <w:r>
        <w:tab/>
      </w:r>
      <w:r>
        <w:fldChar w:fldCharType="begin"/>
      </w:r>
      <w:r>
        <w:instrText xml:space="preserve"> PAGEREF _Toc290558553 \h </w:instrText>
      </w:r>
      <w:r>
        <w:fldChar w:fldCharType="separate"/>
      </w:r>
      <w:r>
        <w:t>44</w:t>
      </w:r>
      <w:r>
        <w:fldChar w:fldCharType="end"/>
      </w:r>
    </w:p>
    <w:p>
      <w:pPr>
        <w:pStyle w:val="TOC8"/>
        <w:rPr>
          <w:sz w:val="24"/>
          <w:szCs w:val="24"/>
          <w:lang w:val="en-US"/>
        </w:rPr>
      </w:pPr>
      <w:r>
        <w:t>38B</w:t>
      </w:r>
      <w:r>
        <w:rPr>
          <w:snapToGrid w:val="0"/>
        </w:rPr>
        <w:t xml:space="preserve">. </w:t>
      </w:r>
      <w:r>
        <w:rPr>
          <w:snapToGrid w:val="0"/>
        </w:rPr>
        <w:tab/>
        <w:t>Accused may object to use of certificate</w:t>
      </w:r>
      <w:r>
        <w:tab/>
      </w:r>
      <w:r>
        <w:fldChar w:fldCharType="begin"/>
      </w:r>
      <w:r>
        <w:instrText xml:space="preserve"> PAGEREF _Toc290558554 \h </w:instrText>
      </w:r>
      <w:r>
        <w:fldChar w:fldCharType="separate"/>
      </w:r>
      <w:r>
        <w:t>45</w:t>
      </w:r>
      <w:r>
        <w:fldChar w:fldCharType="end"/>
      </w:r>
    </w:p>
    <w:p>
      <w:pPr>
        <w:pStyle w:val="TOC8"/>
        <w:rPr>
          <w:sz w:val="24"/>
          <w:szCs w:val="24"/>
          <w:lang w:val="en-US"/>
        </w:rPr>
      </w:pPr>
      <w:r>
        <w:t>38C</w:t>
      </w:r>
      <w:r>
        <w:rPr>
          <w:snapToGrid w:val="0"/>
        </w:rPr>
        <w:t xml:space="preserve">. </w:t>
      </w:r>
      <w:r>
        <w:rPr>
          <w:snapToGrid w:val="0"/>
        </w:rPr>
        <w:tab/>
        <w:t>Order for costs of approved analyst or approved botanist</w:t>
      </w:r>
      <w:r>
        <w:tab/>
      </w:r>
      <w:r>
        <w:fldChar w:fldCharType="begin"/>
      </w:r>
      <w:r>
        <w:instrText xml:space="preserve"> PAGEREF _Toc290558555 \h </w:instrText>
      </w:r>
      <w:r>
        <w:fldChar w:fldCharType="separate"/>
      </w:r>
      <w:r>
        <w:t>45</w:t>
      </w:r>
      <w:r>
        <w:fldChar w:fldCharType="end"/>
      </w:r>
    </w:p>
    <w:p>
      <w:pPr>
        <w:pStyle w:val="TOC8"/>
        <w:rPr>
          <w:sz w:val="24"/>
          <w:szCs w:val="24"/>
          <w:lang w:val="en-US"/>
        </w:rPr>
      </w:pPr>
      <w:r>
        <w:t>38D</w:t>
      </w:r>
      <w:r>
        <w:rPr>
          <w:snapToGrid w:val="0"/>
        </w:rPr>
        <w:t xml:space="preserve">. </w:t>
      </w:r>
      <w:r>
        <w:rPr>
          <w:snapToGrid w:val="0"/>
        </w:rPr>
        <w:tab/>
        <w:t>Evidence of contents of standard</w:t>
      </w:r>
      <w:r>
        <w:tab/>
      </w:r>
      <w:r>
        <w:fldChar w:fldCharType="begin"/>
      </w:r>
      <w:r>
        <w:instrText xml:space="preserve"> PAGEREF _Toc290558556 \h </w:instrText>
      </w:r>
      <w:r>
        <w:fldChar w:fldCharType="separate"/>
      </w:r>
      <w:r>
        <w:t>46</w:t>
      </w:r>
      <w:r>
        <w:fldChar w:fldCharType="end"/>
      </w:r>
    </w:p>
    <w:p>
      <w:pPr>
        <w:pStyle w:val="TOC8"/>
        <w:rPr>
          <w:sz w:val="24"/>
          <w:szCs w:val="24"/>
          <w:lang w:val="en-US"/>
        </w:rPr>
      </w:pPr>
      <w:r>
        <w:t>39</w:t>
      </w:r>
      <w:r>
        <w:rPr>
          <w:snapToGrid w:val="0"/>
        </w:rPr>
        <w:t>.</w:t>
      </w:r>
      <w:r>
        <w:rPr>
          <w:snapToGrid w:val="0"/>
        </w:rPr>
        <w:tab/>
        <w:t>Delegation by Commissioner</w:t>
      </w:r>
      <w:r>
        <w:tab/>
      </w:r>
      <w:r>
        <w:fldChar w:fldCharType="begin"/>
      </w:r>
      <w:r>
        <w:instrText xml:space="preserve"> PAGEREF _Toc290558557 \h </w:instrText>
      </w:r>
      <w:r>
        <w:fldChar w:fldCharType="separate"/>
      </w:r>
      <w:r>
        <w:t>46</w:t>
      </w:r>
      <w:r>
        <w:fldChar w:fldCharType="end"/>
      </w:r>
    </w:p>
    <w:p>
      <w:pPr>
        <w:pStyle w:val="TOC8"/>
        <w:rPr>
          <w:sz w:val="24"/>
          <w:szCs w:val="24"/>
          <w:lang w:val="en-US"/>
        </w:rPr>
      </w:pPr>
      <w:r>
        <w:t>40</w:t>
      </w:r>
      <w:r>
        <w:rPr>
          <w:snapToGrid w:val="0"/>
        </w:rPr>
        <w:t>.</w:t>
      </w:r>
      <w:r>
        <w:rPr>
          <w:snapToGrid w:val="0"/>
        </w:rPr>
        <w:tab/>
        <w:t>Civil liability of persons acting under this Act</w:t>
      </w:r>
      <w:r>
        <w:tab/>
      </w:r>
      <w:r>
        <w:fldChar w:fldCharType="begin"/>
      </w:r>
      <w:r>
        <w:instrText xml:space="preserve"> PAGEREF _Toc290558558 \h </w:instrText>
      </w:r>
      <w:r>
        <w:fldChar w:fldCharType="separate"/>
      </w:r>
      <w:r>
        <w:t>47</w:t>
      </w:r>
      <w:r>
        <w:fldChar w:fldCharType="end"/>
      </w:r>
    </w:p>
    <w:p>
      <w:pPr>
        <w:pStyle w:val="TOC8"/>
        <w:rPr>
          <w:sz w:val="24"/>
          <w:szCs w:val="24"/>
          <w:lang w:val="en-US"/>
        </w:rPr>
      </w:pPr>
      <w:r>
        <w:t>41</w:t>
      </w:r>
      <w:r>
        <w:rPr>
          <w:snapToGrid w:val="0"/>
        </w:rPr>
        <w:t>.</w:t>
      </w:r>
      <w:r>
        <w:rPr>
          <w:snapToGrid w:val="0"/>
        </w:rPr>
        <w:tab/>
        <w:t>Regulations</w:t>
      </w:r>
      <w:r>
        <w:tab/>
      </w:r>
      <w:r>
        <w:fldChar w:fldCharType="begin"/>
      </w:r>
      <w:r>
        <w:instrText xml:space="preserve"> PAGEREF _Toc290558559 \h </w:instrText>
      </w:r>
      <w:r>
        <w:fldChar w:fldCharType="separate"/>
      </w:r>
      <w:r>
        <w:t>47</w:t>
      </w:r>
      <w:r>
        <w:fldChar w:fldCharType="end"/>
      </w:r>
    </w:p>
    <w:p>
      <w:pPr>
        <w:pStyle w:val="TOC8"/>
        <w:rPr>
          <w:sz w:val="24"/>
          <w:szCs w:val="24"/>
          <w:lang w:val="en-US"/>
        </w:rPr>
      </w:pPr>
      <w:r>
        <w:t>42</w:t>
      </w:r>
      <w:r>
        <w:rPr>
          <w:snapToGrid w:val="0"/>
        </w:rPr>
        <w:t>.</w:t>
      </w:r>
      <w:r>
        <w:rPr>
          <w:snapToGrid w:val="0"/>
        </w:rPr>
        <w:tab/>
        <w:t>Amendment of certain schedules</w:t>
      </w:r>
      <w:r>
        <w:tab/>
      </w:r>
      <w:r>
        <w:fldChar w:fldCharType="begin"/>
      </w:r>
      <w:r>
        <w:instrText xml:space="preserve"> PAGEREF _Toc290558560 \h </w:instrText>
      </w:r>
      <w:r>
        <w:fldChar w:fldCharType="separate"/>
      </w:r>
      <w:r>
        <w:t>48</w:t>
      </w:r>
      <w:r>
        <w:fldChar w:fldCharType="end"/>
      </w:r>
    </w:p>
    <w:p>
      <w:pPr>
        <w:pStyle w:val="TOC2"/>
        <w:tabs>
          <w:tab w:val="right" w:leader="dot" w:pos="7086"/>
        </w:tabs>
        <w:rPr>
          <w:b w:val="0"/>
          <w:sz w:val="24"/>
          <w:szCs w:val="24"/>
          <w:lang w:val="en-US"/>
        </w:rPr>
      </w:pPr>
      <w:r>
        <w:t xml:space="preserve">Schedule I — Drugs to which Act applies, notwithstanding anything in </w:t>
      </w:r>
      <w:r>
        <w:rPr>
          <w:i/>
          <w:iCs/>
        </w:rPr>
        <w:t>Poisons Act 1964</w:t>
      </w:r>
    </w:p>
    <w:p>
      <w:pPr>
        <w:pStyle w:val="TOC2"/>
        <w:tabs>
          <w:tab w:val="right" w:leader="dot" w:pos="7086"/>
        </w:tabs>
        <w:rPr>
          <w:b w:val="0"/>
          <w:sz w:val="24"/>
          <w:szCs w:val="24"/>
          <w:lang w:val="en-US"/>
        </w:rPr>
      </w:pPr>
      <w:r>
        <w:t xml:space="preserve">Schedule II — Plants to which Act applies, notwithstanding anything in </w:t>
      </w:r>
      <w:r>
        <w:rPr>
          <w:i/>
          <w:iCs/>
        </w:rPr>
        <w:t>Poisons Act 1964</w:t>
      </w:r>
    </w:p>
    <w:p>
      <w:pPr>
        <w:pStyle w:val="TOC2"/>
        <w:tabs>
          <w:tab w:val="right" w:leader="dot" w:pos="7086"/>
        </w:tabs>
        <w:rPr>
          <w:b w:val="0"/>
          <w:sz w:val="24"/>
          <w:szCs w:val="24"/>
          <w:lang w:val="en-US"/>
        </w:rPr>
      </w:pPr>
      <w:r>
        <w:t>Schedule III — Amounts of prohibited drugs determining court of trial</w:t>
      </w:r>
    </w:p>
    <w:p>
      <w:pPr>
        <w:pStyle w:val="TOC2"/>
        <w:tabs>
          <w:tab w:val="right" w:leader="dot" w:pos="7086"/>
        </w:tabs>
        <w:rPr>
          <w:b w:val="0"/>
          <w:sz w:val="24"/>
          <w:szCs w:val="24"/>
          <w:lang w:val="en-US"/>
        </w:rPr>
      </w:pPr>
      <w:r>
        <w:t>Schedule IV — Numbers of prohibited plants determining court of trial</w:t>
      </w:r>
    </w:p>
    <w:p>
      <w:pPr>
        <w:pStyle w:val="TOC2"/>
        <w:tabs>
          <w:tab w:val="right" w:leader="dot" w:pos="7086"/>
        </w:tabs>
        <w:rPr>
          <w:b w:val="0"/>
          <w:sz w:val="24"/>
          <w:szCs w:val="24"/>
          <w:lang w:val="en-US"/>
        </w:rPr>
      </w:pPr>
      <w:r>
        <w:t>Schedule V — Amounts of prohibited drugs giving rise to presumption of intention to sell or supply same</w:t>
      </w:r>
    </w:p>
    <w:p>
      <w:pPr>
        <w:pStyle w:val="TOC2"/>
        <w:tabs>
          <w:tab w:val="right" w:leader="dot" w:pos="7086"/>
        </w:tabs>
        <w:rPr>
          <w:b w:val="0"/>
          <w:sz w:val="24"/>
          <w:szCs w:val="24"/>
          <w:lang w:val="en-US"/>
        </w:rPr>
      </w:pPr>
      <w:r>
        <w:t>Schedule VI — Numbers of prohibited plants giving rise to presumption of intention to sell or supply same or prohibited drugs obtainable from same</w:t>
      </w:r>
    </w:p>
    <w:p>
      <w:pPr>
        <w:pStyle w:val="TOC2"/>
        <w:tabs>
          <w:tab w:val="right" w:leader="dot" w:pos="7086"/>
        </w:tabs>
        <w:rPr>
          <w:b w:val="0"/>
          <w:sz w:val="24"/>
          <w:szCs w:val="24"/>
          <w:lang w:val="en-US"/>
        </w:rPr>
      </w:pPr>
      <w:r>
        <w:t>Schedule VII — </w:t>
      </w:r>
      <w:r>
        <w:rPr>
          <w:bCs/>
        </w:rPr>
        <w:t>Amounts of prohibited drugs for purposes of drug trafficking</w:t>
      </w:r>
    </w:p>
    <w:p>
      <w:pPr>
        <w:pStyle w:val="TOC2"/>
        <w:tabs>
          <w:tab w:val="right" w:leader="dot" w:pos="7086"/>
        </w:tabs>
        <w:rPr>
          <w:b w:val="0"/>
          <w:sz w:val="24"/>
          <w:szCs w:val="24"/>
          <w:lang w:val="en-US"/>
        </w:rPr>
      </w:pPr>
      <w:r>
        <w:t>Schedule VIII — </w:t>
      </w:r>
      <w:r>
        <w:rPr>
          <w:bCs/>
        </w:rPr>
        <w:t>Numbers of prohibited plants for purposes of drug trafficking</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_Toc290558570 \h </w:instrText>
      </w:r>
      <w:r>
        <w:fldChar w:fldCharType="separate"/>
      </w:r>
      <w:r>
        <w:t>70</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_Toc290558571 \h </w:instrText>
      </w:r>
      <w:r>
        <w:fldChar w:fldCharType="separate"/>
      </w:r>
      <w:r>
        <w:t>73</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rPr>
          <w:rStyle w:val="CharDivText"/>
        </w:rPr>
      </w:pPr>
      <w:smartTag w:uri="urn:schemas-microsoft-com:office:smarttags" w:element="State">
        <w:smartTag w:uri="urn:schemas-microsoft-com:office:smarttags" w:element="place">
          <w:r>
            <w:t>Western Australia</w:t>
          </w:r>
        </w:smartTag>
      </w:smartTag>
    </w:p>
    <w:p>
      <w:pPr>
        <w:pStyle w:val="NameofActReg"/>
        <w:spacing w:before="1200" w:after="1200"/>
      </w:pPr>
      <w:r>
        <w:t xml:space="preserve">Misuse of Drugs Act 1981 </w:t>
      </w:r>
    </w:p>
    <w:p>
      <w:pPr>
        <w:pStyle w:val="LongTitle"/>
        <w:rPr>
          <w:snapToGrid w:val="0"/>
        </w:rPr>
      </w:pPr>
      <w:r>
        <w:rPr>
          <w:snapToGrid w:val="0"/>
        </w:rPr>
        <w:t xml:space="preserve">An Act to prevent the misuse of certain drugs and plants and to provide for matters incidental thereto or connected therewith. </w:t>
      </w:r>
    </w:p>
    <w:p>
      <w:pPr>
        <w:pStyle w:val="Heading2"/>
      </w:pPr>
      <w:bookmarkStart w:id="1" w:name="_Toc72912327"/>
      <w:bookmarkStart w:id="2" w:name="_Toc89162854"/>
      <w:bookmarkStart w:id="3" w:name="_Toc89571141"/>
      <w:bookmarkStart w:id="4" w:name="_Toc90092309"/>
      <w:bookmarkStart w:id="5" w:name="_Toc92603580"/>
      <w:bookmarkStart w:id="6" w:name="_Toc92797764"/>
      <w:bookmarkStart w:id="7" w:name="_Toc97018066"/>
      <w:bookmarkStart w:id="8" w:name="_Toc102387621"/>
      <w:bookmarkStart w:id="9" w:name="_Toc102905252"/>
      <w:bookmarkStart w:id="10" w:name="_Toc105219495"/>
      <w:bookmarkStart w:id="11" w:name="_Toc105220399"/>
      <w:bookmarkStart w:id="12" w:name="_Toc105220467"/>
      <w:bookmarkStart w:id="13" w:name="_Toc105909911"/>
      <w:bookmarkStart w:id="14" w:name="_Toc105910826"/>
      <w:bookmarkStart w:id="15" w:name="_Toc106600670"/>
      <w:bookmarkStart w:id="16" w:name="_Toc106600968"/>
      <w:bookmarkStart w:id="17" w:name="_Toc109615225"/>
      <w:bookmarkStart w:id="18" w:name="_Toc139344519"/>
      <w:bookmarkStart w:id="19" w:name="_Toc139699283"/>
      <w:bookmarkStart w:id="20" w:name="_Toc147051316"/>
      <w:bookmarkStart w:id="21" w:name="_Toc147118771"/>
      <w:bookmarkStart w:id="22" w:name="_Toc148236092"/>
      <w:bookmarkStart w:id="23" w:name="_Toc158704966"/>
      <w:bookmarkStart w:id="24" w:name="_Toc165369926"/>
      <w:bookmarkStart w:id="25" w:name="_Toc177873268"/>
      <w:bookmarkStart w:id="26" w:name="_Toc177873393"/>
      <w:bookmarkStart w:id="27" w:name="_Toc184707350"/>
      <w:bookmarkStart w:id="28" w:name="_Toc189464681"/>
      <w:bookmarkStart w:id="29" w:name="_Toc190249245"/>
      <w:bookmarkStart w:id="30" w:name="_Toc191703139"/>
      <w:bookmarkStart w:id="31" w:name="_Toc193692056"/>
      <w:bookmarkStart w:id="32" w:name="_Toc199817238"/>
      <w:bookmarkStart w:id="33" w:name="_Toc215543711"/>
      <w:bookmarkStart w:id="34" w:name="_Toc215543971"/>
      <w:bookmarkStart w:id="35" w:name="_Toc248029008"/>
      <w:bookmarkStart w:id="36" w:name="_Toc256085057"/>
      <w:bookmarkStart w:id="37" w:name="_Toc256092122"/>
      <w:bookmarkStart w:id="38" w:name="_Toc268600308"/>
      <w:bookmarkStart w:id="39" w:name="_Toc272237437"/>
      <w:bookmarkStart w:id="40" w:name="_Toc275253516"/>
      <w:bookmarkStart w:id="41" w:name="_Toc283287440"/>
      <w:bookmarkStart w:id="42" w:name="_Toc290558426"/>
      <w:bookmarkStart w:id="43" w:name="_Toc290558502"/>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p>
      <w:pPr>
        <w:pStyle w:val="Heading5"/>
        <w:rPr>
          <w:snapToGrid w:val="0"/>
        </w:rPr>
      </w:pPr>
      <w:bookmarkStart w:id="44" w:name="_Toc503149534"/>
      <w:bookmarkStart w:id="45" w:name="_Toc534613829"/>
      <w:bookmarkStart w:id="46" w:name="_Toc535053868"/>
      <w:bookmarkStart w:id="47" w:name="_Toc109615226"/>
      <w:bookmarkStart w:id="48" w:name="_Toc215543712"/>
      <w:bookmarkStart w:id="49" w:name="_Toc290558503"/>
      <w:r>
        <w:rPr>
          <w:rStyle w:val="CharSectno"/>
        </w:rPr>
        <w:t>1</w:t>
      </w:r>
      <w:r>
        <w:rPr>
          <w:snapToGrid w:val="0"/>
        </w:rPr>
        <w:t>.</w:t>
      </w:r>
      <w:r>
        <w:rPr>
          <w:snapToGrid w:val="0"/>
        </w:rPr>
        <w:tab/>
        <w:t>Short title</w:t>
      </w:r>
      <w:bookmarkEnd w:id="44"/>
      <w:bookmarkEnd w:id="45"/>
      <w:bookmarkEnd w:id="46"/>
      <w:bookmarkEnd w:id="47"/>
      <w:bookmarkEnd w:id="48"/>
      <w:bookmarkEnd w:id="49"/>
    </w:p>
    <w:p>
      <w:pPr>
        <w:pStyle w:val="Subsection"/>
        <w:rPr>
          <w:snapToGrid w:val="0"/>
        </w:rPr>
      </w:pPr>
      <w:r>
        <w:rPr>
          <w:snapToGrid w:val="0"/>
        </w:rPr>
        <w:tab/>
      </w:r>
      <w:r>
        <w:rPr>
          <w:snapToGrid w:val="0"/>
        </w:rPr>
        <w:tab/>
        <w:t xml:space="preserve">This Act may be cited as the </w:t>
      </w:r>
      <w:r>
        <w:rPr>
          <w:i/>
          <w:snapToGrid w:val="0"/>
        </w:rPr>
        <w:t>Misuse of Drugs Act 1981</w:t>
      </w:r>
      <w:r>
        <w:rPr>
          <w:snapToGrid w:val="0"/>
        </w:rPr>
        <w:t xml:space="preserve"> </w:t>
      </w:r>
      <w:r>
        <w:rPr>
          <w:snapToGrid w:val="0"/>
          <w:vertAlign w:val="superscript"/>
        </w:rPr>
        <w:t>1</w:t>
      </w:r>
      <w:r>
        <w:rPr>
          <w:snapToGrid w:val="0"/>
        </w:rPr>
        <w:t>.</w:t>
      </w:r>
    </w:p>
    <w:p>
      <w:pPr>
        <w:pStyle w:val="Heading5"/>
        <w:rPr>
          <w:snapToGrid w:val="0"/>
        </w:rPr>
      </w:pPr>
      <w:bookmarkStart w:id="50" w:name="_Toc503149535"/>
      <w:bookmarkStart w:id="51" w:name="_Toc534613830"/>
      <w:bookmarkStart w:id="52" w:name="_Toc535053869"/>
      <w:bookmarkStart w:id="53" w:name="_Toc109615227"/>
      <w:bookmarkStart w:id="54" w:name="_Toc215543713"/>
      <w:bookmarkStart w:id="55" w:name="_Toc290558504"/>
      <w:r>
        <w:rPr>
          <w:rStyle w:val="CharSectno"/>
        </w:rPr>
        <w:t>2</w:t>
      </w:r>
      <w:r>
        <w:rPr>
          <w:snapToGrid w:val="0"/>
        </w:rPr>
        <w:t>.</w:t>
      </w:r>
      <w:r>
        <w:rPr>
          <w:snapToGrid w:val="0"/>
        </w:rPr>
        <w:tab/>
        <w:t>Commencement</w:t>
      </w:r>
      <w:bookmarkEnd w:id="50"/>
      <w:bookmarkEnd w:id="51"/>
      <w:bookmarkEnd w:id="52"/>
      <w:bookmarkEnd w:id="53"/>
      <w:bookmarkEnd w:id="54"/>
      <w:bookmarkEnd w:id="55"/>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56" w:name="_Toc503149536"/>
      <w:bookmarkStart w:id="57" w:name="_Toc534613831"/>
      <w:bookmarkStart w:id="58" w:name="_Toc535053870"/>
      <w:bookmarkStart w:id="59" w:name="_Toc109615228"/>
      <w:bookmarkStart w:id="60" w:name="_Toc215543714"/>
      <w:bookmarkStart w:id="61" w:name="_Toc290558505"/>
      <w:r>
        <w:rPr>
          <w:rStyle w:val="CharSectno"/>
        </w:rPr>
        <w:t>3</w:t>
      </w:r>
      <w:r>
        <w:rPr>
          <w:snapToGrid w:val="0"/>
        </w:rPr>
        <w:t>.</w:t>
      </w:r>
      <w:r>
        <w:rPr>
          <w:snapToGrid w:val="0"/>
        </w:rPr>
        <w:tab/>
      </w:r>
      <w:bookmarkEnd w:id="56"/>
      <w:bookmarkEnd w:id="57"/>
      <w:bookmarkEnd w:id="58"/>
      <w:bookmarkEnd w:id="59"/>
      <w:r>
        <w:rPr>
          <w:snapToGrid w:val="0"/>
        </w:rPr>
        <w:t>Terms used in this Act</w:t>
      </w:r>
      <w:bookmarkEnd w:id="60"/>
      <w:bookmarkEnd w:id="61"/>
    </w:p>
    <w:p>
      <w:pPr>
        <w:pStyle w:val="Subsection"/>
        <w:rPr>
          <w:snapToGrid w:val="0"/>
        </w:rPr>
      </w:pPr>
      <w:r>
        <w:rPr>
          <w:snapToGrid w:val="0"/>
        </w:rPr>
        <w:tab/>
        <w:t>(1)</w:t>
      </w:r>
      <w:r>
        <w:rPr>
          <w:snapToGrid w:val="0"/>
        </w:rPr>
        <w:tab/>
        <w:t xml:space="preserve">In this Act, unless the contrary intention appears — </w:t>
      </w:r>
    </w:p>
    <w:p>
      <w:pPr>
        <w:pStyle w:val="Defstart"/>
      </w:pPr>
      <w:r>
        <w:rPr>
          <w:b/>
        </w:rPr>
        <w:tab/>
      </w:r>
      <w:r>
        <w:rPr>
          <w:rStyle w:val="CharDefText"/>
        </w:rPr>
        <w:t>analyst</w:t>
      </w:r>
      <w:r>
        <w:t xml:space="preserve"> means analyst registered under section 203 of the </w:t>
      </w:r>
      <w:r>
        <w:rPr>
          <w:i/>
        </w:rPr>
        <w:t>Health Act 1911</w:t>
      </w:r>
      <w:r>
        <w:t>;</w:t>
      </w:r>
    </w:p>
    <w:p>
      <w:pPr>
        <w:pStyle w:val="Defstart"/>
      </w:pPr>
      <w:r>
        <w:rPr>
          <w:b/>
        </w:rPr>
        <w:tab/>
      </w:r>
      <w:r>
        <w:rPr>
          <w:rStyle w:val="CharDefText"/>
        </w:rPr>
        <w:t>approved analyst</w:t>
      </w:r>
      <w:r>
        <w:t xml:space="preserve"> means — </w:t>
      </w:r>
    </w:p>
    <w:p>
      <w:pPr>
        <w:pStyle w:val="Defpara"/>
      </w:pPr>
      <w:r>
        <w:tab/>
        <w:t>(a)</w:t>
      </w:r>
      <w:r>
        <w:tab/>
        <w:t>a person declared under section 3A to be an approved analyst;</w:t>
      </w:r>
      <w:r>
        <w:rPr>
          <w:i/>
        </w:rPr>
        <w:t xml:space="preserve"> </w:t>
      </w:r>
      <w:r>
        <w:t>or</w:t>
      </w:r>
    </w:p>
    <w:p>
      <w:pPr>
        <w:pStyle w:val="Defpara"/>
      </w:pPr>
      <w:r>
        <w:tab/>
        <w:t>(b)</w:t>
      </w:r>
      <w:r>
        <w:tab/>
        <w:t>a person belonging to a class prescribed for the purposes of this definition;</w:t>
      </w:r>
    </w:p>
    <w:p>
      <w:pPr>
        <w:pStyle w:val="Defstart"/>
      </w:pPr>
      <w:r>
        <w:rPr>
          <w:b/>
        </w:rPr>
        <w:tab/>
      </w:r>
      <w:r>
        <w:rPr>
          <w:rStyle w:val="CharDefText"/>
        </w:rPr>
        <w:t>approved botanist</w:t>
      </w:r>
      <w:r>
        <w:t xml:space="preserve"> means a botanist declared under section 3A to be an approved botanist;</w:t>
      </w:r>
    </w:p>
    <w:p>
      <w:pPr>
        <w:pStyle w:val="Defstart"/>
      </w:pPr>
      <w:r>
        <w:rPr>
          <w:b/>
        </w:rPr>
        <w:tab/>
      </w:r>
      <w:r>
        <w:rPr>
          <w:rStyle w:val="CharDefText"/>
        </w:rPr>
        <w:t>authorised prescription</w:t>
      </w:r>
      <w:r>
        <w:t xml:space="preserve"> means document or prescription — </w:t>
      </w:r>
    </w:p>
    <w:p>
      <w:pPr>
        <w:pStyle w:val="Defpara"/>
      </w:pPr>
      <w:r>
        <w:tab/>
        <w:t>(a)</w:t>
      </w:r>
      <w:r>
        <w:tab/>
        <w:t>referred to in section 23(2)(d) of; and</w:t>
      </w:r>
    </w:p>
    <w:p>
      <w:pPr>
        <w:pStyle w:val="Defpara"/>
      </w:pPr>
      <w:r>
        <w:tab/>
        <w:t>(b)</w:t>
      </w:r>
      <w:r>
        <w:tab/>
        <w:t xml:space="preserve">complying with, the </w:t>
      </w:r>
      <w:r>
        <w:rPr>
          <w:i/>
        </w:rPr>
        <w:t>Poisons Act 1964</w:t>
      </w:r>
      <w:r>
        <w:t>;</w:t>
      </w:r>
    </w:p>
    <w:p>
      <w:pPr>
        <w:pStyle w:val="Defstart"/>
      </w:pPr>
      <w:r>
        <w:rPr>
          <w:b/>
        </w:rPr>
        <w:tab/>
      </w:r>
      <w:r>
        <w:rPr>
          <w:rStyle w:val="CharDefText"/>
        </w:rPr>
        <w:t>botanist</w:t>
      </w:r>
      <w:r>
        <w:t xml:space="preserve"> means a person who — </w:t>
      </w:r>
    </w:p>
    <w:p>
      <w:pPr>
        <w:pStyle w:val="Defpara"/>
      </w:pPr>
      <w:r>
        <w:tab/>
        <w:t>(a)</w:t>
      </w:r>
      <w:r>
        <w:tab/>
        <w:t>holds a science degree in, or to a major extent in, botany awarded by — </w:t>
      </w:r>
    </w:p>
    <w:p>
      <w:pPr>
        <w:pStyle w:val="Defsubpara"/>
        <w:rPr>
          <w:snapToGrid w:val="0"/>
        </w:rPr>
      </w:pPr>
      <w:r>
        <w:rPr>
          <w:snapToGrid w:val="0"/>
        </w:rPr>
        <w:tab/>
        <w:t>(i)</w:t>
      </w:r>
      <w:r>
        <w:rPr>
          <w:snapToGrid w:val="0"/>
        </w:rPr>
        <w:tab/>
        <w:t xml:space="preserve">a university in </w:t>
      </w:r>
      <w:smartTag w:uri="urn:schemas-microsoft-com:office:smarttags" w:element="country-region">
        <w:r>
          <w:rPr>
            <w:snapToGrid w:val="0"/>
          </w:rPr>
          <w:t>Australia</w:t>
        </w:r>
      </w:smartTag>
      <w:r>
        <w:rPr>
          <w:snapToGrid w:val="0"/>
        </w:rPr>
        <w:t>; or</w:t>
      </w:r>
    </w:p>
    <w:p>
      <w:pPr>
        <w:pStyle w:val="Defsubpara"/>
        <w:rPr>
          <w:snapToGrid w:val="0"/>
        </w:rPr>
      </w:pPr>
      <w:r>
        <w:rPr>
          <w:snapToGrid w:val="0"/>
        </w:rPr>
        <w:tab/>
        <w:t>(ii)</w:t>
      </w:r>
      <w:r>
        <w:rPr>
          <w:snapToGrid w:val="0"/>
        </w:rPr>
        <w:tab/>
        <w:t>a prescribed university;</w:t>
      </w:r>
    </w:p>
    <w:p>
      <w:pPr>
        <w:pStyle w:val="Defpara"/>
      </w:pPr>
      <w:r>
        <w:tab/>
      </w:r>
      <w:r>
        <w:tab/>
        <w:t>and</w:t>
      </w:r>
    </w:p>
    <w:p>
      <w:pPr>
        <w:pStyle w:val="Defpara"/>
      </w:pPr>
      <w:r>
        <w:tab/>
        <w:t>(b)</w:t>
      </w:r>
      <w:r>
        <w:tab/>
        <w:t>has had not less than 2 years practical experience in plant taxonomy;</w:t>
      </w:r>
    </w:p>
    <w:p>
      <w:pPr>
        <w:pStyle w:val="Defstart"/>
      </w:pPr>
      <w:r>
        <w:rPr>
          <w:b/>
        </w:rPr>
        <w:tab/>
      </w:r>
      <w:r>
        <w:rPr>
          <w:rStyle w:val="CharDefText"/>
        </w:rPr>
        <w:t>cannabis</w:t>
      </w:r>
      <w:r>
        <w:t xml:space="preserve"> means plant of the genus </w:t>
      </w:r>
      <w:r>
        <w:rPr>
          <w:i/>
        </w:rPr>
        <w:t>Cannabis</w:t>
      </w:r>
      <w:r>
        <w:t xml:space="preserve"> (by whatever name designated) or part of that plant;</w:t>
      </w:r>
    </w:p>
    <w:p>
      <w:pPr>
        <w:pStyle w:val="Defstart"/>
      </w:pPr>
      <w:r>
        <w:rPr>
          <w:b/>
        </w:rPr>
        <w:tab/>
      </w:r>
      <w:r>
        <w:rPr>
          <w:rStyle w:val="CharDefText"/>
        </w:rPr>
        <w:t>cannabis resin</w:t>
      </w:r>
      <w:r>
        <w:t xml:space="preserve"> means separated resin, whether crude or purified, obtained from cannabis;</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rPr>
          <w:b/>
        </w:rPr>
        <w:tab/>
      </w:r>
      <w:r>
        <w:rPr>
          <w:rStyle w:val="CharDefText"/>
        </w:rPr>
        <w:t>dangerous substance</w:t>
      </w:r>
      <w:r>
        <w:t xml:space="preserve"> means a substance (other than a prohibited drug or prohibited plant) that is noxious or volatile;</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State">
        <w:smartTag w:uri="urn:schemas-microsoft-com:office:smarttags" w:element="plac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drug of addiction</w:t>
      </w:r>
      <w:r>
        <w:t xml:space="preserve"> means drug of addiction as defined by section 5 of the </w:t>
      </w:r>
      <w:r>
        <w:rPr>
          <w:i/>
        </w:rPr>
        <w:t>Poisons Act 1964</w:t>
      </w:r>
      <w:r>
        <w:t>;</w:t>
      </w:r>
    </w:p>
    <w:p>
      <w:pPr>
        <w:pStyle w:val="Defstart"/>
      </w:pPr>
      <w:r>
        <w:rPr>
          <w:b/>
        </w:rPr>
        <w:tab/>
      </w:r>
      <w:r>
        <w:rPr>
          <w:rStyle w:val="CharDefText"/>
        </w:rPr>
        <w:t>heroin</w:t>
      </w:r>
      <w:r>
        <w:t xml:space="preserve"> means the drug commonly known as heroin and includes any substance containing diacetylmorphine or its salts and any preparation, admixture or extract containing diacetylmorphine or any such salt;</w:t>
      </w:r>
    </w:p>
    <w:p>
      <w:pPr>
        <w:pStyle w:val="Defstart"/>
      </w:pPr>
      <w:r>
        <w:rPr>
          <w:b/>
        </w:rPr>
        <w:tab/>
      </w:r>
      <w:r>
        <w:rPr>
          <w:rStyle w:val="CharDefText"/>
        </w:rPr>
        <w:t>industrial hemp</w:t>
      </w:r>
      <w:r>
        <w:t xml:space="preserve"> has the meaning given to that term in section 3(1) of the </w:t>
      </w:r>
      <w:r>
        <w:rPr>
          <w:i/>
        </w:rPr>
        <w:t>Industrial Hemp Act 2004</w:t>
      </w:r>
      <w:r>
        <w:t>;</w:t>
      </w:r>
    </w:p>
    <w:p>
      <w:pPr>
        <w:pStyle w:val="Defstart"/>
      </w:pPr>
      <w:r>
        <w:rPr>
          <w:b/>
        </w:rPr>
        <w:tab/>
      </w:r>
      <w:r>
        <w:rPr>
          <w:rStyle w:val="CharDefText"/>
        </w:rPr>
        <w:t>industrial hemp seed</w:t>
      </w:r>
      <w:r>
        <w:t xml:space="preserve"> has the meaning given to that term in section 3(1) of the </w:t>
      </w:r>
      <w:r>
        <w:rPr>
          <w:i/>
        </w:rPr>
        <w:t>Industrial Hemp Act 2004</w:t>
      </w:r>
      <w:r>
        <w:t>;</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State">
        <w:smartTag w:uri="urn:schemas-microsoft-com:office:smarttags" w:element="plac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a being qualified to practise as a nurse practitioner;</w:t>
      </w:r>
    </w:p>
    <w:p>
      <w:pPr>
        <w:pStyle w:val="Defstart"/>
      </w:pPr>
      <w:r>
        <w:rPr>
          <w:b/>
        </w:rPr>
        <w:tab/>
      </w:r>
      <w:r>
        <w:rPr>
          <w:rStyle w:val="CharDefText"/>
        </w:rPr>
        <w:t>opium</w:t>
      </w:r>
      <w:r>
        <w:t xml:space="preserve"> means spontaneously coagulated juice obtained from the capsules of the opium poppy </w:t>
      </w:r>
      <w:r>
        <w:rPr>
          <w:i/>
        </w:rPr>
        <w:t>Papaver somniferum</w:t>
      </w:r>
      <w:r>
        <w:t>;</w:t>
      </w:r>
    </w:p>
    <w:p>
      <w:pPr>
        <w:pStyle w:val="Defstart"/>
      </w:pPr>
      <w:r>
        <w:rPr>
          <w:b/>
        </w:rPr>
        <w:tab/>
      </w:r>
      <w:r>
        <w:rPr>
          <w:rStyle w:val="CharDefText"/>
        </w:rPr>
        <w:t>processed industrial hemp</w:t>
      </w:r>
      <w:r>
        <w:rPr>
          <w:b/>
        </w:rPr>
        <w:t xml:space="preserve"> </w:t>
      </w:r>
      <w:r>
        <w:t xml:space="preserve">means any product made from industrial hemp or industrial hemp seed that — </w:t>
      </w:r>
    </w:p>
    <w:p>
      <w:pPr>
        <w:pStyle w:val="Defpara"/>
      </w:pPr>
      <w:r>
        <w:tab/>
        <w:t>(a)</w:t>
      </w:r>
      <w:r>
        <w:tab/>
        <w:t>does not contain more than 0.35% of tetrahydrocannabinol;</w:t>
      </w:r>
    </w:p>
    <w:p>
      <w:pPr>
        <w:pStyle w:val="Defpara"/>
      </w:pPr>
      <w:r>
        <w:tab/>
        <w:t>(b)</w:t>
      </w:r>
      <w:r>
        <w:tab/>
        <w:t>does not contain viable whole cannabis seed; and</w:t>
      </w:r>
    </w:p>
    <w:p>
      <w:pPr>
        <w:pStyle w:val="Defpara"/>
      </w:pPr>
      <w:r>
        <w:tab/>
        <w:t>(c)</w:t>
      </w:r>
      <w:r>
        <w:tab/>
        <w:t>is not manufactured in a form to be inhaled;</w:t>
      </w:r>
    </w:p>
    <w:p>
      <w:pPr>
        <w:pStyle w:val="Defstart"/>
      </w:pPr>
      <w:r>
        <w:rPr>
          <w:b/>
        </w:rPr>
        <w:tab/>
      </w:r>
      <w:r>
        <w:rPr>
          <w:rStyle w:val="CharDefText"/>
        </w:rPr>
        <w:t>prohibited drug</w:t>
      </w:r>
      <w:r>
        <w:t xml:space="preserve"> means drug to which this Act applies by virtue of section 4;</w:t>
      </w:r>
    </w:p>
    <w:p>
      <w:pPr>
        <w:pStyle w:val="Defstart"/>
      </w:pPr>
      <w:r>
        <w:rPr>
          <w:b/>
        </w:rPr>
        <w:tab/>
      </w:r>
      <w:r>
        <w:rPr>
          <w:rStyle w:val="CharDefText"/>
        </w:rPr>
        <w:t>prohibited plant</w:t>
      </w:r>
      <w:r>
        <w:t xml:space="preserve"> means plant to which this Act applies by virtue of section 4, or part of that plant;</w:t>
      </w:r>
    </w:p>
    <w:p>
      <w:pPr>
        <w:pStyle w:val="Defstart"/>
      </w:pPr>
      <w:r>
        <w:rPr>
          <w:b/>
        </w:rPr>
        <w:tab/>
      </w:r>
      <w:r>
        <w:rPr>
          <w:rStyle w:val="CharDefText"/>
        </w:rPr>
        <w:t>sample</w:t>
      </w:r>
      <w:r>
        <w:t>, in relation to any thing, means a sample of the thing taken by an approved analyst or an approved botanist under section 26A(a);</w:t>
      </w:r>
    </w:p>
    <w:p>
      <w:pPr>
        <w:pStyle w:val="Defstart"/>
      </w:pPr>
      <w:r>
        <w:rPr>
          <w:b/>
        </w:rPr>
        <w:tab/>
      </w:r>
      <w:r>
        <w:rPr>
          <w:rStyle w:val="CharDefText"/>
        </w:rPr>
        <w:t>simple offence</w:t>
      </w:r>
      <w:r>
        <w:t xml:space="preserve"> means simple offence under this Act;</w:t>
      </w:r>
    </w:p>
    <w:p>
      <w:pPr>
        <w:pStyle w:val="Defstart"/>
      </w:pPr>
      <w:r>
        <w:rPr>
          <w:b/>
        </w:rPr>
        <w:tab/>
      </w:r>
      <w:r>
        <w:rPr>
          <w:rStyle w:val="CharDefText"/>
        </w:rPr>
        <w:t>specified drug</w:t>
      </w:r>
      <w:r>
        <w:t xml:space="preserve"> means specified drug as defined by section 5 of the </w:t>
      </w:r>
      <w:r>
        <w:rPr>
          <w:i/>
        </w:rPr>
        <w:t>Poisons Act 1964</w:t>
      </w:r>
      <w:r>
        <w:t>;</w:t>
      </w:r>
    </w:p>
    <w:p>
      <w:pPr>
        <w:pStyle w:val="Defstart"/>
      </w:pPr>
      <w:r>
        <w:rPr>
          <w:b/>
        </w:rPr>
        <w:tab/>
      </w:r>
      <w:r>
        <w:rPr>
          <w:rStyle w:val="CharDefText"/>
        </w:rPr>
        <w:t>summary court</w:t>
      </w:r>
      <w:r>
        <w:t xml:space="preserve"> means court of summary jurisdiction constituted by a magistrate sitting alone;</w:t>
      </w:r>
    </w:p>
    <w:p>
      <w:pPr>
        <w:pStyle w:val="Defstart"/>
      </w:pPr>
      <w:r>
        <w:rPr>
          <w:b/>
        </w:rPr>
        <w:tab/>
      </w:r>
      <w:r>
        <w:rPr>
          <w:rStyle w:val="CharDefText"/>
        </w:rPr>
        <w:t xml:space="preserve">the </w:t>
      </w:r>
      <w:r>
        <w:rPr>
          <w:rStyle w:val="CharDefText"/>
          <w:i w:val="0"/>
        </w:rPr>
        <w:t>Poisons Act 1964</w:t>
      </w:r>
      <w:r>
        <w:t xml:space="preserve"> includes any regulations made and in force under that Act;</w:t>
      </w:r>
    </w:p>
    <w:p>
      <w:pPr>
        <w:pStyle w:val="Defstart"/>
      </w:pPr>
      <w:r>
        <w:rPr>
          <w:b/>
        </w:rPr>
        <w:tab/>
      </w:r>
      <w:r>
        <w:rPr>
          <w:rStyle w:val="CharDefText"/>
        </w:rPr>
        <w:t>the regulations</w:t>
      </w:r>
      <w:r>
        <w:t xml:space="preserve"> means the regulations made and in force under this Act;</w:t>
      </w:r>
    </w:p>
    <w:p>
      <w:pPr>
        <w:pStyle w:val="Defstart"/>
      </w:pPr>
      <w:r>
        <w:rPr>
          <w:b/>
        </w:rPr>
        <w:tab/>
      </w:r>
      <w:r>
        <w:rPr>
          <w:rStyle w:val="CharDefText"/>
        </w:rPr>
        <w:t>to cultivate</w:t>
      </w:r>
      <w:r>
        <w:t>, in relation to a prohibited plant, includes to grow, sow or scatter the seed produced by, or to plant, nurture, tend or harvest, the prohibited plant;</w:t>
      </w:r>
    </w:p>
    <w:p>
      <w:pPr>
        <w:pStyle w:val="Defstart"/>
      </w:pPr>
      <w:r>
        <w:rPr>
          <w:b/>
        </w:rPr>
        <w:tab/>
      </w:r>
      <w:r>
        <w:rPr>
          <w:rStyle w:val="CharDefText"/>
        </w:rPr>
        <w:t>to possess</w:t>
      </w:r>
      <w:r>
        <w:t xml:space="preserve"> includes to control or have dominion over, and to have the order or disposition of, and inflections and derivatives of the verb “to possess” have correlative meanings;</w:t>
      </w:r>
    </w:p>
    <w:p>
      <w:pPr>
        <w:pStyle w:val="Defstart"/>
      </w:pPr>
      <w:r>
        <w:tab/>
      </w:r>
      <w:r>
        <w:rPr>
          <w:rStyle w:val="CharDefText"/>
        </w:rPr>
        <w:t>to supply</w:t>
      </w:r>
      <w:r>
        <w:t xml:space="preserve"> includes to deliver, dispense, distribute, forward, furnish, make available, provide, return or send, and it does not matter that something is supplied on behalf of another or on whose behalf it is supplied;</w:t>
      </w:r>
    </w:p>
    <w:p>
      <w:pPr>
        <w:pStyle w:val="Defstart"/>
      </w:pPr>
      <w:r>
        <w:rPr>
          <w:b/>
        </w:rPr>
        <w:tab/>
      </w:r>
      <w:r>
        <w:rPr>
          <w:rStyle w:val="CharDefText"/>
        </w:rPr>
        <w:t>veterinary surgeon</w:t>
      </w:r>
      <w:r>
        <w:t xml:space="preserve"> means registered veterinary surgeon as defined by section 2 of the </w:t>
      </w:r>
      <w:r>
        <w:rPr>
          <w:i/>
        </w:rPr>
        <w:t>Veterinary Surgeons Act 1960</w:t>
      </w:r>
      <w:r>
        <w:t>.</w:t>
      </w:r>
    </w:p>
    <w:p>
      <w:pPr>
        <w:pStyle w:val="Subsection"/>
        <w:rPr>
          <w:snapToGrid w:val="0"/>
        </w:rPr>
      </w:pPr>
      <w:r>
        <w:rPr>
          <w:snapToGrid w:val="0"/>
        </w:rPr>
        <w:tab/>
        <w:t>(2)</w:t>
      </w:r>
      <w:r>
        <w:rPr>
          <w:snapToGrid w:val="0"/>
        </w:rPr>
        <w:tab/>
        <w:t>In the case of liquid preparations, percentages shall, unless other provision in that behalf is made by the regulations, be calculated on the basis that a preparation containing 1% of a substance means a preparation in which one gram of the substance, if a solid, or one millilitre of the substance, if a liquid, is contained in every 100 millilitres of the preparation, and so in proportion for any greater or lesser percentage.</w:t>
      </w:r>
    </w:p>
    <w:p>
      <w:pPr>
        <w:pStyle w:val="Footnotesection"/>
      </w:pPr>
      <w:r>
        <w:tab/>
        <w:t>[Section 3 amended by No. 50 of 1990 s. 7; No. 20 of 1991 s. 57; No. 32 of 1994 s. 3(2); No. 44 of 1995 s. 4; No. 3 of 1998 s. 3; No. 9 of 2003 s. 28; No. 1 of 2004 s. 50; No. 4 of 2004 s. 58; No. 59 of 2004 s. 141; No. 62 of 2004 s. 4; No. 50 of 2006 s. 114; No. 22 of 2008 s. 162; No. 42 of 2009 s. 21; No. 35 of 2010 s. 118.]</w:t>
      </w:r>
    </w:p>
    <w:p>
      <w:pPr>
        <w:pStyle w:val="Heading5"/>
        <w:rPr>
          <w:snapToGrid w:val="0"/>
        </w:rPr>
      </w:pPr>
      <w:bookmarkStart w:id="62" w:name="_Toc503149537"/>
      <w:bookmarkStart w:id="63" w:name="_Toc534613832"/>
      <w:bookmarkStart w:id="64" w:name="_Toc535053871"/>
      <w:bookmarkStart w:id="65" w:name="_Toc109615229"/>
      <w:bookmarkStart w:id="66" w:name="_Toc215543715"/>
      <w:bookmarkStart w:id="67" w:name="_Toc290558506"/>
      <w:r>
        <w:rPr>
          <w:rStyle w:val="CharSectno"/>
        </w:rPr>
        <w:t>3A</w:t>
      </w:r>
      <w:r>
        <w:rPr>
          <w:snapToGrid w:val="0"/>
        </w:rPr>
        <w:t xml:space="preserve">. </w:t>
      </w:r>
      <w:r>
        <w:rPr>
          <w:snapToGrid w:val="0"/>
        </w:rPr>
        <w:tab/>
        <w:t>Approved analysts and botanists</w:t>
      </w:r>
      <w:bookmarkEnd w:id="62"/>
      <w:bookmarkEnd w:id="63"/>
      <w:bookmarkEnd w:id="64"/>
      <w:bookmarkEnd w:id="65"/>
      <w:bookmarkEnd w:id="66"/>
      <w:bookmarkEnd w:id="67"/>
    </w:p>
    <w:p>
      <w:pPr>
        <w:pStyle w:val="Subsection"/>
        <w:rPr>
          <w:snapToGrid w:val="0"/>
        </w:rPr>
      </w:pPr>
      <w:r>
        <w:rPr>
          <w:snapToGrid w:val="0"/>
        </w:rPr>
        <w:tab/>
        <w:t>(1)</w:t>
      </w:r>
      <w:r>
        <w:rPr>
          <w:snapToGrid w:val="0"/>
        </w:rPr>
        <w:tab/>
        <w:t xml:space="preserve">The Commissioner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 analyst to be an approved analyst for the purposes of this Act; or</w:t>
      </w:r>
    </w:p>
    <w:p>
      <w:pPr>
        <w:pStyle w:val="Indenta"/>
        <w:rPr>
          <w:snapToGrid w:val="0"/>
        </w:rPr>
      </w:pPr>
      <w:r>
        <w:rPr>
          <w:snapToGrid w:val="0"/>
        </w:rPr>
        <w:tab/>
        <w:t>(b)</w:t>
      </w:r>
      <w:r>
        <w:rPr>
          <w:snapToGrid w:val="0"/>
        </w:rPr>
        <w:tab/>
        <w:t>a botanist to be an approved botanist for the purposes of this Act.</w:t>
      </w:r>
    </w:p>
    <w:p>
      <w:pPr>
        <w:pStyle w:val="Subsection"/>
        <w:rPr>
          <w:snapToGrid w:val="0"/>
        </w:rPr>
      </w:pPr>
      <w:r>
        <w:rPr>
          <w:snapToGrid w:val="0"/>
        </w:rPr>
        <w:tab/>
        <w:t>(2)</w:t>
      </w:r>
      <w:r>
        <w:rPr>
          <w:snapToGrid w:val="0"/>
        </w:rPr>
        <w:tab/>
        <w:t xml:space="preserve">The Commissioner may by further notice published in the </w:t>
      </w:r>
      <w:r>
        <w:rPr>
          <w:i/>
          <w:snapToGrid w:val="0"/>
        </w:rPr>
        <w:t>Gazette</w:t>
      </w:r>
      <w:r>
        <w:rPr>
          <w:snapToGrid w:val="0"/>
        </w:rPr>
        <w:t xml:space="preserve"> amend or revoke a notice under this section.</w:t>
      </w:r>
    </w:p>
    <w:p>
      <w:pPr>
        <w:pStyle w:val="Footnotesection"/>
      </w:pPr>
      <w:r>
        <w:tab/>
        <w:t>[Section 3A inserted by No. 44 of 1995 s. 5.]</w:t>
      </w:r>
    </w:p>
    <w:p>
      <w:pPr>
        <w:pStyle w:val="Heading5"/>
        <w:rPr>
          <w:snapToGrid w:val="0"/>
        </w:rPr>
      </w:pPr>
      <w:bookmarkStart w:id="68" w:name="_Toc503149538"/>
      <w:bookmarkStart w:id="69" w:name="_Toc534613833"/>
      <w:bookmarkStart w:id="70" w:name="_Toc535053872"/>
      <w:bookmarkStart w:id="71" w:name="_Toc109615230"/>
      <w:bookmarkStart w:id="72" w:name="_Toc215543716"/>
      <w:bookmarkStart w:id="73" w:name="_Toc290558507"/>
      <w:r>
        <w:rPr>
          <w:rStyle w:val="CharSectno"/>
        </w:rPr>
        <w:t>4</w:t>
      </w:r>
      <w:r>
        <w:rPr>
          <w:snapToGrid w:val="0"/>
        </w:rPr>
        <w:t>.</w:t>
      </w:r>
      <w:r>
        <w:rPr>
          <w:snapToGrid w:val="0"/>
        </w:rPr>
        <w:tab/>
        <w:t>Drugs and plants to which Act applies</w:t>
      </w:r>
      <w:bookmarkEnd w:id="68"/>
      <w:bookmarkEnd w:id="69"/>
      <w:bookmarkEnd w:id="70"/>
      <w:bookmarkEnd w:id="71"/>
      <w:bookmarkEnd w:id="72"/>
      <w:bookmarkEnd w:id="73"/>
    </w:p>
    <w:p>
      <w:pPr>
        <w:pStyle w:val="Subsection"/>
        <w:rPr>
          <w:snapToGrid w:val="0"/>
        </w:rPr>
      </w:pPr>
      <w:r>
        <w:rPr>
          <w:snapToGrid w:val="0"/>
        </w:rPr>
        <w:tab/>
        <w:t>(1)</w:t>
      </w:r>
      <w:r>
        <w:rPr>
          <w:snapToGrid w:val="0"/>
        </w:rPr>
        <w:tab/>
      </w:r>
      <w:r>
        <w:t>Subject to subsection (4), the</w:t>
      </w:r>
      <w:r>
        <w:rPr>
          <w:snapToGrid w:val="0"/>
        </w:rPr>
        <w:t xml:space="preserve"> drugs to which this Act applies are — </w:t>
      </w:r>
    </w:p>
    <w:p>
      <w:pPr>
        <w:pStyle w:val="Indenta"/>
        <w:rPr>
          <w:snapToGrid w:val="0"/>
        </w:rPr>
      </w:pPr>
      <w:r>
        <w:rPr>
          <w:snapToGrid w:val="0"/>
        </w:rPr>
        <w:tab/>
        <w:t>(a)</w:t>
      </w:r>
      <w:r>
        <w:rPr>
          <w:snapToGrid w:val="0"/>
        </w:rPr>
        <w:tab/>
        <w:t>drugs of addiction;</w:t>
      </w:r>
    </w:p>
    <w:p>
      <w:pPr>
        <w:pStyle w:val="Indenta"/>
        <w:rPr>
          <w:snapToGrid w:val="0"/>
        </w:rPr>
      </w:pPr>
      <w:r>
        <w:rPr>
          <w:snapToGrid w:val="0"/>
        </w:rPr>
        <w:tab/>
        <w:t>(b)</w:t>
      </w:r>
      <w:r>
        <w:rPr>
          <w:snapToGrid w:val="0"/>
        </w:rPr>
        <w:tab/>
        <w:t>specified drugs; and</w:t>
      </w:r>
    </w:p>
    <w:p>
      <w:pPr>
        <w:pStyle w:val="Indenta"/>
        <w:rPr>
          <w:snapToGrid w:val="0"/>
        </w:rPr>
      </w:pPr>
      <w:r>
        <w:rPr>
          <w:snapToGrid w:val="0"/>
        </w:rPr>
        <w:tab/>
        <w:t>(c)</w:t>
      </w:r>
      <w:r>
        <w:rPr>
          <w:snapToGrid w:val="0"/>
        </w:rPr>
        <w:tab/>
        <w:t>whether or not they are also drugs of addiction or specified drugs, the drugs specified in Schedule I.</w:t>
      </w:r>
    </w:p>
    <w:p>
      <w:pPr>
        <w:pStyle w:val="Subsection"/>
        <w:rPr>
          <w:snapToGrid w:val="0"/>
        </w:rPr>
      </w:pPr>
      <w:r>
        <w:rPr>
          <w:snapToGrid w:val="0"/>
        </w:rPr>
        <w:tab/>
        <w:t>(2)</w:t>
      </w:r>
      <w:r>
        <w:rPr>
          <w:snapToGrid w:val="0"/>
        </w:rPr>
        <w:tab/>
        <w:t>Subject to subsection (3), the plants to which this Act applies are — </w:t>
      </w:r>
    </w:p>
    <w:p>
      <w:pPr>
        <w:pStyle w:val="Indenta"/>
        <w:rPr>
          <w:snapToGrid w:val="0"/>
        </w:rPr>
      </w:pPr>
      <w:r>
        <w:rPr>
          <w:snapToGrid w:val="0"/>
        </w:rPr>
        <w:tab/>
        <w:t>(a)</w:t>
      </w:r>
      <w:r>
        <w:rPr>
          <w:snapToGrid w:val="0"/>
        </w:rPr>
        <w:tab/>
        <w:t xml:space="preserve">prohibited plants as defined by section 5 of the </w:t>
      </w:r>
      <w:r>
        <w:rPr>
          <w:i/>
          <w:snapToGrid w:val="0"/>
        </w:rPr>
        <w:t>Poisons Act 1964</w:t>
      </w:r>
      <w:r>
        <w:rPr>
          <w:snapToGrid w:val="0"/>
        </w:rPr>
        <w:t>; and</w:t>
      </w:r>
    </w:p>
    <w:p>
      <w:pPr>
        <w:pStyle w:val="Indenta"/>
        <w:rPr>
          <w:snapToGrid w:val="0"/>
        </w:rPr>
      </w:pPr>
      <w:r>
        <w:rPr>
          <w:snapToGrid w:val="0"/>
        </w:rPr>
        <w:tab/>
        <w:t>(b)</w:t>
      </w:r>
      <w:r>
        <w:rPr>
          <w:snapToGrid w:val="0"/>
        </w:rPr>
        <w:tab/>
        <w:t xml:space="preserve">whether or not they are also prohibited plants as defined by section 5 of the </w:t>
      </w:r>
      <w:r>
        <w:rPr>
          <w:i/>
          <w:snapToGrid w:val="0"/>
        </w:rPr>
        <w:t>Poisons Act 1964</w:t>
      </w:r>
      <w:r>
        <w:rPr>
          <w:snapToGrid w:val="0"/>
        </w:rPr>
        <w:t>, the plants specified in Schedule II.</w:t>
      </w:r>
    </w:p>
    <w:p>
      <w:pPr>
        <w:pStyle w:val="Subsection"/>
        <w:rPr>
          <w:snapToGrid w:val="0"/>
        </w:rPr>
      </w:pPr>
      <w:r>
        <w:rPr>
          <w:snapToGrid w:val="0"/>
        </w:rPr>
        <w:tab/>
        <w:t>(3)</w:t>
      </w:r>
      <w:r>
        <w:rPr>
          <w:snapToGrid w:val="0"/>
        </w:rPr>
        <w:tab/>
        <w:t>This Act does not apply to the non</w:t>
      </w:r>
      <w:r>
        <w:rPr>
          <w:snapToGrid w:val="0"/>
        </w:rPr>
        <w:noBreakHyphen/>
        <w:t xml:space="preserve">viable seeds of the opium poppy </w:t>
      </w:r>
      <w:r>
        <w:rPr>
          <w:i/>
          <w:snapToGrid w:val="0"/>
        </w:rPr>
        <w:t>Papaver somniferum</w:t>
      </w:r>
      <w:r>
        <w:rPr>
          <w:snapToGrid w:val="0"/>
        </w:rPr>
        <w:t>.</w:t>
      </w:r>
    </w:p>
    <w:p>
      <w:pPr>
        <w:pStyle w:val="Subsection"/>
      </w:pPr>
      <w:r>
        <w:tab/>
        <w:t>(4)</w:t>
      </w:r>
      <w:r>
        <w:tab/>
        <w:t>This Act does not apply to processed industrial hemp.</w:t>
      </w:r>
    </w:p>
    <w:p>
      <w:pPr>
        <w:pStyle w:val="Footnotesection"/>
      </w:pPr>
      <w:r>
        <w:tab/>
        <w:t>[Section 4 amended by No. 1 of 2004 s. 51.]</w:t>
      </w:r>
    </w:p>
    <w:p>
      <w:pPr>
        <w:pStyle w:val="Heading2"/>
      </w:pPr>
      <w:bookmarkStart w:id="74" w:name="_Toc72912333"/>
      <w:bookmarkStart w:id="75" w:name="_Toc89162860"/>
      <w:bookmarkStart w:id="76" w:name="_Toc89571147"/>
      <w:bookmarkStart w:id="77" w:name="_Toc90092315"/>
      <w:bookmarkStart w:id="78" w:name="_Toc92603586"/>
      <w:bookmarkStart w:id="79" w:name="_Toc92797770"/>
      <w:bookmarkStart w:id="80" w:name="_Toc97018072"/>
      <w:bookmarkStart w:id="81" w:name="_Toc102387627"/>
      <w:bookmarkStart w:id="82" w:name="_Toc102905258"/>
      <w:bookmarkStart w:id="83" w:name="_Toc105219501"/>
      <w:bookmarkStart w:id="84" w:name="_Toc105220405"/>
      <w:bookmarkStart w:id="85" w:name="_Toc105220473"/>
      <w:bookmarkStart w:id="86" w:name="_Toc105909917"/>
      <w:bookmarkStart w:id="87" w:name="_Toc105910832"/>
      <w:bookmarkStart w:id="88" w:name="_Toc106600676"/>
      <w:bookmarkStart w:id="89" w:name="_Toc106600974"/>
      <w:bookmarkStart w:id="90" w:name="_Toc109615231"/>
      <w:bookmarkStart w:id="91" w:name="_Toc139344525"/>
      <w:bookmarkStart w:id="92" w:name="_Toc139699289"/>
      <w:bookmarkStart w:id="93" w:name="_Toc147051322"/>
      <w:bookmarkStart w:id="94" w:name="_Toc147118777"/>
      <w:bookmarkStart w:id="95" w:name="_Toc148236098"/>
      <w:bookmarkStart w:id="96" w:name="_Toc158704972"/>
      <w:bookmarkStart w:id="97" w:name="_Toc165369932"/>
      <w:bookmarkStart w:id="98" w:name="_Toc177873274"/>
      <w:bookmarkStart w:id="99" w:name="_Toc177873399"/>
      <w:bookmarkStart w:id="100" w:name="_Toc184707356"/>
      <w:bookmarkStart w:id="101" w:name="_Toc189464687"/>
      <w:bookmarkStart w:id="102" w:name="_Toc190249251"/>
      <w:bookmarkStart w:id="103" w:name="_Toc191703145"/>
      <w:bookmarkStart w:id="104" w:name="_Toc193692062"/>
      <w:bookmarkStart w:id="105" w:name="_Toc199817244"/>
      <w:bookmarkStart w:id="106" w:name="_Toc215543717"/>
      <w:bookmarkStart w:id="107" w:name="_Toc215543977"/>
      <w:bookmarkStart w:id="108" w:name="_Toc248029014"/>
      <w:bookmarkStart w:id="109" w:name="_Toc256085063"/>
      <w:bookmarkStart w:id="110" w:name="_Toc256092128"/>
      <w:bookmarkStart w:id="111" w:name="_Toc268600314"/>
      <w:bookmarkStart w:id="112" w:name="_Toc272237443"/>
      <w:bookmarkStart w:id="113" w:name="_Toc275253522"/>
      <w:bookmarkStart w:id="114" w:name="_Toc283287446"/>
      <w:bookmarkStart w:id="115" w:name="_Toc290558432"/>
      <w:bookmarkStart w:id="116" w:name="_Toc290558508"/>
      <w:r>
        <w:rPr>
          <w:rStyle w:val="CharPartNo"/>
        </w:rPr>
        <w:t>Part II</w:t>
      </w:r>
      <w:r>
        <w:rPr>
          <w:rStyle w:val="CharDivNo"/>
        </w:rPr>
        <w:t> </w:t>
      </w:r>
      <w:r>
        <w:t>—</w:t>
      </w:r>
      <w:r>
        <w:rPr>
          <w:rStyle w:val="CharDivText"/>
        </w:rPr>
        <w:t> </w:t>
      </w:r>
      <w:r>
        <w:rPr>
          <w:rStyle w:val="CharPartText"/>
        </w:rPr>
        <w:t>Offences relating to prohibited drugs and prohibited plants</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pPr>
        <w:pStyle w:val="Heading5"/>
        <w:rPr>
          <w:snapToGrid w:val="0"/>
        </w:rPr>
      </w:pPr>
      <w:bookmarkStart w:id="117" w:name="_Toc503149539"/>
      <w:bookmarkStart w:id="118" w:name="_Toc534613834"/>
      <w:bookmarkStart w:id="119" w:name="_Toc535053873"/>
      <w:bookmarkStart w:id="120" w:name="_Toc109615232"/>
      <w:bookmarkStart w:id="121" w:name="_Toc215543718"/>
      <w:bookmarkStart w:id="122" w:name="_Toc290558509"/>
      <w:r>
        <w:rPr>
          <w:rStyle w:val="CharSectno"/>
        </w:rPr>
        <w:t>5</w:t>
      </w:r>
      <w:r>
        <w:rPr>
          <w:snapToGrid w:val="0"/>
        </w:rPr>
        <w:t>.</w:t>
      </w:r>
      <w:r>
        <w:rPr>
          <w:snapToGrid w:val="0"/>
        </w:rPr>
        <w:tab/>
        <w:t>Offences concerned with prohibited drugs and prohibited plants in relation to premises and utensils</w:t>
      </w:r>
      <w:bookmarkEnd w:id="117"/>
      <w:bookmarkEnd w:id="118"/>
      <w:bookmarkEnd w:id="119"/>
      <w:bookmarkEnd w:id="120"/>
      <w:bookmarkEnd w:id="121"/>
      <w:bookmarkEnd w:id="122"/>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being the occupier of any premises, knowingly permits those premises to be used for the purpose of — </w:t>
      </w:r>
    </w:p>
    <w:p>
      <w:pPr>
        <w:pStyle w:val="Indenti"/>
        <w:rPr>
          <w:snapToGrid w:val="0"/>
        </w:rPr>
      </w:pPr>
      <w:r>
        <w:rPr>
          <w:snapToGrid w:val="0"/>
        </w:rPr>
        <w:tab/>
        <w:t>(i)</w:t>
      </w:r>
      <w:r>
        <w:rPr>
          <w:snapToGrid w:val="0"/>
        </w:rPr>
        <w:tab/>
        <w:t>the manufacture or preparation of a prohibited drug or prohibited plant for use; or</w:t>
      </w:r>
    </w:p>
    <w:p>
      <w:pPr>
        <w:pStyle w:val="Indenti"/>
        <w:rPr>
          <w:snapToGrid w:val="0"/>
        </w:rPr>
      </w:pPr>
      <w:r>
        <w:rPr>
          <w:snapToGrid w:val="0"/>
        </w:rPr>
        <w:tab/>
        <w:t>(ii)</w:t>
      </w:r>
      <w:r>
        <w:rPr>
          <w:snapToGrid w:val="0"/>
        </w:rPr>
        <w:tab/>
        <w:t>the manufacture, preparation, sale, supply or use of a prohibited drug or prohibited plant;</w:t>
      </w:r>
    </w:p>
    <w:p>
      <w:pPr>
        <w:pStyle w:val="Indenta"/>
        <w:rPr>
          <w:snapToGrid w:val="0"/>
        </w:rPr>
      </w:pPr>
      <w:r>
        <w:rPr>
          <w:snapToGrid w:val="0"/>
        </w:rPr>
        <w:tab/>
        <w:t>(b)</w:t>
      </w:r>
      <w:r>
        <w:rPr>
          <w:snapToGrid w:val="0"/>
        </w:rPr>
        <w:tab/>
        <w:t>being the owner or lessee of any premises, knowingly permits those premises to be used for the purpose of using a prohibited drug or prohibited plant;</w:t>
      </w:r>
    </w:p>
    <w:p>
      <w:pPr>
        <w:pStyle w:val="Indenta"/>
        <w:rPr>
          <w:snapToGrid w:val="0"/>
        </w:rPr>
      </w:pPr>
      <w:r>
        <w:rPr>
          <w:snapToGrid w:val="0"/>
        </w:rPr>
        <w:tab/>
        <w:t>(c)</w:t>
      </w:r>
      <w:r>
        <w:rPr>
          <w:snapToGrid w:val="0"/>
        </w:rPr>
        <w:tab/>
        <w:t>is knowingly concerned in the management of any premises used for any of the purposes referred to in paragraphs (a) and (b);</w:t>
      </w:r>
    </w:p>
    <w:p>
      <w:pPr>
        <w:pStyle w:val="Indenta"/>
        <w:rPr>
          <w:snapToGrid w:val="0"/>
        </w:rPr>
      </w:pPr>
      <w:r>
        <w:rPr>
          <w:snapToGrid w:val="0"/>
        </w:rPr>
        <w:tab/>
        <w:t>(d)</w:t>
      </w:r>
      <w:r>
        <w:rPr>
          <w:snapToGrid w:val="0"/>
        </w:rPr>
        <w:tab/>
        <w:t>has in his possession — </w:t>
      </w:r>
    </w:p>
    <w:p>
      <w:pPr>
        <w:pStyle w:val="Indenti"/>
        <w:rPr>
          <w:snapToGrid w:val="0"/>
        </w:rPr>
      </w:pPr>
      <w:r>
        <w:rPr>
          <w:snapToGrid w:val="0"/>
        </w:rPr>
        <w:tab/>
        <w:t>(i)</w:t>
      </w:r>
      <w:r>
        <w:rPr>
          <w:snapToGrid w:val="0"/>
        </w:rPr>
        <w:tab/>
        <w:t>any pipes or other utensils for use in connection with the smoking of a prohibited drug or prohibited plant; or</w:t>
      </w:r>
    </w:p>
    <w:p>
      <w:pPr>
        <w:pStyle w:val="Indenti"/>
        <w:rPr>
          <w:snapToGrid w:val="0"/>
        </w:rPr>
      </w:pPr>
      <w:r>
        <w:rPr>
          <w:snapToGrid w:val="0"/>
        </w:rPr>
        <w:tab/>
        <w:t>(ii)</w:t>
      </w:r>
      <w:r>
        <w:rPr>
          <w:snapToGrid w:val="0"/>
        </w:rPr>
        <w:tab/>
        <w:t>any utensils used in connection with the manufacture or preparation of a prohibited drug or prohibited plant for smoking,</w:t>
      </w:r>
    </w:p>
    <w:p>
      <w:pPr>
        <w:pStyle w:val="Indenta"/>
        <w:rPr>
          <w:snapToGrid w:val="0"/>
        </w:rPr>
      </w:pPr>
      <w:r>
        <w:rPr>
          <w:snapToGrid w:val="0"/>
        </w:rPr>
        <w:tab/>
      </w:r>
      <w:r>
        <w:rPr>
          <w:snapToGrid w:val="0"/>
        </w:rPr>
        <w:tab/>
        <w:t>in or on which pipes or utensils there are detectable traces of a prohibited drug or prohibited plant; or</w:t>
      </w:r>
    </w:p>
    <w:p>
      <w:pPr>
        <w:pStyle w:val="Indenta"/>
        <w:rPr>
          <w:snapToGrid w:val="0"/>
        </w:rPr>
      </w:pPr>
      <w:r>
        <w:rPr>
          <w:snapToGrid w:val="0"/>
        </w:rPr>
        <w:tab/>
        <w:t>(e)</w:t>
      </w:r>
      <w:r>
        <w:rPr>
          <w:snapToGrid w:val="0"/>
        </w:rPr>
        <w:tab/>
        <w:t>is found in any place which is then being used for the purpose of smoking a prohibited drug or prohibited plant other than cannabis,</w:t>
      </w:r>
    </w:p>
    <w:p>
      <w:pPr>
        <w:pStyle w:val="Subsection"/>
        <w:rPr>
          <w:snapToGrid w:val="0"/>
        </w:rPr>
      </w:pPr>
      <w:r>
        <w:rPr>
          <w:snapToGrid w:val="0"/>
        </w:rPr>
        <w:tab/>
      </w:r>
      <w:r>
        <w:rPr>
          <w:snapToGrid w:val="0"/>
        </w:rPr>
        <w:tab/>
        <w:t xml:space="preserve">except when he is authorised by or under this Act or by or under the </w:t>
      </w:r>
      <w:r>
        <w:rPr>
          <w:i/>
          <w:snapToGrid w:val="0"/>
        </w:rPr>
        <w:t>Poisons Act 1964</w:t>
      </w:r>
      <w:r>
        <w:rPr>
          <w:snapToGrid w:val="0"/>
        </w:rPr>
        <w:t xml:space="preserve"> to do so, commits a simple offence.</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owner</w:t>
      </w:r>
      <w:r>
        <w:t>, in relation to any premises, includes the person entitled to receive the rent of those premises and the person to whom the rent of those premises is paid.</w:t>
      </w:r>
    </w:p>
    <w:p>
      <w:pPr>
        <w:pStyle w:val="Subsection"/>
        <w:keepNext/>
      </w:pPr>
      <w:r>
        <w:tab/>
        <w:t>(3)</w:t>
      </w:r>
      <w:r>
        <w:tab/>
        <w:t xml:space="preserve">A </w:t>
      </w:r>
      <w:r>
        <w:rPr>
          <w:snapToGrid w:val="0"/>
        </w:rPr>
        <w:t>person</w:t>
      </w:r>
      <w:r>
        <w:t xml:space="preserve"> does not commit a simple offence under subsection (1)(d) by reason only of his having in his possession a pipe or utensil if he proves —</w:t>
      </w:r>
    </w:p>
    <w:p>
      <w:pPr>
        <w:pStyle w:val="Indenta"/>
      </w:pPr>
      <w:r>
        <w:tab/>
        <w:t>(a)</w:t>
      </w:r>
      <w:r>
        <w:tab/>
        <w:t>that he had possession of the pipe or utensil —</w:t>
      </w:r>
    </w:p>
    <w:p>
      <w:pPr>
        <w:pStyle w:val="Indenti"/>
      </w:pPr>
      <w:r>
        <w:tab/>
        <w:t>(i)</w:t>
      </w:r>
      <w:r>
        <w:tab/>
      </w:r>
      <w:r>
        <w:rPr>
          <w:snapToGrid w:val="0"/>
        </w:rPr>
        <w:t>only</w:t>
      </w:r>
      <w:r>
        <w:t xml:space="preserve"> for the purpose of delivering it to a person authorised under this Act or the </w:t>
      </w:r>
      <w:r>
        <w:rPr>
          <w:i/>
          <w:iCs/>
        </w:rPr>
        <w:t>Poisons Act 1964</w:t>
      </w:r>
      <w:r>
        <w:t xml:space="preserve"> to have possession of any prohibited drug or prohibited plant in or on it; and</w:t>
      </w:r>
    </w:p>
    <w:p>
      <w:pPr>
        <w:pStyle w:val="Indenti"/>
      </w:pPr>
      <w:r>
        <w:tab/>
        <w:t>(ii)</w:t>
      </w:r>
      <w:r>
        <w:tab/>
        <w:t>in accordance with the authority in writing of the person so authorised,</w:t>
      </w:r>
    </w:p>
    <w:p>
      <w:pPr>
        <w:pStyle w:val="Indenta"/>
      </w:pPr>
      <w:r>
        <w:tab/>
      </w:r>
      <w:r>
        <w:tab/>
        <w:t>and that, after taking possession of the pipe or utensil, he took all such steps as were reasonably open to him to deliver it into the possession of that person; or</w:t>
      </w:r>
    </w:p>
    <w:p>
      <w:pPr>
        <w:pStyle w:val="Indenta"/>
      </w:pPr>
      <w:r>
        <w:tab/>
        <w:t>(b)</w:t>
      </w:r>
      <w:r>
        <w:tab/>
      </w:r>
      <w:r>
        <w:rPr>
          <w:snapToGrid w:val="0"/>
        </w:rPr>
        <w:t>that</w:t>
      </w:r>
      <w:r>
        <w:t xml:space="preserve"> he had possession of the pipe or utensil only for the purpose of analysing material in or on it, examining it or otherwise dealing with it for the purposes of this Act in his capacity as an analyst, botanist or other expert.</w:t>
      </w:r>
    </w:p>
    <w:p>
      <w:pPr>
        <w:pStyle w:val="Footnotesection"/>
      </w:pPr>
      <w:r>
        <w:tab/>
        <w:t>[Section 5 amended by No. 52 of 2003 s. 28; No. 44 of 2010 s. 4.]</w:t>
      </w:r>
    </w:p>
    <w:p>
      <w:pPr>
        <w:pStyle w:val="Heading5"/>
        <w:rPr>
          <w:snapToGrid w:val="0"/>
        </w:rPr>
      </w:pPr>
      <w:bookmarkStart w:id="123" w:name="_Toc503149540"/>
      <w:bookmarkStart w:id="124" w:name="_Toc534613835"/>
      <w:bookmarkStart w:id="125" w:name="_Toc535053874"/>
      <w:bookmarkStart w:id="126" w:name="_Toc109615233"/>
      <w:bookmarkStart w:id="127" w:name="_Toc215543719"/>
      <w:bookmarkStart w:id="128" w:name="_Toc290558510"/>
      <w:r>
        <w:rPr>
          <w:rStyle w:val="CharSectno"/>
        </w:rPr>
        <w:t>6</w:t>
      </w:r>
      <w:r>
        <w:rPr>
          <w:snapToGrid w:val="0"/>
        </w:rPr>
        <w:t>.</w:t>
      </w:r>
      <w:r>
        <w:rPr>
          <w:snapToGrid w:val="0"/>
        </w:rPr>
        <w:tab/>
        <w:t>Offences concerned with prohibited drugs generally</w:t>
      </w:r>
      <w:bookmarkEnd w:id="123"/>
      <w:bookmarkEnd w:id="124"/>
      <w:bookmarkEnd w:id="125"/>
      <w:bookmarkEnd w:id="126"/>
      <w:bookmarkEnd w:id="127"/>
      <w:bookmarkEnd w:id="128"/>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it to another, has in his possession;</w:t>
      </w:r>
    </w:p>
    <w:p>
      <w:pPr>
        <w:pStyle w:val="Indenta"/>
        <w:rPr>
          <w:snapToGrid w:val="0"/>
        </w:rPr>
      </w:pPr>
      <w:r>
        <w:rPr>
          <w:snapToGrid w:val="0"/>
        </w:rPr>
        <w:tab/>
        <w:t>(b)</w:t>
      </w:r>
      <w:r>
        <w:rPr>
          <w:snapToGrid w:val="0"/>
        </w:rPr>
        <w:tab/>
        <w:t>manufactures or prepares; or</w:t>
      </w:r>
    </w:p>
    <w:p>
      <w:pPr>
        <w:pStyle w:val="Indenta"/>
        <w:rPr>
          <w:snapToGrid w:val="0"/>
        </w:rPr>
      </w:pPr>
      <w:r>
        <w:rPr>
          <w:snapToGrid w:val="0"/>
        </w:rPr>
        <w:tab/>
        <w:t>(c)</w:t>
      </w:r>
      <w:r>
        <w:rPr>
          <w:snapToGrid w:val="0"/>
        </w:rPr>
        <w:tab/>
        <w:t>sells or supplies, or offers to sell or supply, to another,</w:t>
      </w:r>
    </w:p>
    <w:p>
      <w:pPr>
        <w:pStyle w:val="Subsection"/>
        <w:rPr>
          <w:snapToGrid w:val="0"/>
        </w:rPr>
      </w:pPr>
      <w:r>
        <w:rPr>
          <w:snapToGrid w:val="0"/>
        </w:rPr>
        <w:tab/>
      </w:r>
      <w:r>
        <w:rPr>
          <w:snapToGrid w:val="0"/>
        </w:rPr>
        <w:tab/>
        <w:t xml:space="preserve">a prohibited drug 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and to section 36A of the </w:t>
      </w:r>
      <w:r>
        <w:rPr>
          <w:i/>
          <w:snapToGrid w:val="0"/>
        </w:rPr>
        <w:t>Poisons Act 1964</w:t>
      </w:r>
      <w:r>
        <w:rPr>
          <w:snapToGrid w:val="0"/>
        </w:rPr>
        <w:t>, a person who has in his possession or uses a prohibited drug commits a simple offence, except when, in the case of a person who has the prohibited drug in his possession — </w:t>
      </w:r>
    </w:p>
    <w:p>
      <w:pPr>
        <w:pStyle w:val="Indenta"/>
        <w:rPr>
          <w:snapToGrid w:val="0"/>
        </w:rPr>
      </w:pPr>
      <w:r>
        <w:rPr>
          <w:snapToGrid w:val="0"/>
        </w:rPr>
        <w:tab/>
        <w:t>(a)</w:t>
      </w:r>
      <w:r>
        <w:rPr>
          <w:snapToGrid w:val="0"/>
        </w:rPr>
        <w:tab/>
        <w:t xml:space="preserve">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 or</w:t>
      </w:r>
    </w:p>
    <w:p>
      <w:pPr>
        <w:pStyle w:val="Indenta"/>
        <w:rPr>
          <w:snapToGrid w:val="0"/>
        </w:rPr>
      </w:pPr>
      <w:r>
        <w:rPr>
          <w:snapToGrid w:val="0"/>
        </w:rPr>
        <w:tab/>
        <w:t>(b)</w:t>
      </w:r>
      <w:r>
        <w:rPr>
          <w:snapToGrid w:val="0"/>
        </w:rPr>
        <w:tab/>
        <w:t>the prohibited drug was sold or supplied, or requested to be sold or supplied, to him — </w:t>
      </w:r>
    </w:p>
    <w:p>
      <w:pPr>
        <w:pStyle w:val="Indenti"/>
        <w:rPr>
          <w:snapToGrid w:val="0"/>
        </w:rPr>
      </w:pPr>
      <w:r>
        <w:rPr>
          <w:snapToGrid w:val="0"/>
        </w:rPr>
        <w:tab/>
        <w:t>(i)</w:t>
      </w:r>
      <w:r>
        <w:rPr>
          <w:snapToGrid w:val="0"/>
        </w:rPr>
        <w:tab/>
        <w:t>by a medical practitioner</w:t>
      </w:r>
      <w:r>
        <w:t>, nurse practitioner</w:t>
      </w:r>
      <w:r>
        <w:rPr>
          <w:snapToGrid w:val="0"/>
        </w:rPr>
        <w:t xml:space="preserve"> or veterinary surgeon in the lawful practice of his profession; or</w:t>
      </w:r>
    </w:p>
    <w:p>
      <w:pPr>
        <w:pStyle w:val="Indenti"/>
        <w:rPr>
          <w:snapToGrid w:val="0"/>
        </w:rPr>
      </w:pPr>
      <w:r>
        <w:rPr>
          <w:snapToGrid w:val="0"/>
        </w:rPr>
        <w:tab/>
        <w:t>(ii)</w:t>
      </w:r>
      <w:r>
        <w:rPr>
          <w:snapToGrid w:val="0"/>
        </w:rPr>
        <w:tab/>
        <w:t>on and in accordance with an authorised prescription.</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or manufacturing or preparing a prohibited drug if he proves that he had possession of or manufactured or prepared the prohibited drug only for the purpose of — </w:t>
      </w:r>
    </w:p>
    <w:p>
      <w:pPr>
        <w:pStyle w:val="Indenta"/>
        <w:rPr>
          <w:snapToGrid w:val="0"/>
        </w:rPr>
      </w:pPr>
      <w:r>
        <w:rPr>
          <w:snapToGrid w:val="0"/>
        </w:rPr>
        <w:tab/>
        <w:t>(a)</w:t>
      </w:r>
      <w:r>
        <w:rPr>
          <w:snapToGrid w:val="0"/>
        </w:rPr>
        <w:tab/>
        <w:t>delivering it to a person authorised — </w:t>
      </w:r>
    </w:p>
    <w:p>
      <w:pPr>
        <w:pStyle w:val="Indenti"/>
        <w:rPr>
          <w:snapToGrid w:val="0"/>
        </w:rPr>
      </w:pPr>
      <w:r>
        <w:rPr>
          <w:snapToGrid w:val="0"/>
        </w:rPr>
        <w:tab/>
        <w:t>(i)</w:t>
      </w:r>
      <w:r>
        <w:rPr>
          <w:snapToGrid w:val="0"/>
        </w:rPr>
        <w:tab/>
        <w:t xml:space="preserve">to have possession of the prohibited drug by or under this Act, by or under the </w:t>
      </w:r>
      <w:r>
        <w:rPr>
          <w:i/>
          <w:snapToGrid w:val="0"/>
        </w:rPr>
        <w:t>Poisons Act 1964</w:t>
      </w:r>
      <w:r>
        <w:rPr>
          <w:snapToGrid w:val="0"/>
        </w:rPr>
        <w:t xml:space="preserve"> or on and in accordance with an authorised prescription;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manufacture, prepare, sell or supply the prohibited drug,</w:t>
      </w:r>
    </w:p>
    <w:p>
      <w:pPr>
        <w:pStyle w:val="Indenta"/>
        <w:rPr>
          <w:snapToGrid w:val="0"/>
        </w:rPr>
      </w:pPr>
      <w:r>
        <w:rPr>
          <w:snapToGrid w:val="0"/>
        </w:rPr>
        <w:tab/>
      </w:r>
      <w:r>
        <w:rPr>
          <w:snapToGrid w:val="0"/>
        </w:rPr>
        <w:tab/>
        <w:t>and had possession thereof (except in the case of intended delivery to a person authorised to have possession of the prohibited drug on and in accordance with an authorised prescription) in accordance with the authority in writing of the person so authorised, and that, after taking possession of the prohibited drug, he took all such steps as were reasonably open to him to deliver the prohibited drug into the possession of that person; or</w:t>
      </w:r>
    </w:p>
    <w:p>
      <w:pPr>
        <w:pStyle w:val="Indenta"/>
        <w:rPr>
          <w:snapToGrid w:val="0"/>
        </w:rPr>
      </w:pPr>
      <w:r>
        <w:rPr>
          <w:snapToGrid w:val="0"/>
        </w:rPr>
        <w:tab/>
        <w:t>(b)</w:t>
      </w:r>
      <w:r>
        <w:rPr>
          <w:snapToGrid w:val="0"/>
        </w:rPr>
        <w:tab/>
        <w:t>analysing, examining or otherwise dealing with it for the purposes of this Act in his capacity as an analyst, botanist or other expert.</w:t>
      </w:r>
    </w:p>
    <w:p>
      <w:pPr>
        <w:pStyle w:val="Footnotesection"/>
      </w:pPr>
      <w:r>
        <w:tab/>
        <w:t xml:space="preserve">[Section 6 amended by No. 12 of 1994 s. 11; No. 9 of 2003 s. 29; No. 1 of 2004 s. 52; No. 4 of 2004 s. 58.] </w:t>
      </w:r>
    </w:p>
    <w:p>
      <w:pPr>
        <w:pStyle w:val="Heading5"/>
        <w:spacing w:before="180"/>
        <w:rPr>
          <w:snapToGrid w:val="0"/>
        </w:rPr>
      </w:pPr>
      <w:bookmarkStart w:id="129" w:name="_Toc503149541"/>
      <w:bookmarkStart w:id="130" w:name="_Toc534613836"/>
      <w:bookmarkStart w:id="131" w:name="_Toc535053875"/>
      <w:bookmarkStart w:id="132" w:name="_Toc109615234"/>
      <w:bookmarkStart w:id="133" w:name="_Toc215543720"/>
      <w:bookmarkStart w:id="134" w:name="_Toc290558511"/>
      <w:r>
        <w:rPr>
          <w:rStyle w:val="CharSectno"/>
        </w:rPr>
        <w:t>7</w:t>
      </w:r>
      <w:r>
        <w:rPr>
          <w:snapToGrid w:val="0"/>
        </w:rPr>
        <w:t>.</w:t>
      </w:r>
      <w:r>
        <w:rPr>
          <w:snapToGrid w:val="0"/>
        </w:rPr>
        <w:tab/>
        <w:t>Offences concerned with prohibited plants generally</w:t>
      </w:r>
      <w:bookmarkEnd w:id="129"/>
      <w:bookmarkEnd w:id="130"/>
      <w:bookmarkEnd w:id="131"/>
      <w:bookmarkEnd w:id="132"/>
      <w:bookmarkEnd w:id="133"/>
      <w:bookmarkEnd w:id="134"/>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a prohibited plant or any prohibited drug obtainable therefrom to another, has in his possession or cultivates the prohibited plant; or</w:t>
      </w:r>
    </w:p>
    <w:p>
      <w:pPr>
        <w:pStyle w:val="Indenta"/>
        <w:rPr>
          <w:snapToGrid w:val="0"/>
        </w:rPr>
      </w:pPr>
      <w:r>
        <w:rPr>
          <w:snapToGrid w:val="0"/>
        </w:rPr>
        <w:tab/>
        <w:t>(b)</w:t>
      </w:r>
      <w:r>
        <w:rPr>
          <w:snapToGrid w:val="0"/>
        </w:rPr>
        <w:tab/>
        <w:t>sells or supplies, or offers to sell or supply, a prohibited plant to another,</w:t>
      </w:r>
    </w:p>
    <w:p>
      <w:pPr>
        <w:pStyle w:val="Subsection"/>
        <w:spacing w:before="120"/>
        <w:rPr>
          <w:snapToGrid w:val="0"/>
        </w:rPr>
      </w:pPr>
      <w:r>
        <w:rPr>
          <w:snapToGrid w:val="0"/>
        </w:rPr>
        <w:tab/>
      </w:r>
      <w:r>
        <w:rPr>
          <w:snapToGrid w:val="0"/>
        </w:rPr>
        <w:tab/>
        <w:t xml:space="preserve">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 person who has in his possession or cultivates a prohibited plant commits a simple offence, except when 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a prohibited plant if he proves that he had possession of the prohibited plant only for the purpose of —</w:t>
      </w:r>
    </w:p>
    <w:p>
      <w:pPr>
        <w:pStyle w:val="Indenta"/>
        <w:rPr>
          <w:snapToGrid w:val="0"/>
        </w:rPr>
      </w:pPr>
      <w:r>
        <w:rPr>
          <w:snapToGrid w:val="0"/>
        </w:rPr>
        <w:tab/>
        <w:t>(a)</w:t>
      </w:r>
      <w:r>
        <w:rPr>
          <w:snapToGrid w:val="0"/>
        </w:rPr>
        <w:tab/>
        <w:t>delivering it or any prohibited drug obtainable therefrom to a person authorised — </w:t>
      </w:r>
    </w:p>
    <w:p>
      <w:pPr>
        <w:pStyle w:val="Indenti"/>
        <w:rPr>
          <w:snapToGrid w:val="0"/>
        </w:rPr>
      </w:pPr>
      <w:r>
        <w:rPr>
          <w:snapToGrid w:val="0"/>
        </w:rPr>
        <w:tab/>
        <w:t>(i)</w:t>
      </w:r>
      <w:r>
        <w:rPr>
          <w:snapToGrid w:val="0"/>
        </w:rPr>
        <w:tab/>
        <w:t xml:space="preserve">to have possession of the prohibited plant or that prohibited drug, as the case requires, by or under this Act or by or under the </w:t>
      </w:r>
      <w:r>
        <w:rPr>
          <w:i/>
          <w:snapToGrid w:val="0"/>
        </w:rPr>
        <w:t>Poisons Act 1964</w:t>
      </w:r>
      <w:r>
        <w:rPr>
          <w:snapToGrid w:val="0"/>
        </w:rPr>
        <w:t>;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sell or supply the prohibited plant or to manufacture, prepare, sell or supply that prohibited drug, as the case requires,</w:t>
      </w:r>
    </w:p>
    <w:p>
      <w:pPr>
        <w:pStyle w:val="Indenta"/>
        <w:rPr>
          <w:snapToGrid w:val="0"/>
        </w:rPr>
      </w:pPr>
      <w:r>
        <w:rPr>
          <w:snapToGrid w:val="0"/>
        </w:rPr>
        <w:tab/>
      </w:r>
      <w:r>
        <w:rPr>
          <w:snapToGrid w:val="0"/>
        </w:rPr>
        <w:tab/>
        <w:t>and had possession of the prohibited plant in accordance with the authority in writing of the person so authorised, and that, after taking possession of the prohibited plant, he took all such steps as were reasonably open to him to deliver the prohibited plant or that prohibited drug into the possession of that person; or</w:t>
      </w:r>
    </w:p>
    <w:p>
      <w:pPr>
        <w:pStyle w:val="Indenta"/>
        <w:rPr>
          <w:snapToGrid w:val="0"/>
        </w:rPr>
      </w:pPr>
      <w:r>
        <w:rPr>
          <w:snapToGrid w:val="0"/>
        </w:rPr>
        <w:tab/>
        <w:t>(b)</w:t>
      </w:r>
      <w:r>
        <w:rPr>
          <w:snapToGrid w:val="0"/>
        </w:rPr>
        <w:tab/>
        <w:t>analysing, examining or otherwise dealing with the prohibited plant or that prohibited drug for the purposes</w:t>
      </w:r>
      <w:r>
        <w:rPr>
          <w:snapToGrid w:val="0"/>
          <w:highlight w:val="green"/>
        </w:rPr>
        <w:t xml:space="preserve"> </w:t>
      </w:r>
      <w:r>
        <w:rPr>
          <w:snapToGrid w:val="0"/>
        </w:rPr>
        <w:t>of this Act in his capacity as an analyst, botanist or other expert.</w:t>
      </w:r>
    </w:p>
    <w:p>
      <w:pPr>
        <w:pStyle w:val="Footnotesection"/>
      </w:pPr>
      <w:r>
        <w:tab/>
        <w:t>[Section 7 amended by No. 1 of 2004 s. 52; No. 4 of 2004 s. 58.]</w:t>
      </w:r>
    </w:p>
    <w:p>
      <w:pPr>
        <w:pStyle w:val="Heading5"/>
        <w:spacing w:before="180"/>
        <w:rPr>
          <w:snapToGrid w:val="0"/>
        </w:rPr>
      </w:pPr>
      <w:bookmarkStart w:id="135" w:name="_Toc109615235"/>
      <w:bookmarkStart w:id="136" w:name="_Toc215543721"/>
      <w:bookmarkStart w:id="137" w:name="_Toc290558512"/>
      <w:bookmarkStart w:id="138" w:name="_Toc503149542"/>
      <w:bookmarkStart w:id="139" w:name="_Toc534613837"/>
      <w:bookmarkStart w:id="140" w:name="_Toc535053876"/>
      <w:r>
        <w:rPr>
          <w:rStyle w:val="CharSectno"/>
        </w:rPr>
        <w:t>7A</w:t>
      </w:r>
      <w:r>
        <w:rPr>
          <w:snapToGrid w:val="0"/>
        </w:rPr>
        <w:t>.</w:t>
      </w:r>
      <w:r>
        <w:rPr>
          <w:snapToGrid w:val="0"/>
        </w:rPr>
        <w:tab/>
        <w:t>Selling or supplying a thing knowing it will be used in the hydroponic cultivation of a prohibited plant</w:t>
      </w:r>
      <w:bookmarkEnd w:id="135"/>
      <w:bookmarkEnd w:id="136"/>
      <w:bookmarkEnd w:id="137"/>
    </w:p>
    <w:p>
      <w:pPr>
        <w:pStyle w:val="Subsection"/>
        <w:rPr>
          <w:snapToGrid w:val="0"/>
        </w:rPr>
      </w:pPr>
      <w:r>
        <w:rPr>
          <w:snapToGrid w:val="0"/>
        </w:rPr>
        <w:tab/>
        <w:t>(1)</w:t>
      </w:r>
      <w:r>
        <w:rPr>
          <w:snapToGrid w:val="0"/>
        </w:rPr>
        <w:tab/>
        <w:t>A person who sells or supplies, or offers to sell or supply, to another, any thing that the person knows will be used to cultivate a prohibited plant contrary to section 7(1)(a) or (2) by hydroponic means commits an indictable offence.</w:t>
      </w:r>
    </w:p>
    <w:p>
      <w:pPr>
        <w:pStyle w:val="Subsection"/>
        <w:rPr>
          <w:snapToGrid w:val="0"/>
        </w:rPr>
      </w:pPr>
      <w:r>
        <w:rPr>
          <w:snapToGrid w:val="0"/>
        </w:rPr>
        <w:tab/>
        <w:t>(2)</w:t>
      </w:r>
      <w:r>
        <w:rPr>
          <w:snapToGrid w:val="0"/>
        </w:rPr>
        <w:tab/>
        <w:t>A court convicting a person of the offence under subsection (1) may, on the application of the Director of Public Prosecutions or a police prosecutor, in addition order that the person be prohibited for a period set by the court (but not exceeding 2 years) from selling or supplying, or offering for sale or supply, to another, any thing that may be used to cultivate plants by hydroponic means.</w:t>
      </w:r>
    </w:p>
    <w:p>
      <w:pPr>
        <w:pStyle w:val="Subsection"/>
        <w:rPr>
          <w:snapToGrid w:val="0"/>
        </w:rPr>
      </w:pPr>
      <w:r>
        <w:rPr>
          <w:snapToGrid w:val="0"/>
        </w:rPr>
        <w:tab/>
        <w:t>(3)</w:t>
      </w:r>
      <w:r>
        <w:rPr>
          <w:snapToGrid w:val="0"/>
        </w:rPr>
        <w:tab/>
        <w:t>A person who contravenes an order under subsection (2) is guilty of a simple offence.</w:t>
      </w:r>
    </w:p>
    <w:p>
      <w:pPr>
        <w:pStyle w:val="Footnotesection"/>
        <w:rPr>
          <w:snapToGrid/>
        </w:rPr>
      </w:pPr>
      <w:r>
        <w:rPr>
          <w:snapToGrid/>
        </w:rPr>
        <w:tab/>
        <w:t>[Section 7A inserted by No. 52 of 2003 s. 29.]</w:t>
      </w:r>
    </w:p>
    <w:p>
      <w:pPr>
        <w:pStyle w:val="Heading5"/>
        <w:rPr>
          <w:snapToGrid w:val="0"/>
        </w:rPr>
      </w:pPr>
      <w:bookmarkStart w:id="141" w:name="_Toc109615236"/>
      <w:bookmarkStart w:id="142" w:name="_Toc215543722"/>
      <w:bookmarkStart w:id="143" w:name="_Toc290558513"/>
      <w:r>
        <w:rPr>
          <w:rStyle w:val="CharSectno"/>
        </w:rPr>
        <w:t>8</w:t>
      </w:r>
      <w:r>
        <w:rPr>
          <w:snapToGrid w:val="0"/>
        </w:rPr>
        <w:t>.</w:t>
      </w:r>
      <w:r>
        <w:rPr>
          <w:snapToGrid w:val="0"/>
        </w:rPr>
        <w:tab/>
        <w:t>Fraudulent behaviour in relation to prohibited drugs</w:t>
      </w:r>
      <w:bookmarkEnd w:id="138"/>
      <w:bookmarkEnd w:id="139"/>
      <w:bookmarkEnd w:id="140"/>
      <w:bookmarkEnd w:id="141"/>
      <w:bookmarkEnd w:id="142"/>
      <w:bookmarkEnd w:id="143"/>
    </w:p>
    <w:p>
      <w:pPr>
        <w:pStyle w:val="Subsection"/>
        <w:rPr>
          <w:snapToGrid w:val="0"/>
        </w:rPr>
      </w:pPr>
      <w:r>
        <w:rPr>
          <w:snapToGrid w:val="0"/>
        </w:rPr>
        <w:tab/>
        <w:t>(1)</w:t>
      </w:r>
      <w:r>
        <w:rPr>
          <w:snapToGrid w:val="0"/>
        </w:rPr>
        <w:tab/>
        <w:t>A person who forges or fraudulently alters, or utters knowing it to be forged or fraudulently altered, a prescription or order for a prohibited drug commits a simple offence.</w:t>
      </w:r>
    </w:p>
    <w:p>
      <w:pPr>
        <w:pStyle w:val="Subsection"/>
        <w:rPr>
          <w:snapToGrid w:val="0"/>
        </w:rPr>
      </w:pPr>
      <w:r>
        <w:rPr>
          <w:snapToGrid w:val="0"/>
        </w:rPr>
        <w:tab/>
        <w:t>(2)</w:t>
      </w:r>
      <w:r>
        <w:rPr>
          <w:snapToGrid w:val="0"/>
        </w:rPr>
        <w:tab/>
        <w:t>A person who by any false representation, whether oral or in writing or otherwise, causes or induces — </w:t>
      </w:r>
    </w:p>
    <w:p>
      <w:pPr>
        <w:pStyle w:val="Indenta"/>
        <w:rPr>
          <w:snapToGrid w:val="0"/>
        </w:rPr>
      </w:pPr>
      <w:r>
        <w:rPr>
          <w:snapToGrid w:val="0"/>
        </w:rPr>
        <w:tab/>
        <w:t>(a)</w:t>
      </w:r>
      <w:r>
        <w:rPr>
          <w:snapToGrid w:val="0"/>
        </w:rPr>
        <w:tab/>
        <w:t xml:space="preserve">a person licensed under the </w:t>
      </w:r>
      <w:r>
        <w:rPr>
          <w:i/>
          <w:snapToGrid w:val="0"/>
        </w:rPr>
        <w:t>Poisons Act 1964</w:t>
      </w:r>
      <w:r>
        <w:rPr>
          <w:snapToGrid w:val="0"/>
        </w:rPr>
        <w:t xml:space="preserve"> to manufacture, sell or supply any prohibited drug; or</w:t>
      </w:r>
    </w:p>
    <w:p>
      <w:pPr>
        <w:pStyle w:val="Indenta"/>
        <w:rPr>
          <w:snapToGrid w:val="0"/>
        </w:rPr>
      </w:pPr>
      <w:r>
        <w:rPr>
          <w:snapToGrid w:val="0"/>
        </w:rPr>
        <w:tab/>
        <w:t>(b)</w:t>
      </w:r>
      <w:r>
        <w:rPr>
          <w:snapToGrid w:val="0"/>
        </w:rPr>
        <w:tab/>
        <w:t>a medical practitioner</w:t>
      </w:r>
      <w:r>
        <w:t>, nurse practitioner</w:t>
      </w:r>
      <w:r>
        <w:rPr>
          <w:snapToGrid w:val="0"/>
        </w:rPr>
        <w:t xml:space="preserve"> or dentist,</w:t>
      </w:r>
    </w:p>
    <w:p>
      <w:pPr>
        <w:pStyle w:val="Subsection"/>
        <w:rPr>
          <w:snapToGrid w:val="0"/>
        </w:rPr>
      </w:pPr>
      <w:r>
        <w:rPr>
          <w:snapToGrid w:val="0"/>
        </w:rPr>
        <w:tab/>
      </w:r>
      <w:r>
        <w:rPr>
          <w:snapToGrid w:val="0"/>
        </w:rPr>
        <w:tab/>
        <w:t>to administer or supply to him by injection or otherwise a prohibited drug commits a simple offence.</w:t>
      </w:r>
    </w:p>
    <w:p>
      <w:pPr>
        <w:pStyle w:val="Footnotesection"/>
      </w:pPr>
      <w:r>
        <w:tab/>
        <w:t>[Section 8 amended by No. 9 of 2003 s. 30.]</w:t>
      </w:r>
    </w:p>
    <w:p>
      <w:pPr>
        <w:pStyle w:val="Heading5"/>
      </w:pPr>
      <w:bookmarkStart w:id="144" w:name="_Toc109615237"/>
      <w:bookmarkStart w:id="145" w:name="_Toc215543723"/>
      <w:bookmarkStart w:id="146" w:name="_Toc290558514"/>
      <w:r>
        <w:rPr>
          <w:rStyle w:val="CharSectno"/>
        </w:rPr>
        <w:t>8A</w:t>
      </w:r>
      <w:r>
        <w:t>.</w:t>
      </w:r>
      <w:r>
        <w:tab/>
        <w:t>Defences relating to industrial hemp or industrial hemp seed</w:t>
      </w:r>
      <w:bookmarkEnd w:id="144"/>
      <w:bookmarkEnd w:id="145"/>
      <w:bookmarkEnd w:id="146"/>
    </w:p>
    <w:p>
      <w:pPr>
        <w:pStyle w:val="Subsection"/>
      </w:pPr>
      <w:r>
        <w:tab/>
        <w:t>(1)</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keepNext/>
      </w:pPr>
      <w:r>
        <w:tab/>
        <w:t>(b)</w:t>
      </w:r>
      <w:r>
        <w:tab/>
        <w:t>an employee, agent or contractor of a person referred to in paragraph (a),</w:t>
      </w:r>
    </w:p>
    <w:p>
      <w:pPr>
        <w:pStyle w:val="Subsection"/>
      </w:pPr>
      <w:r>
        <w:tab/>
      </w:r>
      <w:r>
        <w:tab/>
        <w:t>for an offence against section 5(1)(a)(i) involving the manufacture or preparation of a prohibited drug or prohibited plant for use, it is a defence for the person to prove that the prohibited drug or prohibited plant is industrial hemp or industrial hemp seed.</w:t>
      </w:r>
    </w:p>
    <w:p>
      <w:pPr>
        <w:pStyle w:val="Subsection"/>
      </w:pPr>
      <w:r>
        <w:tab/>
        <w:t>(2)</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5(1)(a)(ii) involving the manufacture, preparation, sale, supply or use of a prohibited drug or prohibited plant, it is a defence for the person to prove that the prohibited drug or prohibited plant is industrial hemp or industrial hemp seed.</w:t>
      </w:r>
    </w:p>
    <w:p>
      <w:pPr>
        <w:pStyle w:val="Subsection"/>
      </w:pPr>
      <w:r>
        <w:tab/>
        <w:t>(3)</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5(1)(c) involving being knowingly concerned in the management of any premises used for a purpose referred to in section 5(1)(a), it is a defence for the person to prove that the prohibited drug or prohibited plant is industrial hemp or industrial hemp seed.</w:t>
      </w:r>
    </w:p>
    <w:p>
      <w:pPr>
        <w:pStyle w:val="Subsection"/>
        <w:keepNext/>
      </w:pPr>
      <w:r>
        <w:tab/>
        <w:t>(4)</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6(1)(a), it is a defence for the person to prove that the prohibited drug is industrial hemp or industrial hemp seed.</w:t>
      </w:r>
    </w:p>
    <w:p>
      <w:pPr>
        <w:pStyle w:val="Subsection"/>
      </w:pPr>
      <w:r>
        <w:tab/>
        <w:t>(5)</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6(1)(b) involving manufacturing or preparing a prohibited drug, it is a defence for the person to prove that the prohibited drug is industrial hemp or industrial hemp seed.</w:t>
      </w:r>
    </w:p>
    <w:p>
      <w:pPr>
        <w:pStyle w:val="Subsection"/>
        <w:spacing w:before="120"/>
      </w:pPr>
      <w:r>
        <w:tab/>
        <w:t>(6)</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20"/>
      </w:pPr>
      <w:r>
        <w:tab/>
      </w:r>
      <w:r>
        <w:tab/>
        <w:t>for an offence against section 6(1)(c) involving selling or supplying, or offering to sell or supply a prohibited drug to another, it is a defence for the person to prove that the prohibited drug is industrial hemp or industrial hemp seed.</w:t>
      </w:r>
    </w:p>
    <w:p>
      <w:pPr>
        <w:pStyle w:val="Subsection"/>
        <w:spacing w:before="120"/>
      </w:pPr>
      <w:r>
        <w:tab/>
        <w:t>(7)</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00"/>
      </w:pPr>
      <w:r>
        <w:tab/>
      </w:r>
      <w:r>
        <w:tab/>
        <w:t>for an offence against section 6(2) involving possession or use of a prohibited drug, it is a defence for the person to prove that the prohibited drug is industrial hemp or industrial hemp seed.</w:t>
      </w:r>
    </w:p>
    <w:p>
      <w:pPr>
        <w:pStyle w:val="Subsection"/>
      </w:pPr>
      <w:r>
        <w:tab/>
        <w:t>(8)</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 xml:space="preserve">for an offence against — </w:t>
      </w:r>
    </w:p>
    <w:p>
      <w:pPr>
        <w:pStyle w:val="Indenta"/>
      </w:pPr>
      <w:r>
        <w:tab/>
        <w:t>(c)</w:t>
      </w:r>
      <w:r>
        <w:tab/>
        <w:t>section 7(1)(a) involving possessing or cultivating a prohibited plant with intent to sell or supply the prohibited plant or any prohibited drug obtainable therefrom to another; or</w:t>
      </w:r>
    </w:p>
    <w:p>
      <w:pPr>
        <w:pStyle w:val="Indenta"/>
      </w:pPr>
      <w:r>
        <w:tab/>
        <w:t>(d)</w:t>
      </w:r>
      <w:r>
        <w:tab/>
        <w:t>section 7(1)(b) involving selling or supplying, or offering to sell or supply, a prohibited plant to another,</w:t>
      </w:r>
    </w:p>
    <w:p>
      <w:pPr>
        <w:pStyle w:val="Subsection"/>
      </w:pPr>
      <w:r>
        <w:tab/>
      </w:r>
      <w:r>
        <w:tab/>
        <w:t>it is a defence for the person to prove that the prohibited plant is industrial hemp or industrial hemp seed.</w:t>
      </w:r>
    </w:p>
    <w:p>
      <w:pPr>
        <w:pStyle w:val="Subsection"/>
      </w:pPr>
      <w:r>
        <w:tab/>
        <w:t>(9)</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7(2) involving having in his or her possession or cultivating a prohibited plant, it is a defence for the person to prove that the prohibited plant is industrial hemp or industrial hemp seed.</w:t>
      </w:r>
    </w:p>
    <w:p>
      <w:pPr>
        <w:pStyle w:val="Footnotesection"/>
      </w:pPr>
      <w:r>
        <w:tab/>
        <w:t>[Section 8A inserted by No. 1 of 2004 s. 54.]</w:t>
      </w:r>
    </w:p>
    <w:p>
      <w:pPr>
        <w:pStyle w:val="Heading2"/>
      </w:pPr>
      <w:bookmarkStart w:id="147" w:name="_Toc72912340"/>
      <w:bookmarkStart w:id="148" w:name="_Toc89162867"/>
      <w:bookmarkStart w:id="149" w:name="_Toc89571154"/>
      <w:bookmarkStart w:id="150" w:name="_Toc90092322"/>
      <w:bookmarkStart w:id="151" w:name="_Toc92603593"/>
      <w:bookmarkStart w:id="152" w:name="_Toc92797777"/>
      <w:bookmarkStart w:id="153" w:name="_Toc97018079"/>
      <w:bookmarkStart w:id="154" w:name="_Toc102387634"/>
      <w:bookmarkStart w:id="155" w:name="_Toc102905265"/>
      <w:bookmarkStart w:id="156" w:name="_Toc105219508"/>
      <w:bookmarkStart w:id="157" w:name="_Toc105220412"/>
      <w:bookmarkStart w:id="158" w:name="_Toc105220480"/>
      <w:bookmarkStart w:id="159" w:name="_Toc105909924"/>
      <w:bookmarkStart w:id="160" w:name="_Toc105910839"/>
      <w:bookmarkStart w:id="161" w:name="_Toc106600683"/>
      <w:bookmarkStart w:id="162" w:name="_Toc106600981"/>
      <w:bookmarkStart w:id="163" w:name="_Toc109615238"/>
      <w:bookmarkStart w:id="164" w:name="_Toc139344532"/>
      <w:bookmarkStart w:id="165" w:name="_Toc139699296"/>
      <w:bookmarkStart w:id="166" w:name="_Toc147051329"/>
      <w:bookmarkStart w:id="167" w:name="_Toc147118784"/>
      <w:bookmarkStart w:id="168" w:name="_Toc148236105"/>
      <w:bookmarkStart w:id="169" w:name="_Toc158704979"/>
      <w:bookmarkStart w:id="170" w:name="_Toc165369939"/>
      <w:bookmarkStart w:id="171" w:name="_Toc177873281"/>
      <w:bookmarkStart w:id="172" w:name="_Toc177873406"/>
      <w:bookmarkStart w:id="173" w:name="_Toc184707363"/>
      <w:bookmarkStart w:id="174" w:name="_Toc189464694"/>
      <w:bookmarkStart w:id="175" w:name="_Toc190249258"/>
      <w:bookmarkStart w:id="176" w:name="_Toc191703152"/>
      <w:bookmarkStart w:id="177" w:name="_Toc193692069"/>
      <w:bookmarkStart w:id="178" w:name="_Toc199817251"/>
      <w:bookmarkStart w:id="179" w:name="_Toc215543724"/>
      <w:bookmarkStart w:id="180" w:name="_Toc215543984"/>
      <w:bookmarkStart w:id="181" w:name="_Toc248029021"/>
      <w:bookmarkStart w:id="182" w:name="_Toc256085070"/>
      <w:bookmarkStart w:id="183" w:name="_Toc256092135"/>
      <w:bookmarkStart w:id="184" w:name="_Toc268600321"/>
      <w:bookmarkStart w:id="185" w:name="_Toc272237450"/>
      <w:bookmarkStart w:id="186" w:name="_Toc275253529"/>
      <w:bookmarkStart w:id="187" w:name="_Toc283287453"/>
      <w:bookmarkStart w:id="188" w:name="_Toc290558439"/>
      <w:bookmarkStart w:id="189" w:name="_Toc290558515"/>
      <w:r>
        <w:rPr>
          <w:rStyle w:val="CharPartNo"/>
        </w:rPr>
        <w:t>Part III</w:t>
      </w:r>
      <w:r>
        <w:rPr>
          <w:rStyle w:val="CharDivNo"/>
        </w:rPr>
        <w:t> </w:t>
      </w:r>
      <w:r>
        <w:t>—</w:t>
      </w:r>
      <w:r>
        <w:rPr>
          <w:rStyle w:val="CharDivText"/>
        </w:rPr>
        <w:t> </w:t>
      </w:r>
      <w:r>
        <w:rPr>
          <w:rStyle w:val="CharPartText"/>
        </w:rPr>
        <w:t>Procedure</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pPr>
        <w:pStyle w:val="Heading5"/>
        <w:spacing w:before="240"/>
      </w:pPr>
      <w:bookmarkStart w:id="190" w:name="_Toc109615239"/>
      <w:bookmarkStart w:id="191" w:name="_Toc215543725"/>
      <w:bookmarkStart w:id="192" w:name="_Toc290558516"/>
      <w:bookmarkStart w:id="193" w:name="_Toc503149544"/>
      <w:bookmarkStart w:id="194" w:name="_Toc534613839"/>
      <w:bookmarkStart w:id="195" w:name="_Toc535053878"/>
      <w:r>
        <w:rPr>
          <w:rStyle w:val="CharSectno"/>
        </w:rPr>
        <w:t>9</w:t>
      </w:r>
      <w:r>
        <w:t>.</w:t>
      </w:r>
      <w:r>
        <w:tab/>
        <w:t>Summary trial of some indictable offences</w:t>
      </w:r>
      <w:bookmarkEnd w:id="190"/>
      <w:bookmarkEnd w:id="191"/>
      <w:bookmarkEnd w:id="192"/>
    </w:p>
    <w:p>
      <w:pPr>
        <w:pStyle w:val="Subsection"/>
        <w:spacing w:before="180"/>
      </w:pPr>
      <w:r>
        <w:tab/>
        <w:t>(1)</w:t>
      </w:r>
      <w:r>
        <w:tab/>
        <w:t xml:space="preserve">If a person is charged before a court of summary jurisdiction with — </w:t>
      </w:r>
    </w:p>
    <w:p>
      <w:pPr>
        <w:pStyle w:val="Indenta"/>
      </w:pPr>
      <w:r>
        <w:tab/>
        <w:t>(a)</w:t>
      </w:r>
      <w:r>
        <w:tab/>
        <w:t>an offence under section 6(1) in respect of a quantity of a prohibited drug referred to in Schedule III that is less than the quantity specified in that Schedule in relation to that prohibited drug;</w:t>
      </w:r>
    </w:p>
    <w:p>
      <w:pPr>
        <w:pStyle w:val="Indenta"/>
      </w:pPr>
      <w:r>
        <w:tab/>
        <w:t>(b)</w:t>
      </w:r>
      <w:r>
        <w:tab/>
        <w:t>an offence under section 7(1) in respect of a number of prohibited plants of a particular species or genus referred to in Schedule IV that is less than the number specified in that Schedule in relation to that species or genus; or</w:t>
      </w:r>
    </w:p>
    <w:p>
      <w:pPr>
        <w:pStyle w:val="Indenta"/>
      </w:pPr>
      <w:r>
        <w:tab/>
        <w:t>(c)</w:t>
      </w:r>
      <w:r>
        <w:tab/>
        <w:t>an offence under section 7A(1),</w:t>
      </w:r>
    </w:p>
    <w:p>
      <w:pPr>
        <w:pStyle w:val="Subsection"/>
        <w:spacing w:before="180"/>
      </w:pPr>
      <w:r>
        <w:tab/>
      </w:r>
      <w:r>
        <w:tab/>
        <w:t>then, except in a case where the person is charged with conspiring to commit the offence, the summary conviction penalty for the offence is that set out in section 34(2)(b).</w:t>
      </w:r>
    </w:p>
    <w:p>
      <w:pPr>
        <w:pStyle w:val="Subsection"/>
        <w:spacing w:before="180"/>
      </w:pPr>
      <w:r>
        <w:tab/>
        <w:t>(2)</w:t>
      </w:r>
      <w:r>
        <w:tab/>
        <w:t>A court of summary jurisdiction that tries a person summarily for a charge of an offence referred to in subsection (1) must be constituted by a magistrate sitting alone.</w:t>
      </w:r>
    </w:p>
    <w:p>
      <w:pPr>
        <w:pStyle w:val="Subsection"/>
        <w:spacing w:before="180"/>
      </w:pPr>
      <w:r>
        <w:tab/>
        <w:t>(3)</w:t>
      </w:r>
      <w:r>
        <w:tab/>
        <w:t xml:space="preserve">If a person charged before a court of summary jurisdiction with an offence that may be dealt with summarily under subsection (1) is, under section 5 of </w:t>
      </w:r>
      <w:r>
        <w:rPr>
          <w:i/>
        </w:rPr>
        <w:t>The Criminal Code</w:t>
      </w:r>
      <w:r>
        <w:t xml:space="preserve">, committed for trial or sentence in respect of the offence, the court to which the accused is committed may deal with the charge despite — </w:t>
      </w:r>
    </w:p>
    <w:p>
      <w:pPr>
        <w:pStyle w:val="Indenta"/>
        <w:spacing w:before="100"/>
      </w:pPr>
      <w:r>
        <w:tab/>
        <w:t>(a)</w:t>
      </w:r>
      <w:r>
        <w:tab/>
        <w:t>the quantity of the prohibited drug to which the charge relates being less than the quantity specified in Schedule III in relation to that prohibited drug; or</w:t>
      </w:r>
    </w:p>
    <w:p>
      <w:pPr>
        <w:pStyle w:val="Indenta"/>
        <w:keepLines/>
        <w:spacing w:before="100"/>
      </w:pPr>
      <w:r>
        <w:tab/>
        <w:t>(b)</w:t>
      </w:r>
      <w:r>
        <w:tab/>
        <w:t>the number of prohibited plants of a particular species or genus to which the charge relates being less than the number specified in Schedule IV in relation to that species or genus.</w:t>
      </w:r>
    </w:p>
    <w:p>
      <w:pPr>
        <w:pStyle w:val="Footnotesection"/>
        <w:ind w:left="890" w:hanging="890"/>
      </w:pPr>
      <w:r>
        <w:tab/>
        <w:t>[Section 9 inserted by No. 4 of 2004 s. 58; amended by No. 84 of 2004 s. 82.]</w:t>
      </w:r>
    </w:p>
    <w:p>
      <w:pPr>
        <w:pStyle w:val="Heading5"/>
      </w:pPr>
      <w:bookmarkStart w:id="196" w:name="_Toc109615240"/>
      <w:bookmarkStart w:id="197" w:name="_Toc215543726"/>
      <w:bookmarkStart w:id="198" w:name="_Toc290558517"/>
      <w:r>
        <w:rPr>
          <w:rStyle w:val="CharSectno"/>
        </w:rPr>
        <w:t>10</w:t>
      </w:r>
      <w:r>
        <w:t>.</w:t>
      </w:r>
      <w:r>
        <w:tab/>
        <w:t>Alternative verdicts</w:t>
      </w:r>
      <w:bookmarkEnd w:id="193"/>
      <w:bookmarkEnd w:id="194"/>
      <w:bookmarkEnd w:id="195"/>
      <w:bookmarkEnd w:id="196"/>
      <w:bookmarkEnd w:id="197"/>
      <w:bookmarkEnd w:id="198"/>
    </w:p>
    <w:p>
      <w:pPr>
        <w:pStyle w:val="Subsection"/>
        <w:rPr>
          <w:snapToGrid w:val="0"/>
        </w:rPr>
      </w:pPr>
      <w:r>
        <w:rPr>
          <w:snapToGrid w:val="0"/>
        </w:rPr>
        <w:tab/>
      </w:r>
      <w:r>
        <w:rPr>
          <w:snapToGrid w:val="0"/>
        </w:rPr>
        <w:tab/>
        <w:t>A court trying a person charged with having committed a crime under — </w:t>
      </w:r>
    </w:p>
    <w:p>
      <w:pPr>
        <w:pStyle w:val="Indenta"/>
        <w:rPr>
          <w:snapToGrid w:val="0"/>
        </w:rPr>
      </w:pPr>
      <w:r>
        <w:rPr>
          <w:snapToGrid w:val="0"/>
        </w:rPr>
        <w:tab/>
        <w:t>(a)</w:t>
      </w:r>
      <w:r>
        <w:rPr>
          <w:snapToGrid w:val="0"/>
        </w:rPr>
        <w:tab/>
        <w:t>section 6(1) may, if the evidence does not establish that that person is guilty of that crime but does establish that he is guilty of a simple offence under section 6(2); or</w:t>
      </w:r>
    </w:p>
    <w:p>
      <w:pPr>
        <w:pStyle w:val="Indenta"/>
        <w:rPr>
          <w:snapToGrid w:val="0"/>
        </w:rPr>
      </w:pPr>
      <w:r>
        <w:rPr>
          <w:snapToGrid w:val="0"/>
        </w:rPr>
        <w:tab/>
        <w:t>(b)</w:t>
      </w:r>
      <w:r>
        <w:rPr>
          <w:snapToGrid w:val="0"/>
        </w:rPr>
        <w:tab/>
        <w:t>section 7(1) may, if the evidence does not establish that that person is guilty of that crime but does establish that he is guilty of a simple offence under section 7(2),</w:t>
      </w:r>
    </w:p>
    <w:p>
      <w:pPr>
        <w:pStyle w:val="Subsection"/>
        <w:rPr>
          <w:snapToGrid w:val="0"/>
        </w:rPr>
      </w:pPr>
      <w:r>
        <w:rPr>
          <w:snapToGrid w:val="0"/>
        </w:rPr>
        <w:tab/>
      </w:r>
      <w:r>
        <w:rPr>
          <w:snapToGrid w:val="0"/>
        </w:rPr>
        <w:tab/>
        <w:t>convict him of having committed that simple offence and, whether that court is a summary court, the District Court or the Supreme Court, impose on him the penalty referred to in section 34(1)(e).</w:t>
      </w:r>
    </w:p>
    <w:p>
      <w:pPr>
        <w:pStyle w:val="Footnotesection"/>
      </w:pPr>
      <w:r>
        <w:tab/>
        <w:t>[Section 10 amended by No. 4 of 2004 s. 58.]</w:t>
      </w:r>
    </w:p>
    <w:p>
      <w:pPr>
        <w:pStyle w:val="Heading5"/>
        <w:rPr>
          <w:snapToGrid w:val="0"/>
        </w:rPr>
      </w:pPr>
      <w:bookmarkStart w:id="199" w:name="_Toc503149545"/>
      <w:bookmarkStart w:id="200" w:name="_Toc534613840"/>
      <w:bookmarkStart w:id="201" w:name="_Toc535053879"/>
      <w:bookmarkStart w:id="202" w:name="_Toc109615241"/>
      <w:bookmarkStart w:id="203" w:name="_Toc215543727"/>
      <w:bookmarkStart w:id="204" w:name="_Toc290558518"/>
      <w:r>
        <w:rPr>
          <w:rStyle w:val="CharSectno"/>
        </w:rPr>
        <w:t>11</w:t>
      </w:r>
      <w:r>
        <w:rPr>
          <w:snapToGrid w:val="0"/>
        </w:rPr>
        <w:t>.</w:t>
      </w:r>
      <w:r>
        <w:rPr>
          <w:snapToGrid w:val="0"/>
        </w:rPr>
        <w:tab/>
        <w:t>Presumption of intent to sell or supply</w:t>
      </w:r>
      <w:bookmarkEnd w:id="199"/>
      <w:bookmarkEnd w:id="200"/>
      <w:bookmarkEnd w:id="201"/>
      <w:bookmarkEnd w:id="202"/>
      <w:bookmarkEnd w:id="203"/>
      <w:bookmarkEnd w:id="204"/>
    </w:p>
    <w:p>
      <w:pPr>
        <w:pStyle w:val="Subsection"/>
        <w:keepNext/>
        <w:rPr>
          <w:snapToGrid w:val="0"/>
        </w:rPr>
      </w:pPr>
      <w:r>
        <w:rPr>
          <w:snapToGrid w:val="0"/>
        </w:rPr>
        <w:tab/>
      </w:r>
      <w:r>
        <w:rPr>
          <w:snapToGrid w:val="0"/>
        </w:rPr>
        <w:tab/>
        <w:t>For the purposes of — </w:t>
      </w:r>
    </w:p>
    <w:p>
      <w:pPr>
        <w:pStyle w:val="Indenta"/>
        <w:rPr>
          <w:snapToGrid w:val="0"/>
        </w:rPr>
      </w:pPr>
      <w:r>
        <w:rPr>
          <w:snapToGrid w:val="0"/>
        </w:rPr>
        <w:tab/>
        <w:t>(a)</w:t>
      </w:r>
      <w:r>
        <w:rPr>
          <w:snapToGrid w:val="0"/>
        </w:rPr>
        <w:tab/>
        <w:t>section 6(1)(a), a person shall, unless the contrary is proved, be deemed to have in his possession a prohibited drug with intent to sell or supply it to another if he has in his possession a quantity of the prohibited drug which is not less than the quantity specified in Schedule V in relation to the prohibited drug; or</w:t>
      </w:r>
    </w:p>
    <w:p>
      <w:pPr>
        <w:pStyle w:val="Indenta"/>
        <w:rPr>
          <w:snapToGrid w:val="0"/>
        </w:rPr>
      </w:pPr>
      <w:r>
        <w:rPr>
          <w:snapToGrid w:val="0"/>
        </w:rPr>
        <w:tab/>
        <w:t>(b)</w:t>
      </w:r>
      <w:r>
        <w:rPr>
          <w:snapToGrid w:val="0"/>
        </w:rPr>
        <w:tab/>
        <w:t>section 7(1)(a), a person shall, unless the contrary is proved, be deemed to have in his possession, or to cultivate, prohibited plants of a particular species or genus with intent to sell or supply those prohibited plants or any prohibited drug obtainable therefrom to another if he has in his possession, or cultivates, a number of those prohibited plants which is not less than the number specified in Schedule VI in relation to that species or genus.</w:t>
      </w:r>
    </w:p>
    <w:p>
      <w:pPr>
        <w:pStyle w:val="Heading2"/>
      </w:pPr>
      <w:bookmarkStart w:id="205" w:name="_Toc92603597"/>
      <w:bookmarkStart w:id="206" w:name="_Toc92797781"/>
      <w:bookmarkStart w:id="207" w:name="_Toc97018083"/>
      <w:bookmarkStart w:id="208" w:name="_Toc102387638"/>
      <w:bookmarkStart w:id="209" w:name="_Toc102905269"/>
      <w:bookmarkStart w:id="210" w:name="_Toc105219512"/>
      <w:bookmarkStart w:id="211" w:name="_Toc105220416"/>
      <w:bookmarkStart w:id="212" w:name="_Toc105220484"/>
      <w:bookmarkStart w:id="213" w:name="_Toc105909928"/>
      <w:bookmarkStart w:id="214" w:name="_Toc105910843"/>
      <w:bookmarkStart w:id="215" w:name="_Toc106600687"/>
      <w:bookmarkStart w:id="216" w:name="_Toc106600985"/>
      <w:bookmarkStart w:id="217" w:name="_Toc109615242"/>
      <w:bookmarkStart w:id="218" w:name="_Toc139344536"/>
      <w:bookmarkStart w:id="219" w:name="_Toc139699300"/>
      <w:bookmarkStart w:id="220" w:name="_Toc147051333"/>
      <w:bookmarkStart w:id="221" w:name="_Toc147118788"/>
      <w:bookmarkStart w:id="222" w:name="_Toc148236109"/>
      <w:bookmarkStart w:id="223" w:name="_Toc158704983"/>
      <w:bookmarkStart w:id="224" w:name="_Toc165369943"/>
      <w:bookmarkStart w:id="225" w:name="_Toc177873285"/>
      <w:bookmarkStart w:id="226" w:name="_Toc177873410"/>
      <w:bookmarkStart w:id="227" w:name="_Toc184707367"/>
      <w:bookmarkStart w:id="228" w:name="_Toc189464698"/>
      <w:bookmarkStart w:id="229" w:name="_Toc190249262"/>
      <w:bookmarkStart w:id="230" w:name="_Toc191703156"/>
      <w:bookmarkStart w:id="231" w:name="_Toc193692073"/>
      <w:bookmarkStart w:id="232" w:name="_Toc199817255"/>
      <w:bookmarkStart w:id="233" w:name="_Toc215543728"/>
      <w:bookmarkStart w:id="234" w:name="_Toc215543988"/>
      <w:bookmarkStart w:id="235" w:name="_Toc248029025"/>
      <w:bookmarkStart w:id="236" w:name="_Toc256085074"/>
      <w:bookmarkStart w:id="237" w:name="_Toc256092139"/>
      <w:bookmarkStart w:id="238" w:name="_Toc268600325"/>
      <w:bookmarkStart w:id="239" w:name="_Toc272237454"/>
      <w:bookmarkStart w:id="240" w:name="_Toc275253533"/>
      <w:bookmarkStart w:id="241" w:name="_Toc283287457"/>
      <w:bookmarkStart w:id="242" w:name="_Toc290558443"/>
      <w:bookmarkStart w:id="243" w:name="_Toc290558519"/>
      <w:r>
        <w:rPr>
          <w:rStyle w:val="CharPartNo"/>
        </w:rPr>
        <w:t>Part IV</w:t>
      </w:r>
      <w:r>
        <w:rPr>
          <w:b w:val="0"/>
        </w:rPr>
        <w:t> </w:t>
      </w:r>
      <w:r>
        <w:t>—</w:t>
      </w:r>
      <w:r>
        <w:rPr>
          <w:b w:val="0"/>
        </w:rPr>
        <w:t> </w:t>
      </w:r>
      <w:r>
        <w:rPr>
          <w:rStyle w:val="CharPartText"/>
        </w:rPr>
        <w:t>Controls relating to possession, sale, supply and storage of certain substances and things</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p>
    <w:p>
      <w:pPr>
        <w:pStyle w:val="Footnoteheading"/>
      </w:pPr>
      <w:r>
        <w:tab/>
        <w:t>[Heading inserted by No. 62 of 2004 s. 5.]</w:t>
      </w:r>
    </w:p>
    <w:p>
      <w:pPr>
        <w:pStyle w:val="Heading5"/>
      </w:pPr>
      <w:bookmarkStart w:id="244" w:name="_Toc109615243"/>
      <w:bookmarkStart w:id="245" w:name="_Toc215543729"/>
      <w:bookmarkStart w:id="246" w:name="_Toc290558520"/>
      <w:r>
        <w:rPr>
          <w:rStyle w:val="CharSectno"/>
        </w:rPr>
        <w:t>12</w:t>
      </w:r>
      <w:r>
        <w:t>.</w:t>
      </w:r>
      <w:r>
        <w:tab/>
      </w:r>
      <w:bookmarkEnd w:id="244"/>
      <w:r>
        <w:t>Terms used in this Part</w:t>
      </w:r>
      <w:bookmarkEnd w:id="245"/>
      <w:bookmarkEnd w:id="246"/>
    </w:p>
    <w:p>
      <w:pPr>
        <w:pStyle w:val="Subsection"/>
      </w:pPr>
      <w:r>
        <w:tab/>
      </w:r>
      <w:r>
        <w:tab/>
        <w:t xml:space="preserve">In this Part, unless the contrary intention appears — </w:t>
      </w:r>
    </w:p>
    <w:p>
      <w:pPr>
        <w:pStyle w:val="Defstart"/>
      </w:pPr>
      <w:r>
        <w:rPr>
          <w:b/>
        </w:rPr>
        <w:tab/>
      </w:r>
      <w:r>
        <w:rPr>
          <w:rStyle w:val="CharDefText"/>
        </w:rPr>
        <w:t>category 1 item</w:t>
      </w:r>
      <w:r>
        <w:t xml:space="preserve"> means a substance or thing designated as a category 1 item by regulations referred to in section 20;</w:t>
      </w:r>
    </w:p>
    <w:p>
      <w:pPr>
        <w:pStyle w:val="Defstart"/>
      </w:pPr>
      <w:r>
        <w:rPr>
          <w:b/>
        </w:rPr>
        <w:tab/>
      </w:r>
      <w:r>
        <w:rPr>
          <w:rStyle w:val="CharDefText"/>
        </w:rPr>
        <w:t>category 2 item</w:t>
      </w:r>
      <w:r>
        <w:t xml:space="preserve"> means a substance or thing designated as a category 2 item by regulations referred to in section 20;</w:t>
      </w:r>
    </w:p>
    <w:p>
      <w:pPr>
        <w:pStyle w:val="Defstart"/>
      </w:pPr>
      <w:r>
        <w:rPr>
          <w:b/>
        </w:rPr>
        <w:tab/>
      </w:r>
      <w:r>
        <w:rPr>
          <w:rStyle w:val="CharDefText"/>
        </w:rPr>
        <w:t>recipient</w:t>
      </w:r>
      <w:r>
        <w:t xml:space="preserve"> means a person to whom a category 1 item or category 2 item, as the case requires, is sold or supplied;</w:t>
      </w:r>
    </w:p>
    <w:p>
      <w:pPr>
        <w:pStyle w:val="Defstart"/>
      </w:pPr>
      <w:r>
        <w:rPr>
          <w:b/>
        </w:rPr>
        <w:tab/>
      </w:r>
      <w:r>
        <w:rPr>
          <w:rStyle w:val="CharDefText"/>
        </w:rPr>
        <w:t>substance</w:t>
      </w:r>
      <w:r>
        <w:t xml:space="preserve"> includes material, compound, preparation and admixture;</w:t>
      </w:r>
    </w:p>
    <w:p>
      <w:pPr>
        <w:pStyle w:val="Defstart"/>
      </w:pPr>
      <w:r>
        <w:rPr>
          <w:b/>
        </w:rPr>
        <w:tab/>
      </w:r>
      <w:r>
        <w:rPr>
          <w:rStyle w:val="CharDefText"/>
        </w:rPr>
        <w:t>supplier</w:t>
      </w:r>
      <w:r>
        <w:t xml:space="preserve"> means a person who sells or supplies a category 1 item or category 2 item, as the case requires.</w:t>
      </w:r>
    </w:p>
    <w:p>
      <w:pPr>
        <w:pStyle w:val="Footnotesection"/>
      </w:pPr>
      <w:r>
        <w:tab/>
        <w:t>[Section 12 inserted by No. 62 of 2004 s. 5.]</w:t>
      </w:r>
    </w:p>
    <w:p>
      <w:pPr>
        <w:pStyle w:val="Heading5"/>
      </w:pPr>
      <w:bookmarkStart w:id="247" w:name="_Toc109615244"/>
      <w:bookmarkStart w:id="248" w:name="_Toc215543730"/>
      <w:bookmarkStart w:id="249" w:name="_Toc290558521"/>
      <w:r>
        <w:rPr>
          <w:rStyle w:val="CharSectno"/>
        </w:rPr>
        <w:t>13</w:t>
      </w:r>
      <w:r>
        <w:t>.</w:t>
      </w:r>
      <w:r>
        <w:tab/>
        <w:t>Part not applicable to possession, sale or supply of certain substances or things</w:t>
      </w:r>
      <w:bookmarkEnd w:id="247"/>
      <w:bookmarkEnd w:id="248"/>
      <w:bookmarkEnd w:id="249"/>
    </w:p>
    <w:p>
      <w:pPr>
        <w:pStyle w:val="Subsection"/>
      </w:pPr>
      <w:r>
        <w:tab/>
        <w:t>(1)</w:t>
      </w:r>
      <w:r>
        <w:tab/>
        <w:t xml:space="preserve">This Part does not apply to or in relation to the possession, sale or supply of a category 1 item or category 2 item if — </w:t>
      </w:r>
    </w:p>
    <w:p>
      <w:pPr>
        <w:pStyle w:val="Indenta"/>
      </w:pPr>
      <w:r>
        <w:tab/>
        <w:t>(a)</w:t>
      </w:r>
      <w:r>
        <w:tab/>
        <w:t>the item is, or is contained in, a substance that is designed, packaged and labelled for human or animal therapeutic use; and</w:t>
      </w:r>
    </w:p>
    <w:p>
      <w:pPr>
        <w:pStyle w:val="Indenta"/>
      </w:pPr>
      <w:r>
        <w:tab/>
        <w:t>(b)</w:t>
      </w:r>
      <w:r>
        <w:tab/>
        <w:t>the item is in the possession of, or the sale or supply is to or by, a person belonging to a class prescribed for the purposes of this subsection acting in the ordinary course of the person’s occupation.</w:t>
      </w:r>
    </w:p>
    <w:p>
      <w:pPr>
        <w:pStyle w:val="Subsection"/>
      </w:pPr>
      <w:r>
        <w:tab/>
        <w:t>(2)</w:t>
      </w:r>
      <w:r>
        <w:tab/>
        <w:t>This Part does not apply to or in relation to the possession or supply of a category 1 item or category 2 item if the item is in the possession of, or the supply is by, a person employed or engaged by an education institution or a research institution acting in the ordinary course of the person’s occupation and the possession or supply is solely for educational or research purposes.</w:t>
      </w:r>
    </w:p>
    <w:p>
      <w:pPr>
        <w:pStyle w:val="Footnotesection"/>
      </w:pPr>
      <w:r>
        <w:tab/>
        <w:t>[Section 13 inserted by No. 62 of 2004 s. 5.]</w:t>
      </w:r>
    </w:p>
    <w:p>
      <w:pPr>
        <w:pStyle w:val="Heading5"/>
      </w:pPr>
      <w:bookmarkStart w:id="250" w:name="_Toc109615245"/>
      <w:bookmarkStart w:id="251" w:name="_Toc215543731"/>
      <w:bookmarkStart w:id="252" w:name="_Toc290558522"/>
      <w:r>
        <w:rPr>
          <w:rStyle w:val="CharSectno"/>
        </w:rPr>
        <w:t>14</w:t>
      </w:r>
      <w:r>
        <w:t>.</w:t>
      </w:r>
      <w:r>
        <w:tab/>
        <w:t>Possession of certain substances or things</w:t>
      </w:r>
      <w:bookmarkEnd w:id="250"/>
      <w:bookmarkEnd w:id="251"/>
      <w:bookmarkEnd w:id="252"/>
    </w:p>
    <w:p>
      <w:pPr>
        <w:pStyle w:val="Subsection"/>
      </w:pPr>
      <w:r>
        <w:tab/>
        <w:t>(1)</w:t>
      </w:r>
      <w:r>
        <w:tab/>
        <w:t>A person who, without lawful excuse, has in the person’s possession a substance that contains, or substances that together contain, a quantity of a category 1 item or a category 2 item that exceeds the quantity prescribed in relation to the item concerned commits a crime.</w:t>
      </w:r>
    </w:p>
    <w:p>
      <w:pPr>
        <w:pStyle w:val="Penstart"/>
      </w:pPr>
      <w:r>
        <w:tab/>
        <w:t>Penalty: $20 000 or imprisonment for 5 years or both.</w:t>
      </w:r>
    </w:p>
    <w:p>
      <w:pPr>
        <w:pStyle w:val="Penstart"/>
      </w:pPr>
      <w:r>
        <w:tab/>
        <w:t>Summary conviction penalty: $12 000 or imprisonment for 3 years or both.</w:t>
      </w:r>
    </w:p>
    <w:p>
      <w:pPr>
        <w:pStyle w:val="Subsection"/>
      </w:pPr>
      <w:r>
        <w:tab/>
        <w:t>(2)</w:t>
      </w:r>
      <w:r>
        <w:tab/>
        <w:t>A person who, without lawful excuse, has in the person’s possession a category 1 item or a category 2 item commits a simple offence.</w:t>
      </w:r>
    </w:p>
    <w:p>
      <w:pPr>
        <w:pStyle w:val="Penstart"/>
      </w:pPr>
      <w:r>
        <w:tab/>
        <w:t>Penalty: $12 000 or imprisonment for 3 years or both.</w:t>
      </w:r>
    </w:p>
    <w:p>
      <w:pPr>
        <w:pStyle w:val="Subsection"/>
      </w:pPr>
      <w:r>
        <w:tab/>
        <w:t>(3)</w:t>
      </w:r>
      <w:r>
        <w:tab/>
        <w:t xml:space="preserve">A person does not commit an offence under subsection (1) or (2) if the person is authorised by or under this Act or by or under the </w:t>
      </w:r>
      <w:r>
        <w:rPr>
          <w:i/>
        </w:rPr>
        <w:t>Poisons Act 1964</w:t>
      </w:r>
      <w:r>
        <w:t xml:space="preserve"> to possess the item or substance concerned and does so in accordance with that authority.</w:t>
      </w:r>
    </w:p>
    <w:p>
      <w:pPr>
        <w:pStyle w:val="Subsection"/>
      </w:pPr>
      <w:r>
        <w:tab/>
        <w:t>(4)</w:t>
      </w:r>
      <w:r>
        <w:tab/>
        <w:t>A person does not commit an offence under subsection (1) or (2) by reason only of the person having in the person’s possession a category 1 item, a category 2 item or a particular substance if the person proves that the person had possession of the item or substance only for the purpose of —</w:t>
      </w:r>
    </w:p>
    <w:p>
      <w:pPr>
        <w:pStyle w:val="Indenta"/>
      </w:pPr>
      <w:r>
        <w:tab/>
        <w:t>(a)</w:t>
      </w:r>
      <w:r>
        <w:tab/>
        <w:t xml:space="preserve">delivering it to a person authorised (the </w:t>
      </w:r>
      <w:r>
        <w:rPr>
          <w:rStyle w:val="CharDefText"/>
        </w:rPr>
        <w:t>authorised person</w:t>
      </w:r>
      <w:r>
        <w:t>) —</w:t>
      </w:r>
    </w:p>
    <w:p>
      <w:pPr>
        <w:pStyle w:val="Indenti"/>
      </w:pPr>
      <w:r>
        <w:tab/>
        <w:t>(i)</w:t>
      </w:r>
      <w:r>
        <w:tab/>
        <w:t xml:space="preserve">to have possession of the item or substance by or under this Act, by or under the </w:t>
      </w:r>
      <w:r>
        <w:rPr>
          <w:i/>
        </w:rPr>
        <w:t>Poisons Act 1964</w:t>
      </w:r>
      <w:r>
        <w:t xml:space="preserve"> or on and in accordance with an authorised prescription; or</w:t>
      </w:r>
    </w:p>
    <w:p>
      <w:pPr>
        <w:pStyle w:val="Indenti"/>
      </w:pPr>
      <w:r>
        <w:tab/>
        <w:t>(ii)</w:t>
      </w:r>
      <w:r>
        <w:tab/>
        <w:t xml:space="preserve">by or under this Act or by or under the </w:t>
      </w:r>
      <w:r>
        <w:rPr>
          <w:i/>
        </w:rPr>
        <w:t>Poisons Act 1964</w:t>
      </w:r>
      <w:r>
        <w:t xml:space="preserve"> to manufacture, prepare, sell or supply the item or substance,</w:t>
      </w:r>
    </w:p>
    <w:p>
      <w:pPr>
        <w:pStyle w:val="Indenta"/>
      </w:pPr>
      <w:r>
        <w:tab/>
      </w:r>
      <w:r>
        <w:tab/>
        <w:t>and had possession of the item or substance (except in the case of intended delivery to a person authorised to have possession of the item or substance on and in accordance with an authorised prescription) in accordance with the authority in writing of the authorised person, and that, after taking possession of the item or substance, the person took all such steps as were reasonably open to the person to deliver the item or substance into the possession of the authorised person; or</w:t>
      </w:r>
    </w:p>
    <w:p>
      <w:pPr>
        <w:pStyle w:val="Indenta"/>
      </w:pPr>
      <w:r>
        <w:tab/>
        <w:t>(b)</w:t>
      </w:r>
      <w:r>
        <w:tab/>
        <w:t>analysing, examining or otherwise dealing with it for the purposes of this Act in the person’s capacity as an analyst, botanist or other expert.</w:t>
      </w:r>
    </w:p>
    <w:p>
      <w:pPr>
        <w:pStyle w:val="Footnotesection"/>
      </w:pPr>
      <w:r>
        <w:tab/>
        <w:t>[Section 14 inserted by No. 62 of 2004 s. 5.]</w:t>
      </w:r>
    </w:p>
    <w:p>
      <w:pPr>
        <w:pStyle w:val="Heading5"/>
      </w:pPr>
      <w:bookmarkStart w:id="253" w:name="_Toc109615246"/>
      <w:bookmarkStart w:id="254" w:name="_Toc215543732"/>
      <w:bookmarkStart w:id="255" w:name="_Toc290558523"/>
      <w:r>
        <w:rPr>
          <w:rStyle w:val="CharSectno"/>
        </w:rPr>
        <w:t>15</w:t>
      </w:r>
      <w:r>
        <w:t>.</w:t>
      </w:r>
      <w:r>
        <w:tab/>
      </w:r>
      <w:smartTag w:uri="urn:schemas-microsoft-com:office:smarttags" w:element="City">
        <w:smartTag w:uri="urn:schemas-microsoft-com:office:smarttags" w:element="place">
          <w:r>
            <w:t>Sale</w:t>
          </w:r>
        </w:smartTag>
      </w:smartTag>
      <w:r>
        <w:t xml:space="preserve"> or supply of category 1 items</w:t>
      </w:r>
      <w:bookmarkEnd w:id="253"/>
      <w:bookmarkEnd w:id="254"/>
      <w:bookmarkEnd w:id="255"/>
    </w:p>
    <w:p>
      <w:pPr>
        <w:pStyle w:val="Subsection"/>
      </w:pPr>
      <w:r>
        <w:tab/>
        <w:t>(1)</w:t>
      </w:r>
      <w:r>
        <w:tab/>
        <w:t xml:space="preserve">A supplier who sells or supplies a category 1 item commits a simple offence unless — </w:t>
      </w:r>
    </w:p>
    <w:p>
      <w:pPr>
        <w:pStyle w:val="Indenta"/>
      </w:pPr>
      <w:r>
        <w:tab/>
        <w:t>(a)</w:t>
      </w:r>
      <w:r>
        <w:tab/>
        <w:t>the recipient holds an account with the supplier;</w:t>
      </w:r>
    </w:p>
    <w:p>
      <w:pPr>
        <w:pStyle w:val="Indenta"/>
      </w:pPr>
      <w:r>
        <w:tab/>
        <w:t>(b)</w:t>
      </w:r>
      <w:r>
        <w:tab/>
        <w:t>the sale or supply is a sale or supply on account that occurs after a written order for the item is given to the supplier by or on behalf of the recipient;</w:t>
      </w:r>
    </w:p>
    <w:p>
      <w:pPr>
        <w:pStyle w:val="Indenta"/>
      </w:pPr>
      <w:r>
        <w:tab/>
        <w:t>(c)</w:t>
      </w:r>
      <w:r>
        <w:tab/>
        <w:t>the order is accompanied by a declaration in the prescribed form made by or on behalf of the recipient; and</w:t>
      </w:r>
    </w:p>
    <w:p>
      <w:pPr>
        <w:pStyle w:val="Indenta"/>
      </w:pPr>
      <w:r>
        <w:tab/>
        <w:t>(d)</w:t>
      </w:r>
      <w:r>
        <w:tab/>
        <w:t>the person who takes possession of the item produces to the supplier such evidence of the person’s identity as is required by the regulations.</w:t>
      </w:r>
    </w:p>
    <w:p>
      <w:pPr>
        <w:pStyle w:val="Subsection"/>
      </w:pPr>
      <w:r>
        <w:tab/>
        <w:t>(2)</w:t>
      </w:r>
      <w:r>
        <w:tab/>
        <w:t>A supplier who sells or supplies a category 1 item commits a simple offence if the supplier gives possession of the item to the recipient, or to a person on behalf of the recipient, within 24 hours after the written order for the item was given to the supplier.</w:t>
      </w:r>
    </w:p>
    <w:p>
      <w:pPr>
        <w:pStyle w:val="Subsection"/>
      </w:pPr>
      <w:r>
        <w:tab/>
        <w:t>(3)</w:t>
      </w:r>
      <w:r>
        <w:tab/>
        <w:t>A supplier who sells or supplies a category 1 item commits a simple offence if the supplier fails to give a copy of the declaration under subsection (1)(c) in respect of the sale or supply to the Commissioner in the prescribed manner within 24 hours after the written order for the item was given to the supplier.</w:t>
      </w:r>
    </w:p>
    <w:p>
      <w:pPr>
        <w:pStyle w:val="Footnotesection"/>
      </w:pPr>
      <w:r>
        <w:tab/>
        <w:t>[Section 15 inserted by No. 62 of 2004 s. 5.]</w:t>
      </w:r>
    </w:p>
    <w:p>
      <w:pPr>
        <w:pStyle w:val="Heading5"/>
      </w:pPr>
      <w:bookmarkStart w:id="256" w:name="_Toc109615247"/>
      <w:bookmarkStart w:id="257" w:name="_Toc215543733"/>
      <w:bookmarkStart w:id="258" w:name="_Toc290558524"/>
      <w:r>
        <w:rPr>
          <w:rStyle w:val="CharSectno"/>
        </w:rPr>
        <w:t>16</w:t>
      </w:r>
      <w:r>
        <w:t>.</w:t>
      </w:r>
      <w:r>
        <w:tab/>
        <w:t>Storage of category 1 items</w:t>
      </w:r>
      <w:bookmarkEnd w:id="256"/>
      <w:bookmarkEnd w:id="257"/>
      <w:bookmarkEnd w:id="258"/>
    </w:p>
    <w:p>
      <w:pPr>
        <w:pStyle w:val="Subsection"/>
      </w:pPr>
      <w:r>
        <w:tab/>
        <w:t>(1)</w:t>
      </w:r>
      <w:r>
        <w:tab/>
        <w:t>A supplier who sells or supplies category 1 items commits a simple offence if the supplier fails to store those items in a manner that prevents access to them by any person other than a person who is authorised in writing by the supplier to have such access.</w:t>
      </w:r>
    </w:p>
    <w:p>
      <w:pPr>
        <w:pStyle w:val="Subsection"/>
      </w:pPr>
      <w:r>
        <w:tab/>
        <w:t>(2)</w:t>
      </w:r>
      <w:r>
        <w:tab/>
        <w:t>A person who sells or supplies, or has sold or supplied, category 1 items commits a simple offence if the person fails to retain a copy of each authorisation given for the purposes of subsection (1) while it has effect and for at least 5 years after it ceases to have effect.</w:t>
      </w:r>
    </w:p>
    <w:p>
      <w:pPr>
        <w:pStyle w:val="Footnotesection"/>
      </w:pPr>
      <w:r>
        <w:tab/>
        <w:t>[Section 16 inserted by No. 62 of 2004 s. 5.]</w:t>
      </w:r>
    </w:p>
    <w:p>
      <w:pPr>
        <w:pStyle w:val="Heading5"/>
      </w:pPr>
      <w:bookmarkStart w:id="259" w:name="_Toc109615248"/>
      <w:bookmarkStart w:id="260" w:name="_Toc215543734"/>
      <w:bookmarkStart w:id="261" w:name="_Toc290558525"/>
      <w:r>
        <w:rPr>
          <w:rStyle w:val="CharSectno"/>
        </w:rPr>
        <w:t>17</w:t>
      </w:r>
      <w:r>
        <w:t>.</w:t>
      </w:r>
      <w:r>
        <w:tab/>
      </w:r>
      <w:smartTag w:uri="urn:schemas-microsoft-com:office:smarttags" w:element="City">
        <w:smartTag w:uri="urn:schemas-microsoft-com:office:smarttags" w:element="place">
          <w:r>
            <w:t>Sale</w:t>
          </w:r>
        </w:smartTag>
      </w:smartTag>
      <w:r>
        <w:t xml:space="preserve"> or supply of category 2 items</w:t>
      </w:r>
      <w:bookmarkEnd w:id="259"/>
      <w:bookmarkEnd w:id="260"/>
      <w:bookmarkEnd w:id="261"/>
    </w:p>
    <w:p>
      <w:pPr>
        <w:pStyle w:val="Subsection"/>
      </w:pPr>
      <w:r>
        <w:tab/>
        <w:t>(1)</w:t>
      </w:r>
      <w:r>
        <w:tab/>
        <w:t xml:space="preserve">A supplier who sells or supplies a category 2 item commits a simple offence unless — </w:t>
      </w:r>
    </w:p>
    <w:p>
      <w:pPr>
        <w:pStyle w:val="Indenta"/>
      </w:pPr>
      <w:r>
        <w:tab/>
        <w:t>(a)</w:t>
      </w:r>
      <w:r>
        <w:tab/>
        <w:t>the recipient holds an account with the supplier and the sale or supply is of the kind described in section 15(1)(b); or</w:t>
      </w:r>
    </w:p>
    <w:p>
      <w:pPr>
        <w:pStyle w:val="Indenta"/>
        <w:keepNext/>
      </w:pPr>
      <w:r>
        <w:tab/>
        <w:t>(b)</w:t>
      </w:r>
      <w:r>
        <w:tab/>
        <w:t xml:space="preserve">at the time of the sale or supply — </w:t>
      </w:r>
    </w:p>
    <w:p>
      <w:pPr>
        <w:pStyle w:val="Indenti"/>
      </w:pPr>
      <w:r>
        <w:tab/>
        <w:t>(i)</w:t>
      </w:r>
      <w:r>
        <w:tab/>
        <w:t>a declaration in the prescribed form made by or on behalf of the recipient is given to the supplier; and</w:t>
      </w:r>
    </w:p>
    <w:p>
      <w:pPr>
        <w:pStyle w:val="Indenti"/>
      </w:pPr>
      <w:r>
        <w:tab/>
        <w:t>(ii)</w:t>
      </w:r>
      <w:r>
        <w:tab/>
        <w:t>the person who takes possession of the item produces to the supplier such evidence of the person’s identity as is required by the regulations.</w:t>
      </w:r>
    </w:p>
    <w:p>
      <w:pPr>
        <w:pStyle w:val="Subsection"/>
      </w:pPr>
      <w:r>
        <w:tab/>
        <w:t>(2)</w:t>
      </w:r>
      <w:r>
        <w:tab/>
        <w:t xml:space="preserve">A supplier who — </w:t>
      </w:r>
    </w:p>
    <w:p>
      <w:pPr>
        <w:pStyle w:val="Indenta"/>
      </w:pPr>
      <w:r>
        <w:tab/>
        <w:t>(a)</w:t>
      </w:r>
      <w:r>
        <w:tab/>
        <w:t>sells or supplies a category 2 item; and</w:t>
      </w:r>
    </w:p>
    <w:p>
      <w:pPr>
        <w:pStyle w:val="Indenta"/>
      </w:pPr>
      <w:r>
        <w:tab/>
        <w:t>(b)</w:t>
      </w:r>
      <w:r>
        <w:tab/>
        <w:t>is given a declaration referred to in subsection (1)(b) in respect of the sale or supply,</w:t>
      </w:r>
    </w:p>
    <w:p>
      <w:pPr>
        <w:pStyle w:val="Subsection"/>
      </w:pPr>
      <w:r>
        <w:tab/>
      </w:r>
      <w:r>
        <w:tab/>
        <w:t>commits a simple offence if the supplier fails to give a copy of the declaration to the Commissioner in the prescribed manner as soon as practicable after the sale or supply.</w:t>
      </w:r>
    </w:p>
    <w:p>
      <w:pPr>
        <w:pStyle w:val="Footnotesection"/>
      </w:pPr>
      <w:r>
        <w:tab/>
        <w:t>[Section 17 inserted by No. 62 of 2004 s. 5.]</w:t>
      </w:r>
    </w:p>
    <w:p>
      <w:pPr>
        <w:pStyle w:val="Heading5"/>
      </w:pPr>
      <w:bookmarkStart w:id="262" w:name="_Toc109615249"/>
      <w:bookmarkStart w:id="263" w:name="_Toc215543735"/>
      <w:bookmarkStart w:id="264" w:name="_Toc290558526"/>
      <w:r>
        <w:rPr>
          <w:rStyle w:val="CharSectno"/>
        </w:rPr>
        <w:t>18</w:t>
      </w:r>
      <w:r>
        <w:t>.</w:t>
      </w:r>
      <w:r>
        <w:tab/>
        <w:t>Offences relating to declarations under section 15(1)(c) or 17(1)(b)</w:t>
      </w:r>
      <w:bookmarkEnd w:id="262"/>
      <w:bookmarkEnd w:id="263"/>
      <w:bookmarkEnd w:id="264"/>
    </w:p>
    <w:p>
      <w:pPr>
        <w:pStyle w:val="Subsection"/>
      </w:pPr>
      <w:r>
        <w:tab/>
        <w:t>(1)</w:t>
      </w:r>
      <w:r>
        <w:tab/>
        <w:t>A person who sells or supplies, or has sold or supplied, category 1 items or category 2 items commits a simple offence if the person fails to retain each declaration given to the person under section 15(1)(c) or 17(1)(b) for at least 5 years after the day on which the sale or supply to which the declaration relates occurred.</w:t>
      </w:r>
    </w:p>
    <w:p>
      <w:pPr>
        <w:pStyle w:val="Subsection"/>
      </w:pPr>
      <w:r>
        <w:tab/>
        <w:t>(2)</w:t>
      </w:r>
      <w:r>
        <w:tab/>
        <w:t>A person who gives false or misleading information in a declaration under section 15(1)(c) or 17(1)(b) commits a simple offence.</w:t>
      </w:r>
    </w:p>
    <w:p>
      <w:pPr>
        <w:pStyle w:val="Footnotesection"/>
      </w:pPr>
      <w:r>
        <w:tab/>
        <w:t>[Section 18 inserted by No. 62 of 2004 s. 5.]</w:t>
      </w:r>
    </w:p>
    <w:p>
      <w:pPr>
        <w:pStyle w:val="Heading5"/>
      </w:pPr>
      <w:bookmarkStart w:id="265" w:name="_Toc277859398"/>
      <w:bookmarkStart w:id="266" w:name="_Toc278380050"/>
      <w:bookmarkStart w:id="267" w:name="_Toc278380206"/>
      <w:bookmarkStart w:id="268" w:name="_Toc278441194"/>
      <w:bookmarkStart w:id="269" w:name="_Toc290558527"/>
      <w:bookmarkStart w:id="270" w:name="_Toc109615250"/>
      <w:bookmarkStart w:id="271" w:name="_Toc215543736"/>
      <w:r>
        <w:rPr>
          <w:rStyle w:val="CharSectno"/>
        </w:rPr>
        <w:t>19B</w:t>
      </w:r>
      <w:r>
        <w:t>.</w:t>
      </w:r>
      <w:r>
        <w:tab/>
        <w:t>Selling ice pipes</w:t>
      </w:r>
      <w:bookmarkEnd w:id="265"/>
      <w:bookmarkEnd w:id="266"/>
      <w:bookmarkEnd w:id="267"/>
      <w:bookmarkEnd w:id="268"/>
      <w:bookmarkEnd w:id="269"/>
    </w:p>
    <w:p>
      <w:pPr>
        <w:pStyle w:val="Subsection"/>
      </w:pPr>
      <w:r>
        <w:tab/>
        <w:t>(1)</w:t>
      </w:r>
      <w:r>
        <w:tab/>
        <w:t xml:space="preserve">In this section — </w:t>
      </w:r>
    </w:p>
    <w:p>
      <w:pPr>
        <w:pStyle w:val="Defstart"/>
      </w:pPr>
      <w:r>
        <w:tab/>
      </w:r>
      <w:r>
        <w:rPr>
          <w:rStyle w:val="CharDefText"/>
        </w:rPr>
        <w:t>child</w:t>
      </w:r>
      <w:r>
        <w:t xml:space="preserve"> means a person who is under 18 years of age;</w:t>
      </w:r>
    </w:p>
    <w:p>
      <w:pPr>
        <w:pStyle w:val="Defstart"/>
      </w:pPr>
      <w:r>
        <w:tab/>
      </w:r>
      <w:r>
        <w:rPr>
          <w:rStyle w:val="CharDefText"/>
        </w:rPr>
        <w:t>ice pipe</w:t>
      </w:r>
      <w:r>
        <w:t xml:space="preserve"> means — </w:t>
      </w:r>
    </w:p>
    <w:p>
      <w:pPr>
        <w:pStyle w:val="Defpara"/>
      </w:pPr>
      <w:r>
        <w:tab/>
        <w:t>(a)</w:t>
      </w:r>
      <w:r>
        <w:tab/>
        <w:t>a device capable of being used for the administration of a prohibited drug by means of the inhaling of the smoke or fumes resulting from the heating or burning of the drug in a crystal, powder, oil or base form; or</w:t>
      </w:r>
    </w:p>
    <w:p>
      <w:pPr>
        <w:pStyle w:val="Defpara"/>
      </w:pPr>
      <w:r>
        <w:tab/>
        <w:t>(b)</w:t>
      </w:r>
      <w:r>
        <w:tab/>
        <w:t>a device that is apparently intended to be such a device but is not capable of being so used because it needs an adjustment, modification or addition,</w:t>
      </w:r>
    </w:p>
    <w:p>
      <w:pPr>
        <w:pStyle w:val="Defstart"/>
      </w:pPr>
      <w:r>
        <w:tab/>
        <w:t>but does not include a device prescribed, or belonging to a class prescribed, for the purposes of this definition.</w:t>
      </w:r>
    </w:p>
    <w:p>
      <w:pPr>
        <w:pStyle w:val="Subsection"/>
      </w:pPr>
      <w:r>
        <w:tab/>
        <w:t>(2)</w:t>
      </w:r>
      <w:r>
        <w:tab/>
        <w:t>A person who sells, or offers to sell, an ice pipe to a child commits a simple offence.</w:t>
      </w:r>
    </w:p>
    <w:p>
      <w:pPr>
        <w:pStyle w:val="Penstart"/>
      </w:pPr>
      <w:r>
        <w:tab/>
        <w:t>Penalty: a fine of $24 000 or imprisonment for 2 years or both.</w:t>
      </w:r>
    </w:p>
    <w:p>
      <w:pPr>
        <w:pStyle w:val="Subsection"/>
      </w:pPr>
      <w:r>
        <w:tab/>
        <w:t>(3)</w:t>
      </w:r>
      <w:r>
        <w:tab/>
        <w:t xml:space="preserve">A person — </w:t>
      </w:r>
    </w:p>
    <w:p>
      <w:pPr>
        <w:pStyle w:val="Indenta"/>
      </w:pPr>
      <w:r>
        <w:tab/>
        <w:t>(a)</w:t>
      </w:r>
      <w:r>
        <w:tab/>
        <w:t>who sells, or offers to sell, an ice pipe to a person other than a child; or</w:t>
      </w:r>
    </w:p>
    <w:p>
      <w:pPr>
        <w:pStyle w:val="Indenta"/>
      </w:pPr>
      <w:r>
        <w:tab/>
        <w:t>(b)</w:t>
      </w:r>
      <w:r>
        <w:tab/>
        <w:t>who displays an ice pipe, or authorises or allows an ice pipe to be displayed, for sale in a shop or other retail outlet,</w:t>
      </w:r>
    </w:p>
    <w:p>
      <w:pPr>
        <w:pStyle w:val="Subsection"/>
      </w:pPr>
      <w:r>
        <w:tab/>
      </w:r>
      <w:r>
        <w:tab/>
        <w:t>commits a simple offence.</w:t>
      </w:r>
    </w:p>
    <w:p>
      <w:pPr>
        <w:pStyle w:val="Penstart"/>
      </w:pPr>
      <w:r>
        <w:tab/>
        <w:t>Penalty: a fine of $10 000.</w:t>
      </w:r>
    </w:p>
    <w:p>
      <w:pPr>
        <w:pStyle w:val="Footnotesection"/>
      </w:pPr>
      <w:r>
        <w:tab/>
        <w:t xml:space="preserve">[Section 19B inserted by No. 50 of 2010 s. 4.] </w:t>
      </w:r>
    </w:p>
    <w:p>
      <w:pPr>
        <w:pStyle w:val="Heading5"/>
      </w:pPr>
      <w:bookmarkStart w:id="272" w:name="_Toc290558528"/>
      <w:r>
        <w:rPr>
          <w:rStyle w:val="CharSectno"/>
        </w:rPr>
        <w:t>19</w:t>
      </w:r>
      <w:r>
        <w:t>.</w:t>
      </w:r>
      <w:r>
        <w:tab/>
        <w:t>Powers of police officers for purposes of this Part</w:t>
      </w:r>
      <w:bookmarkEnd w:id="270"/>
      <w:bookmarkEnd w:id="271"/>
      <w:bookmarkEnd w:id="272"/>
    </w:p>
    <w:p>
      <w:pPr>
        <w:pStyle w:val="Subsection"/>
        <w:keepNext/>
      </w:pPr>
      <w:r>
        <w:tab/>
        <w:t>(1)</w:t>
      </w:r>
      <w:r>
        <w:tab/>
        <w:t xml:space="preserve">A police officer may, for the purposes of this Part, with such assistance as the police officer considers necessary — </w:t>
      </w:r>
    </w:p>
    <w:p>
      <w:pPr>
        <w:pStyle w:val="Indenta"/>
      </w:pPr>
      <w:r>
        <w:tab/>
        <w:t>(a)</w:t>
      </w:r>
      <w:r>
        <w:tab/>
        <w:t>enter the premises of a person who sells or supplies, or has sold or supplied, category 1 items or category 2 items;</w:t>
      </w:r>
    </w:p>
    <w:p>
      <w:pPr>
        <w:pStyle w:val="Indenta"/>
        <w:keepNext/>
      </w:pPr>
      <w:r>
        <w:tab/>
        <w:t>(b)</w:t>
      </w:r>
      <w:r>
        <w:tab/>
        <w:t xml:space="preserve">demand the production of, and inspect — </w:t>
      </w:r>
    </w:p>
    <w:p>
      <w:pPr>
        <w:pStyle w:val="Indenti"/>
      </w:pPr>
      <w:r>
        <w:tab/>
        <w:t>(i)</w:t>
      </w:r>
      <w:r>
        <w:tab/>
        <w:t>any books, papers or documents relating to the sale or supply of category 1 items or category 2 items, including any declarations under section 15(1)(c) or 17(1)(b); and</w:t>
      </w:r>
    </w:p>
    <w:p>
      <w:pPr>
        <w:pStyle w:val="Indenti"/>
      </w:pPr>
      <w:r>
        <w:tab/>
        <w:t>(ii)</w:t>
      </w:r>
      <w:r>
        <w:tab/>
        <w:t>any authorisations given for the purposes of section 16(1);</w:t>
      </w:r>
    </w:p>
    <w:p>
      <w:pPr>
        <w:pStyle w:val="Indenta"/>
      </w:pPr>
      <w:r>
        <w:tab/>
      </w:r>
      <w:r>
        <w:tab/>
        <w:t>and</w:t>
      </w:r>
    </w:p>
    <w:p>
      <w:pPr>
        <w:pStyle w:val="Indenta"/>
      </w:pPr>
      <w:r>
        <w:tab/>
        <w:t>(c)</w:t>
      </w:r>
      <w:r>
        <w:tab/>
        <w:t>inspect any stocks of category 1 items or category 2 items.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Section 26 applies as if the reference in subsection (1) of that section to the exercise of the powers conferred by section 22 or 23 included a reference to the exercise of the powers in subsection (1).</w:t>
      </w:r>
    </w:p>
    <w:p>
      <w:pPr>
        <w:pStyle w:val="Subsection"/>
      </w:pPr>
      <w:r>
        <w:tab/>
        <w:t>(4)</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or stocks referred to in section 22 included a reference to books, papers, documents, authorisations or stocks referred to in subsection (1).</w:t>
      </w:r>
    </w:p>
    <w:p>
      <w:pPr>
        <w:pStyle w:val="Subsection"/>
        <w:spacing w:before="120"/>
      </w:pPr>
      <w:r>
        <w:tab/>
        <w:t>(5)</w:t>
      </w:r>
      <w:r>
        <w:tab/>
        <w:t>The powers in subsection (1) are in addition to, and not in derogation of, the powers conferred on police officers by Part V.</w:t>
      </w:r>
    </w:p>
    <w:p>
      <w:pPr>
        <w:pStyle w:val="Footnotesection"/>
        <w:spacing w:before="60"/>
        <w:ind w:left="890" w:hanging="890"/>
      </w:pPr>
      <w:r>
        <w:tab/>
        <w:t>[Section 19 inserted by No. 62 of 2004 s. 5.]</w:t>
      </w:r>
    </w:p>
    <w:p>
      <w:pPr>
        <w:pStyle w:val="Heading5"/>
      </w:pPr>
      <w:bookmarkStart w:id="273" w:name="_Toc109615251"/>
      <w:bookmarkStart w:id="274" w:name="_Toc215543737"/>
      <w:bookmarkStart w:id="275" w:name="_Toc290558529"/>
      <w:r>
        <w:rPr>
          <w:rStyle w:val="CharSectno"/>
        </w:rPr>
        <w:t>20</w:t>
      </w:r>
      <w:r>
        <w:t>.</w:t>
      </w:r>
      <w:r>
        <w:tab/>
        <w:t>Regulations as to category 1 items and category 2 items</w:t>
      </w:r>
      <w:bookmarkEnd w:id="273"/>
      <w:bookmarkEnd w:id="274"/>
      <w:bookmarkEnd w:id="275"/>
    </w:p>
    <w:p>
      <w:pPr>
        <w:pStyle w:val="Subsection"/>
      </w:pPr>
      <w:r>
        <w:tab/>
        <w:t>(1)</w:t>
      </w:r>
      <w:r>
        <w:tab/>
        <w:t>The regulations may designate a substance or thing specified, or belonging to a class specified, in the regulations as a category 1 item or a category 2 item.</w:t>
      </w:r>
    </w:p>
    <w:p>
      <w:pPr>
        <w:pStyle w:val="Subsection"/>
      </w:pPr>
      <w:r>
        <w:tab/>
        <w:t>(2)</w:t>
      </w:r>
      <w:r>
        <w:tab/>
        <w:t>The designation of a substance or thing as a category 1 item indicates that there is a significant likelihood of its use in, or in connection with, the manufacture of a prohibited drug.</w:t>
      </w:r>
    </w:p>
    <w:p>
      <w:pPr>
        <w:pStyle w:val="Subsection"/>
      </w:pPr>
      <w:r>
        <w:tab/>
        <w:t>(3)</w:t>
      </w:r>
      <w:r>
        <w:tab/>
        <w:t>The designation of a substance or thing as a category 2 item indicates that there is a reasonable likelihood of its use in, or in connection with, the manufacture of a prohibited drug.</w:t>
      </w:r>
    </w:p>
    <w:p>
      <w:pPr>
        <w:pStyle w:val="Footnotesection"/>
      </w:pPr>
      <w:r>
        <w:tab/>
        <w:t>[Section 20 inserted by No. 62 of 2004 s. 5.]</w:t>
      </w:r>
    </w:p>
    <w:p>
      <w:pPr>
        <w:pStyle w:val="Heading2"/>
      </w:pPr>
      <w:bookmarkStart w:id="276" w:name="_Toc72912344"/>
      <w:bookmarkStart w:id="277" w:name="_Toc89162871"/>
      <w:bookmarkStart w:id="278" w:name="_Toc89571158"/>
      <w:bookmarkStart w:id="279" w:name="_Toc90092326"/>
      <w:bookmarkStart w:id="280" w:name="_Toc92603607"/>
      <w:bookmarkStart w:id="281" w:name="_Toc92797791"/>
      <w:bookmarkStart w:id="282" w:name="_Toc97018093"/>
      <w:bookmarkStart w:id="283" w:name="_Toc102387648"/>
      <w:bookmarkStart w:id="284" w:name="_Toc102905279"/>
      <w:bookmarkStart w:id="285" w:name="_Toc105219522"/>
      <w:bookmarkStart w:id="286" w:name="_Toc105220426"/>
      <w:bookmarkStart w:id="287" w:name="_Toc105220494"/>
      <w:bookmarkStart w:id="288" w:name="_Toc105909938"/>
      <w:bookmarkStart w:id="289" w:name="_Toc105910853"/>
      <w:bookmarkStart w:id="290" w:name="_Toc106600697"/>
      <w:bookmarkStart w:id="291" w:name="_Toc106600995"/>
      <w:bookmarkStart w:id="292" w:name="_Toc109615252"/>
      <w:bookmarkStart w:id="293" w:name="_Toc139344546"/>
      <w:bookmarkStart w:id="294" w:name="_Toc139699310"/>
      <w:bookmarkStart w:id="295" w:name="_Toc147051343"/>
      <w:bookmarkStart w:id="296" w:name="_Toc147118798"/>
      <w:bookmarkStart w:id="297" w:name="_Toc148236119"/>
      <w:bookmarkStart w:id="298" w:name="_Toc158704993"/>
      <w:bookmarkStart w:id="299" w:name="_Toc165369953"/>
      <w:bookmarkStart w:id="300" w:name="_Toc177873295"/>
      <w:bookmarkStart w:id="301" w:name="_Toc177873420"/>
      <w:bookmarkStart w:id="302" w:name="_Toc184707377"/>
      <w:bookmarkStart w:id="303" w:name="_Toc189464708"/>
      <w:bookmarkStart w:id="304" w:name="_Toc190249272"/>
      <w:bookmarkStart w:id="305" w:name="_Toc191703166"/>
      <w:bookmarkStart w:id="306" w:name="_Toc193692083"/>
      <w:bookmarkStart w:id="307" w:name="_Toc199817265"/>
      <w:bookmarkStart w:id="308" w:name="_Toc215543738"/>
      <w:bookmarkStart w:id="309" w:name="_Toc215543998"/>
      <w:bookmarkStart w:id="310" w:name="_Toc248029035"/>
      <w:bookmarkStart w:id="311" w:name="_Toc256085084"/>
      <w:bookmarkStart w:id="312" w:name="_Toc256092149"/>
      <w:bookmarkStart w:id="313" w:name="_Toc268600335"/>
      <w:bookmarkStart w:id="314" w:name="_Toc272237464"/>
      <w:bookmarkStart w:id="315" w:name="_Toc275253543"/>
      <w:bookmarkStart w:id="316" w:name="_Toc283287468"/>
      <w:bookmarkStart w:id="317" w:name="_Toc290558454"/>
      <w:bookmarkStart w:id="318" w:name="_Toc290558530"/>
      <w:r>
        <w:rPr>
          <w:rStyle w:val="CharPartNo"/>
        </w:rPr>
        <w:t>Part V</w:t>
      </w:r>
      <w:r>
        <w:rPr>
          <w:rStyle w:val="CharDivNo"/>
        </w:rPr>
        <w:t> </w:t>
      </w:r>
      <w:r>
        <w:t>—</w:t>
      </w:r>
      <w:r>
        <w:rPr>
          <w:rStyle w:val="CharDivText"/>
        </w:rPr>
        <w:t> </w:t>
      </w:r>
      <w:r>
        <w:rPr>
          <w:rStyle w:val="CharPartText"/>
        </w:rPr>
        <w:t>Location, seizure, detention and disposal of things used in commission of offences</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p>
    <w:p>
      <w:pPr>
        <w:pStyle w:val="Heading5"/>
        <w:rPr>
          <w:snapToGrid w:val="0"/>
        </w:rPr>
      </w:pPr>
      <w:bookmarkStart w:id="319" w:name="_Toc503149546"/>
      <w:bookmarkStart w:id="320" w:name="_Toc534613841"/>
      <w:bookmarkStart w:id="321" w:name="_Toc535053880"/>
      <w:bookmarkStart w:id="322" w:name="_Toc109615253"/>
      <w:bookmarkStart w:id="323" w:name="_Toc215543739"/>
      <w:bookmarkStart w:id="324" w:name="_Toc290558531"/>
      <w:r>
        <w:rPr>
          <w:rStyle w:val="CharSectno"/>
        </w:rPr>
        <w:t>21</w:t>
      </w:r>
      <w:r>
        <w:rPr>
          <w:snapToGrid w:val="0"/>
        </w:rPr>
        <w:t>.</w:t>
      </w:r>
      <w:r>
        <w:rPr>
          <w:snapToGrid w:val="0"/>
        </w:rPr>
        <w:tab/>
      </w:r>
      <w:bookmarkEnd w:id="319"/>
      <w:bookmarkEnd w:id="320"/>
      <w:bookmarkEnd w:id="321"/>
      <w:bookmarkEnd w:id="322"/>
      <w:r>
        <w:rPr>
          <w:snapToGrid w:val="0"/>
        </w:rPr>
        <w:t>Terms used in this Part</w:t>
      </w:r>
      <w:bookmarkEnd w:id="323"/>
      <w:bookmarkEnd w:id="324"/>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 person</w:t>
      </w:r>
      <w:r>
        <w:t xml:space="preserve"> means person who is approved, or belongs to a class of persons which is approved, by the Minister under section 30 for the purposes of this Part, which approval has not been revoked under that section;</w:t>
      </w:r>
    </w:p>
    <w:p>
      <w:pPr>
        <w:pStyle w:val="Defstart"/>
      </w:pPr>
      <w:r>
        <w:rPr>
          <w:b/>
        </w:rPr>
        <w:tab/>
      </w:r>
      <w:r>
        <w:rPr>
          <w:rStyle w:val="CharDefText"/>
        </w:rPr>
        <w:t>holding order</w:t>
      </w:r>
      <w:r>
        <w:t xml:space="preserve"> means holding order granted under section 28(1);</w:t>
      </w:r>
    </w:p>
    <w:p>
      <w:pPr>
        <w:pStyle w:val="Defstart"/>
      </w:pPr>
      <w:r>
        <w:rPr>
          <w:b/>
        </w:rPr>
        <w:tab/>
      </w:r>
      <w:r>
        <w:rPr>
          <w:rStyle w:val="CharDefText"/>
        </w:rPr>
        <w:t>search warrant</w:t>
      </w:r>
      <w:r>
        <w:t xml:space="preserve"> means search warrant granted under section 24;</w:t>
      </w:r>
    </w:p>
    <w:p>
      <w:pPr>
        <w:pStyle w:val="Defstart"/>
      </w:pPr>
      <w:r>
        <w:rPr>
          <w:b/>
        </w:rPr>
        <w:tab/>
      </w:r>
      <w:r>
        <w:rPr>
          <w:rStyle w:val="CharDefText"/>
        </w:rPr>
        <w:t>vehicle</w:t>
      </w:r>
      <w:r>
        <w:t xml:space="preserve"> includes aircraft, hovercraft, vessel and any other means of transportation.</w:t>
      </w:r>
    </w:p>
    <w:p>
      <w:pPr>
        <w:pStyle w:val="Heading5"/>
        <w:rPr>
          <w:snapToGrid w:val="0"/>
        </w:rPr>
      </w:pPr>
      <w:bookmarkStart w:id="325" w:name="_Toc503149547"/>
      <w:bookmarkStart w:id="326" w:name="_Toc534613842"/>
      <w:bookmarkStart w:id="327" w:name="_Toc535053881"/>
      <w:bookmarkStart w:id="328" w:name="_Toc109615254"/>
      <w:bookmarkStart w:id="329" w:name="_Toc215543740"/>
      <w:bookmarkStart w:id="330" w:name="_Toc290558532"/>
      <w:r>
        <w:rPr>
          <w:rStyle w:val="CharSectno"/>
        </w:rPr>
        <w:t>22</w:t>
      </w:r>
      <w:r>
        <w:rPr>
          <w:snapToGrid w:val="0"/>
        </w:rPr>
        <w:t>.</w:t>
      </w:r>
      <w:r>
        <w:rPr>
          <w:snapToGrid w:val="0"/>
        </w:rPr>
        <w:tab/>
        <w:t>Powers of police officers and approved persons in relation to manufacturers, sellers and suppliers of prohibited drugs and cultivators, sellers and suppliers of prohibited plants</w:t>
      </w:r>
      <w:bookmarkEnd w:id="325"/>
      <w:bookmarkEnd w:id="326"/>
      <w:bookmarkEnd w:id="327"/>
      <w:bookmarkEnd w:id="328"/>
      <w:bookmarkEnd w:id="329"/>
      <w:bookmarkEnd w:id="330"/>
    </w:p>
    <w:p>
      <w:pPr>
        <w:pStyle w:val="Subsection"/>
        <w:rPr>
          <w:snapToGrid w:val="0"/>
        </w:rPr>
      </w:pPr>
      <w:r>
        <w:rPr>
          <w:snapToGrid w:val="0"/>
        </w:rPr>
        <w:tab/>
      </w:r>
      <w:r>
        <w:rPr>
          <w:snapToGrid w:val="0"/>
        </w:rPr>
        <w:tab/>
        <w:t>A police officer or approved person may, for the purposes of this Act — </w:t>
      </w:r>
    </w:p>
    <w:p>
      <w:pPr>
        <w:pStyle w:val="Indenta"/>
        <w:rPr>
          <w:snapToGrid w:val="0"/>
        </w:rPr>
      </w:pPr>
      <w:r>
        <w:rPr>
          <w:snapToGrid w:val="0"/>
        </w:rPr>
        <w:tab/>
        <w:t>(a)</w:t>
      </w:r>
      <w:r>
        <w:rPr>
          <w:snapToGrid w:val="0"/>
        </w:rPr>
        <w:tab/>
        <w:t>enter the premises of a person carrying on the business of — </w:t>
      </w:r>
    </w:p>
    <w:p>
      <w:pPr>
        <w:pStyle w:val="Indenti"/>
        <w:rPr>
          <w:snapToGrid w:val="0"/>
        </w:rPr>
      </w:pPr>
      <w:r>
        <w:rPr>
          <w:snapToGrid w:val="0"/>
        </w:rPr>
        <w:tab/>
        <w:t>(i)</w:t>
      </w:r>
      <w:r>
        <w:rPr>
          <w:snapToGrid w:val="0"/>
        </w:rPr>
        <w:tab/>
        <w:t>a manufacturer, seller or supplier of prohibited drugs; or</w:t>
      </w:r>
    </w:p>
    <w:p>
      <w:pPr>
        <w:pStyle w:val="Indenti"/>
        <w:rPr>
          <w:snapToGrid w:val="0"/>
        </w:rPr>
      </w:pPr>
      <w:r>
        <w:rPr>
          <w:snapToGrid w:val="0"/>
        </w:rPr>
        <w:tab/>
        <w:t>(ii)</w:t>
      </w:r>
      <w:r>
        <w:rPr>
          <w:snapToGrid w:val="0"/>
        </w:rPr>
        <w:tab/>
        <w:t>a cultivator, seller, or supplier of prohibited plants;</w:t>
      </w:r>
    </w:p>
    <w:p>
      <w:pPr>
        <w:pStyle w:val="Indenta"/>
        <w:rPr>
          <w:snapToGrid w:val="0"/>
        </w:rPr>
      </w:pPr>
      <w:r>
        <w:rPr>
          <w:snapToGrid w:val="0"/>
        </w:rPr>
        <w:tab/>
        <w:t>(b)</w:t>
      </w:r>
      <w:r>
        <w:rPr>
          <w:snapToGrid w:val="0"/>
        </w:rPr>
        <w:tab/>
        <w:t>demand the production of, and inspect, any books, papers or documents relating to transactions or dealings in a prohibited drug or prohibited plant; and</w:t>
      </w:r>
    </w:p>
    <w:p>
      <w:pPr>
        <w:pStyle w:val="Indenta"/>
        <w:rPr>
          <w:snapToGrid w:val="0"/>
        </w:rPr>
      </w:pPr>
      <w:r>
        <w:rPr>
          <w:snapToGrid w:val="0"/>
        </w:rPr>
        <w:tab/>
        <w:t>(c)</w:t>
      </w:r>
      <w:r>
        <w:rPr>
          <w:snapToGrid w:val="0"/>
        </w:rPr>
        <w:tab/>
        <w:t>inspect any stocks of a prohibited drug or prohibited plant.</w:t>
      </w:r>
    </w:p>
    <w:p>
      <w:pPr>
        <w:pStyle w:val="Heading5"/>
        <w:rPr>
          <w:snapToGrid w:val="0"/>
        </w:rPr>
      </w:pPr>
      <w:bookmarkStart w:id="331" w:name="_Toc503149548"/>
      <w:bookmarkStart w:id="332" w:name="_Toc534613843"/>
      <w:bookmarkStart w:id="333" w:name="_Toc535053882"/>
      <w:bookmarkStart w:id="334" w:name="_Toc109615255"/>
      <w:bookmarkStart w:id="335" w:name="_Toc215543741"/>
      <w:bookmarkStart w:id="336" w:name="_Toc290558533"/>
      <w:r>
        <w:rPr>
          <w:rStyle w:val="CharSectno"/>
        </w:rPr>
        <w:t>23</w:t>
      </w:r>
      <w:r>
        <w:rPr>
          <w:snapToGrid w:val="0"/>
        </w:rPr>
        <w:t>.</w:t>
      </w:r>
      <w:r>
        <w:rPr>
          <w:snapToGrid w:val="0"/>
        </w:rPr>
        <w:tab/>
        <w:t>Powers of police officers when things suspected of being used in commission of offences</w:t>
      </w:r>
      <w:bookmarkEnd w:id="331"/>
      <w:bookmarkEnd w:id="332"/>
      <w:bookmarkEnd w:id="333"/>
      <w:bookmarkEnd w:id="334"/>
      <w:bookmarkEnd w:id="335"/>
      <w:bookmarkEnd w:id="336"/>
    </w:p>
    <w:p>
      <w:pPr>
        <w:pStyle w:val="Subsection"/>
        <w:rPr>
          <w:snapToGrid w:val="0"/>
        </w:rPr>
      </w:pPr>
      <w:r>
        <w:rPr>
          <w:snapToGrid w:val="0"/>
        </w:rPr>
        <w:tab/>
        <w:t>(1)</w:t>
      </w:r>
      <w:r>
        <w:rPr>
          <w:snapToGrid w:val="0"/>
        </w:rPr>
        <w:tab/>
        <w:t>Subject to this section, if there are reasonable grounds to suspect that any thing whatsoever — </w:t>
      </w:r>
    </w:p>
    <w:p>
      <w:pPr>
        <w:pStyle w:val="Indenta"/>
        <w:rPr>
          <w:snapToGrid w:val="0"/>
        </w:rPr>
      </w:pPr>
      <w:r>
        <w:rPr>
          <w:snapToGrid w:val="0"/>
        </w:rPr>
        <w:tab/>
        <w:t>(a)</w:t>
      </w:r>
      <w:r>
        <w:rPr>
          <w:snapToGrid w:val="0"/>
        </w:rPr>
        <w:tab/>
        <w:t>with respect to which an offence has been, or is suspected to have been, or may be committed;</w:t>
      </w:r>
    </w:p>
    <w:p>
      <w:pPr>
        <w:pStyle w:val="Indenta"/>
        <w:rPr>
          <w:snapToGrid w:val="0"/>
        </w:rPr>
      </w:pPr>
      <w:r>
        <w:rPr>
          <w:snapToGrid w:val="0"/>
        </w:rPr>
        <w:tab/>
        <w:t>(b)</w:t>
      </w:r>
      <w:r>
        <w:rPr>
          <w:snapToGrid w:val="0"/>
        </w:rPr>
        <w:tab/>
        <w:t>which has been, or is suspected to have been, or may be used for the purpose of committing an offence; or</w:t>
      </w:r>
    </w:p>
    <w:p>
      <w:pPr>
        <w:pStyle w:val="Indenta"/>
        <w:rPr>
          <w:snapToGrid w:val="0"/>
        </w:rPr>
      </w:pPr>
      <w:r>
        <w:rPr>
          <w:snapToGrid w:val="0"/>
        </w:rPr>
        <w:tab/>
        <w:t>(c)</w:t>
      </w:r>
      <w:r>
        <w:rPr>
          <w:snapToGrid w:val="0"/>
        </w:rPr>
        <w:tab/>
        <w:t>which may provide evidence in respect of an offence,</w:t>
      </w:r>
    </w:p>
    <w:p>
      <w:pPr>
        <w:pStyle w:val="Subsection"/>
        <w:rPr>
          <w:snapToGrid w:val="0"/>
        </w:rPr>
      </w:pPr>
      <w:r>
        <w:rPr>
          <w:snapToGrid w:val="0"/>
        </w:rPr>
        <w:tab/>
      </w:r>
      <w:r>
        <w:rPr>
          <w:snapToGrid w:val="0"/>
        </w:rPr>
        <w:tab/>
        <w:t>is in the possession of a person, a police officer may, using such force as is reasonably necessary and with such assistance as he considers necessary, stop and detain the person and search him together with any baggage, package, vehicle or other thing of any kind whatsoever found in his possession, and for that purpose may stop and detain any vehicle.</w:t>
      </w:r>
    </w:p>
    <w:p>
      <w:pPr>
        <w:pStyle w:val="Subsection"/>
        <w:rPr>
          <w:snapToGrid w:val="0"/>
        </w:rPr>
      </w:pPr>
      <w:r>
        <w:rPr>
          <w:snapToGrid w:val="0"/>
        </w:rPr>
        <w:tab/>
        <w:t>(2)</w:t>
      </w:r>
      <w:r>
        <w:rPr>
          <w:snapToGrid w:val="0"/>
        </w:rPr>
        <w:tab/>
        <w:t>A person shall not be searched under subsection (1) except by —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subsection (1)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subsection (2)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Heading5"/>
        <w:rPr>
          <w:snapToGrid w:val="0"/>
        </w:rPr>
      </w:pPr>
      <w:bookmarkStart w:id="337" w:name="_Toc503149549"/>
      <w:bookmarkStart w:id="338" w:name="_Toc534613844"/>
      <w:bookmarkStart w:id="339" w:name="_Toc535053883"/>
      <w:bookmarkStart w:id="340" w:name="_Toc109615256"/>
      <w:bookmarkStart w:id="341" w:name="_Toc215543742"/>
      <w:bookmarkStart w:id="342" w:name="_Toc290558534"/>
      <w:r>
        <w:rPr>
          <w:rStyle w:val="CharSectno"/>
        </w:rPr>
        <w:t>24</w:t>
      </w:r>
      <w:r>
        <w:rPr>
          <w:snapToGrid w:val="0"/>
        </w:rPr>
        <w:t>.</w:t>
      </w:r>
      <w:r>
        <w:rPr>
          <w:snapToGrid w:val="0"/>
        </w:rPr>
        <w:tab/>
        <w:t>Granting of search warrants in connection with prevention or detection of offences</w:t>
      </w:r>
      <w:bookmarkEnd w:id="337"/>
      <w:bookmarkEnd w:id="338"/>
      <w:bookmarkEnd w:id="339"/>
      <w:bookmarkEnd w:id="340"/>
      <w:bookmarkEnd w:id="341"/>
      <w:bookmarkEnd w:id="342"/>
    </w:p>
    <w:p>
      <w:pPr>
        <w:pStyle w:val="Subsection"/>
        <w:rPr>
          <w:snapToGrid w:val="0"/>
        </w:rPr>
      </w:pPr>
      <w:r>
        <w:rPr>
          <w:snapToGrid w:val="0"/>
        </w:rPr>
        <w:tab/>
        <w:t>(1)</w:t>
      </w:r>
      <w:r>
        <w:rPr>
          <w:snapToGrid w:val="0"/>
        </w:rPr>
        <w:tab/>
        <w:t>A justice of the peace who is satisfied by information on oath that there are reasonable grounds to suspect that any thing referred to in section 23(1)(a), (b) or (c) may be in or on any vehicle, or in or on any premises or other place, may grant to a police officer a search warrant authorising a police officer at any time or times within 30 days from the date of that search warrant to enter any vehicle, or any premises or other place, named in that search warrant and, subject to this section, to search that vehicle or those premises or that other place and any person and any baggage, package or other thing of any kind whatsoever found therein or thereon, using such force as is reasonably necessary and with such assistance as the police officer considers necessary.</w:t>
      </w:r>
    </w:p>
    <w:p>
      <w:pPr>
        <w:pStyle w:val="Subsection"/>
        <w:rPr>
          <w:snapToGrid w:val="0"/>
        </w:rPr>
      </w:pPr>
      <w:r>
        <w:rPr>
          <w:snapToGrid w:val="0"/>
        </w:rPr>
        <w:tab/>
        <w:t>(2)</w:t>
      </w:r>
      <w:r>
        <w:rPr>
          <w:snapToGrid w:val="0"/>
        </w:rPr>
        <w:tab/>
        <w:t>A person shall not be searched under a search warrant except by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a search warrant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that subsection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Footnotesection"/>
        <w:keepLines w:val="0"/>
      </w:pPr>
      <w:r>
        <w:tab/>
        <w:t>[Section 24 amended by No. 50 of 1990 s. 7.]</w:t>
      </w:r>
    </w:p>
    <w:p>
      <w:pPr>
        <w:pStyle w:val="Heading5"/>
        <w:spacing w:before="180"/>
        <w:rPr>
          <w:snapToGrid w:val="0"/>
        </w:rPr>
      </w:pPr>
      <w:bookmarkStart w:id="343" w:name="_Toc503149550"/>
      <w:bookmarkStart w:id="344" w:name="_Toc534613845"/>
      <w:bookmarkStart w:id="345" w:name="_Toc535053884"/>
      <w:bookmarkStart w:id="346" w:name="_Toc109615257"/>
      <w:bookmarkStart w:id="347" w:name="_Toc215543743"/>
      <w:bookmarkStart w:id="348" w:name="_Toc290558535"/>
      <w:r>
        <w:rPr>
          <w:rStyle w:val="CharSectno"/>
        </w:rPr>
        <w:t>25</w:t>
      </w:r>
      <w:r>
        <w:rPr>
          <w:snapToGrid w:val="0"/>
        </w:rPr>
        <w:t>.</w:t>
      </w:r>
      <w:r>
        <w:rPr>
          <w:snapToGrid w:val="0"/>
        </w:rPr>
        <w:tab/>
        <w:t>Powers ancillary to power of search</w:t>
      </w:r>
      <w:bookmarkEnd w:id="343"/>
      <w:bookmarkEnd w:id="344"/>
      <w:bookmarkEnd w:id="345"/>
      <w:bookmarkEnd w:id="346"/>
      <w:bookmarkEnd w:id="347"/>
      <w:bookmarkEnd w:id="348"/>
    </w:p>
    <w:p>
      <w:pPr>
        <w:pStyle w:val="Subsection"/>
        <w:rPr>
          <w:snapToGrid w:val="0"/>
        </w:rPr>
      </w:pPr>
      <w:r>
        <w:rPr>
          <w:snapToGrid w:val="0"/>
        </w:rPr>
        <w:tab/>
        <w:t>(1)</w:t>
      </w:r>
      <w:r>
        <w:rPr>
          <w:snapToGrid w:val="0"/>
        </w:rPr>
        <w:tab/>
        <w:t>A police officer or approved person exercising the powers conferred by section 22 or 23 or by a search warrant may for the purposes of this Part — </w:t>
      </w:r>
    </w:p>
    <w:p>
      <w:pPr>
        <w:pStyle w:val="Indenta"/>
        <w:rPr>
          <w:snapToGrid w:val="0"/>
        </w:rPr>
      </w:pPr>
      <w:r>
        <w:rPr>
          <w:snapToGrid w:val="0"/>
        </w:rPr>
        <w:tab/>
        <w:t>(a)</w:t>
      </w:r>
      <w:r>
        <w:rPr>
          <w:snapToGrid w:val="0"/>
        </w:rPr>
        <w:tab/>
        <w:t>seize and detain, or make extracts from or copies of, books, papers and documents found during the course of that exercise;</w:t>
      </w:r>
    </w:p>
    <w:p>
      <w:pPr>
        <w:pStyle w:val="Indenta"/>
        <w:rPr>
          <w:snapToGrid w:val="0"/>
        </w:rPr>
      </w:pPr>
      <w:r>
        <w:rPr>
          <w:snapToGrid w:val="0"/>
        </w:rPr>
        <w:tab/>
        <w:t>(b)</w:t>
      </w:r>
      <w:r>
        <w:rPr>
          <w:snapToGrid w:val="0"/>
        </w:rPr>
        <w:tab/>
        <w:t>require a person to give, or cause to be given, to the police officer or approved person such information as it is in the power of the person to give or cause to be given, as the case requires.</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without reasonable excuse, does not comply with a requirement made to him under subsection (1); or</w:t>
      </w:r>
    </w:p>
    <w:p>
      <w:pPr>
        <w:pStyle w:val="Indenta"/>
        <w:rPr>
          <w:snapToGrid w:val="0"/>
        </w:rPr>
      </w:pPr>
      <w:r>
        <w:rPr>
          <w:snapToGrid w:val="0"/>
        </w:rPr>
        <w:tab/>
        <w:t>(b)</w:t>
      </w:r>
      <w:r>
        <w:rPr>
          <w:snapToGrid w:val="0"/>
        </w:rPr>
        <w:tab/>
        <w:t>in purporting to comply with a requirement made to him under subsection (1), gives or causes to be given to the police officer or approved person concerned information that to his knowledge is false or misleading in a material particular,</w:t>
      </w:r>
    </w:p>
    <w:p>
      <w:pPr>
        <w:pStyle w:val="Subsection"/>
        <w:rPr>
          <w:snapToGrid w:val="0"/>
        </w:rPr>
      </w:pPr>
      <w:r>
        <w:rPr>
          <w:snapToGrid w:val="0"/>
        </w:rPr>
        <w:tab/>
      </w:r>
      <w:r>
        <w:rPr>
          <w:snapToGrid w:val="0"/>
        </w:rPr>
        <w:tab/>
        <w:t>commits a simple offence.</w:t>
      </w:r>
    </w:p>
    <w:p>
      <w:pPr>
        <w:pStyle w:val="Subsection"/>
        <w:rPr>
          <w:snapToGrid w:val="0"/>
        </w:rPr>
      </w:pPr>
      <w:r>
        <w:rPr>
          <w:snapToGrid w:val="0"/>
        </w:rPr>
        <w:tab/>
        <w:t>(3)</w:t>
      </w:r>
      <w:r>
        <w:rPr>
          <w:snapToGrid w:val="0"/>
        </w:rPr>
        <w:tab/>
        <w:t>Notwithstanding anything in subsection (2), a person shall not refuse or fail to comply with a requirement made to him under subsection (1) by reason only that compliance with that requirement would tend to incriminate him or render him liable to any penalty, but the information given or caused to be given by him in compliance with that requirement is not admissible in evidence in any proceedings against him for an offence other than a simple offence under subsection (2)(b).</w:t>
      </w:r>
    </w:p>
    <w:p>
      <w:pPr>
        <w:pStyle w:val="Heading5"/>
        <w:spacing w:before="180"/>
        <w:rPr>
          <w:snapToGrid w:val="0"/>
        </w:rPr>
      </w:pPr>
      <w:bookmarkStart w:id="349" w:name="_Toc503149551"/>
      <w:bookmarkStart w:id="350" w:name="_Toc534613846"/>
      <w:bookmarkStart w:id="351" w:name="_Toc535053885"/>
      <w:bookmarkStart w:id="352" w:name="_Toc109615258"/>
      <w:bookmarkStart w:id="353" w:name="_Toc215543744"/>
      <w:bookmarkStart w:id="354" w:name="_Toc290558536"/>
      <w:r>
        <w:rPr>
          <w:rStyle w:val="CharSectno"/>
        </w:rPr>
        <w:t>26</w:t>
      </w:r>
      <w:r>
        <w:rPr>
          <w:snapToGrid w:val="0"/>
        </w:rPr>
        <w:t>.</w:t>
      </w:r>
      <w:r>
        <w:rPr>
          <w:snapToGrid w:val="0"/>
        </w:rPr>
        <w:tab/>
        <w:t>Powers of police officers and others when things suspected of being used in commission of offences found, received or acquired</w:t>
      </w:r>
      <w:bookmarkEnd w:id="349"/>
      <w:bookmarkEnd w:id="350"/>
      <w:bookmarkEnd w:id="351"/>
      <w:bookmarkEnd w:id="352"/>
      <w:bookmarkEnd w:id="353"/>
      <w:bookmarkEnd w:id="354"/>
    </w:p>
    <w:p>
      <w:pPr>
        <w:pStyle w:val="Subsection"/>
        <w:spacing w:before="120"/>
        <w:rPr>
          <w:snapToGrid w:val="0"/>
        </w:rPr>
      </w:pPr>
      <w:r>
        <w:rPr>
          <w:snapToGrid w:val="0"/>
        </w:rPr>
        <w:tab/>
        <w:t>(1)</w:t>
      </w:r>
      <w:r>
        <w:rPr>
          <w:snapToGrid w:val="0"/>
        </w:rPr>
        <w:tab/>
        <w:t>If there are reasonable grounds to suspect that any thing found or received during the exercise of the powers conferred by section 22 or 23 or by a search warrant or under any other circumstances is a thing referred to in section 23(1)(a), (b) or (c) a police officer or approved person, as the case requires, may seize that thing and — </w:t>
      </w:r>
    </w:p>
    <w:p>
      <w:pPr>
        <w:pStyle w:val="Indenta"/>
        <w:rPr>
          <w:snapToGrid w:val="0"/>
        </w:rPr>
      </w:pPr>
      <w:r>
        <w:rPr>
          <w:snapToGrid w:val="0"/>
        </w:rPr>
        <w:tab/>
        <w:t>(a)</w:t>
      </w:r>
      <w:r>
        <w:rPr>
          <w:snapToGrid w:val="0"/>
        </w:rPr>
        <w:tab/>
        <w:t>in the case of a thing which is a prohibited drug, prohibited plant or dangerous substance, may detain it until it is dealt with under section 27; or</w:t>
      </w:r>
    </w:p>
    <w:p>
      <w:pPr>
        <w:pStyle w:val="Indenta"/>
        <w:rPr>
          <w:snapToGrid w:val="0"/>
        </w:rPr>
      </w:pPr>
      <w:r>
        <w:rPr>
          <w:snapToGrid w:val="0"/>
        </w:rPr>
        <w:tab/>
        <w:t>(b)</w:t>
      </w:r>
      <w:r>
        <w:rPr>
          <w:snapToGrid w:val="0"/>
        </w:rPr>
        <w:tab/>
        <w:t>in the case of a thing which is not a prohibited drug, prohibited plant or dangerous substance, may detain it for a period not exceeding 72 hours from that seizure and shall, if he wishes to detain it for a longer period, apply within 72 hours from that seizure to a justice of the peace for a holding order in respect of that thing.</w:t>
      </w:r>
    </w:p>
    <w:p>
      <w:pPr>
        <w:pStyle w:val="Subsection"/>
        <w:rPr>
          <w:snapToGrid w:val="0"/>
        </w:rPr>
      </w:pPr>
      <w:r>
        <w:rPr>
          <w:snapToGrid w:val="0"/>
        </w:rPr>
        <w:tab/>
        <w:t>(2)</w:t>
      </w:r>
      <w:r>
        <w:rPr>
          <w:snapToGrid w:val="0"/>
        </w:rPr>
        <w:tab/>
        <w:t>A police officer who — </w:t>
      </w:r>
    </w:p>
    <w:p>
      <w:pPr>
        <w:pStyle w:val="Indenta"/>
        <w:rPr>
          <w:snapToGrid w:val="0"/>
        </w:rPr>
      </w:pPr>
      <w:r>
        <w:rPr>
          <w:snapToGrid w:val="0"/>
        </w:rPr>
        <w:tab/>
        <w:t>(a)</w:t>
      </w:r>
      <w:r>
        <w:rPr>
          <w:snapToGrid w:val="0"/>
        </w:rPr>
        <w:tab/>
        <w:t>whilst he is an authorised person and is acting as an undercover officer, acquires a prohibited drug or prohibited plant for the purpose of detecting the commission of an offence; or</w:t>
      </w:r>
    </w:p>
    <w:p>
      <w:pPr>
        <w:pStyle w:val="Indenta"/>
        <w:rPr>
          <w:snapToGrid w:val="0"/>
        </w:rPr>
      </w:pPr>
      <w:r>
        <w:rPr>
          <w:snapToGrid w:val="0"/>
        </w:rPr>
        <w:tab/>
        <w:t>(b)</w:t>
      </w:r>
      <w:r>
        <w:rPr>
          <w:snapToGrid w:val="0"/>
        </w:rPr>
        <w:tab/>
        <w:t>acquires a prohibited drug or prohibited plant as a result of its delivery to him by an authorised person who is not a police officer,</w:t>
      </w:r>
    </w:p>
    <w:p>
      <w:pPr>
        <w:pStyle w:val="Subsection"/>
        <w:rPr>
          <w:snapToGrid w:val="0"/>
        </w:rPr>
      </w:pPr>
      <w:r>
        <w:rPr>
          <w:snapToGrid w:val="0"/>
        </w:rPr>
        <w:tab/>
      </w:r>
      <w:r>
        <w:rPr>
          <w:snapToGrid w:val="0"/>
        </w:rPr>
        <w:tab/>
        <w:t>shall detain the prohibited drug or prohibited plant until it is dealt with under section 27.</w:t>
      </w:r>
    </w:p>
    <w:p>
      <w:pPr>
        <w:pStyle w:val="Subsection"/>
        <w:rPr>
          <w:snapToGrid w:val="0"/>
        </w:rPr>
      </w:pPr>
      <w:r>
        <w:rPr>
          <w:snapToGrid w:val="0"/>
        </w:rPr>
        <w:tab/>
        <w:t>(3)</w:t>
      </w:r>
      <w:r>
        <w:rPr>
          <w:snapToGrid w:val="0"/>
        </w:rPr>
        <w:tab/>
        <w:t>In subsection (2) — </w:t>
      </w:r>
    </w:p>
    <w:p>
      <w:pPr>
        <w:pStyle w:val="Defstart"/>
      </w:pPr>
      <w:r>
        <w:rPr>
          <w:b/>
        </w:rPr>
        <w:tab/>
      </w:r>
      <w:r>
        <w:rPr>
          <w:rStyle w:val="CharDefText"/>
        </w:rPr>
        <w:t>authorised person</w:t>
      </w:r>
      <w:r>
        <w:t xml:space="preserve"> and </w:t>
      </w:r>
      <w:r>
        <w:rPr>
          <w:rStyle w:val="CharDefText"/>
        </w:rPr>
        <w:t>undercover officer</w:t>
      </w:r>
      <w:r>
        <w:t xml:space="preserve"> have the respective meanings given by section 31.</w:t>
      </w:r>
    </w:p>
    <w:p>
      <w:pPr>
        <w:pStyle w:val="Footnotesection"/>
        <w:ind w:left="890" w:hanging="890"/>
      </w:pPr>
      <w:r>
        <w:tab/>
        <w:t>[Section 26 amended by No. 50 of 1990 s. 7; No. 44 of 1995 s. 6.]</w:t>
      </w:r>
    </w:p>
    <w:p>
      <w:pPr>
        <w:pStyle w:val="Heading5"/>
        <w:rPr>
          <w:snapToGrid w:val="0"/>
        </w:rPr>
      </w:pPr>
      <w:bookmarkStart w:id="355" w:name="_Toc503149552"/>
      <w:bookmarkStart w:id="356" w:name="_Toc534613847"/>
      <w:bookmarkStart w:id="357" w:name="_Toc535053886"/>
      <w:bookmarkStart w:id="358" w:name="_Toc109615259"/>
      <w:bookmarkStart w:id="359" w:name="_Toc215543745"/>
      <w:bookmarkStart w:id="360" w:name="_Toc290558537"/>
      <w:r>
        <w:rPr>
          <w:rStyle w:val="CharSectno"/>
        </w:rPr>
        <w:t>26A</w:t>
      </w:r>
      <w:r>
        <w:rPr>
          <w:snapToGrid w:val="0"/>
        </w:rPr>
        <w:t>.</w:t>
      </w:r>
      <w:r>
        <w:rPr>
          <w:snapToGrid w:val="0"/>
        </w:rPr>
        <w:tab/>
        <w:t>Powers of approved analyst or approved botanist</w:t>
      </w:r>
      <w:bookmarkEnd w:id="355"/>
      <w:bookmarkEnd w:id="356"/>
      <w:bookmarkEnd w:id="357"/>
      <w:bookmarkEnd w:id="358"/>
      <w:bookmarkEnd w:id="359"/>
      <w:bookmarkEnd w:id="360"/>
    </w:p>
    <w:p>
      <w:pPr>
        <w:pStyle w:val="Subsection"/>
        <w:keepNext/>
        <w:keepLines/>
        <w:rPr>
          <w:snapToGrid w:val="0"/>
        </w:rPr>
      </w:pPr>
      <w:r>
        <w:rPr>
          <w:snapToGrid w:val="0"/>
        </w:rPr>
        <w:tab/>
      </w:r>
      <w:r>
        <w:rPr>
          <w:snapToGrid w:val="0"/>
        </w:rPr>
        <w:tab/>
        <w:t>An approved analyst or approved botanist may for the purposes of this Act — </w:t>
      </w:r>
    </w:p>
    <w:p>
      <w:pPr>
        <w:pStyle w:val="Indenta"/>
        <w:rPr>
          <w:snapToGrid w:val="0"/>
        </w:rPr>
      </w:pPr>
      <w:r>
        <w:rPr>
          <w:snapToGrid w:val="0"/>
        </w:rPr>
        <w:tab/>
        <w:t>(a)</w:t>
      </w:r>
      <w:r>
        <w:rPr>
          <w:snapToGrid w:val="0"/>
        </w:rPr>
        <w:tab/>
        <w:t>take a sample or samples of any thing seized under this Act;</w:t>
      </w:r>
    </w:p>
    <w:p>
      <w:pPr>
        <w:pStyle w:val="Indenta"/>
        <w:rPr>
          <w:snapToGrid w:val="0"/>
        </w:rPr>
      </w:pPr>
      <w:r>
        <w:rPr>
          <w:snapToGrid w:val="0"/>
        </w:rPr>
        <w:tab/>
        <w:t>(b)</w:t>
      </w:r>
      <w:r>
        <w:rPr>
          <w:snapToGrid w:val="0"/>
        </w:rPr>
        <w:tab/>
        <w:t>analyse or examine any thing seized under this Act or any sample or samples of the thing.</w:t>
      </w:r>
    </w:p>
    <w:p>
      <w:pPr>
        <w:pStyle w:val="Footnotesection"/>
      </w:pPr>
      <w:r>
        <w:tab/>
        <w:t xml:space="preserve">[Section 26A inserted by No. 44 of 1995 s. 7.] </w:t>
      </w:r>
    </w:p>
    <w:p>
      <w:pPr>
        <w:pStyle w:val="Heading5"/>
        <w:rPr>
          <w:snapToGrid w:val="0"/>
        </w:rPr>
      </w:pPr>
      <w:bookmarkStart w:id="361" w:name="_Toc503149553"/>
      <w:bookmarkStart w:id="362" w:name="_Toc534613848"/>
      <w:bookmarkStart w:id="363" w:name="_Toc535053887"/>
      <w:bookmarkStart w:id="364" w:name="_Toc109615260"/>
      <w:bookmarkStart w:id="365" w:name="_Toc215543746"/>
      <w:bookmarkStart w:id="366" w:name="_Toc290558538"/>
      <w:r>
        <w:rPr>
          <w:rStyle w:val="CharSectno"/>
        </w:rPr>
        <w:t>27</w:t>
      </w:r>
      <w:r>
        <w:rPr>
          <w:snapToGrid w:val="0"/>
        </w:rPr>
        <w:t>.</w:t>
      </w:r>
      <w:r>
        <w:rPr>
          <w:snapToGrid w:val="0"/>
        </w:rPr>
        <w:tab/>
        <w:t>Disposal of prohibited drugs and prohibited plants</w:t>
      </w:r>
      <w:bookmarkEnd w:id="361"/>
      <w:bookmarkEnd w:id="362"/>
      <w:bookmarkEnd w:id="363"/>
      <w:bookmarkEnd w:id="364"/>
      <w:bookmarkEnd w:id="365"/>
      <w:bookmarkEnd w:id="366"/>
    </w:p>
    <w:p>
      <w:pPr>
        <w:pStyle w:val="Subsection"/>
        <w:rPr>
          <w:snapToGrid w:val="0"/>
        </w:rPr>
      </w:pPr>
      <w:r>
        <w:rPr>
          <w:snapToGrid w:val="0"/>
        </w:rPr>
        <w:tab/>
        <w:t>(1)</w:t>
      </w:r>
      <w:r>
        <w:rPr>
          <w:snapToGrid w:val="0"/>
        </w:rPr>
        <w:tab/>
        <w:t>If, in the case of a prohibited drug, prohibited plant or dangerous substance which is seized or acquired and detained under section 26 — </w:t>
      </w:r>
    </w:p>
    <w:p>
      <w:pPr>
        <w:pStyle w:val="Indenta"/>
        <w:rPr>
          <w:snapToGrid w:val="0"/>
        </w:rPr>
      </w:pPr>
      <w:r>
        <w:rPr>
          <w:snapToGrid w:val="0"/>
        </w:rPr>
        <w:tab/>
        <w:t>(a)</w:t>
      </w:r>
      <w:r>
        <w:rPr>
          <w:snapToGrid w:val="0"/>
        </w:rPr>
        <w:tab/>
        <w:t>a police officer is satisfied that no person will be tried with the commission of an offence in relation thereto, and it has not been destroyed under subsection (4), the police officer shall — </w:t>
      </w:r>
    </w:p>
    <w:p>
      <w:pPr>
        <w:pStyle w:val="Indenti"/>
        <w:rPr>
          <w:snapToGrid w:val="0"/>
        </w:rPr>
      </w:pPr>
      <w:r>
        <w:rPr>
          <w:snapToGrid w:val="0"/>
        </w:rPr>
        <w:tab/>
        <w:t>(i)</w:t>
      </w:r>
      <w:r>
        <w:rPr>
          <w:snapToGrid w:val="0"/>
        </w:rPr>
        <w:tab/>
        <w:t>cause that prohibited drug, prohibited plant or dangerous substance to be destroyed in accordance with the regulations; or</w:t>
      </w:r>
    </w:p>
    <w:p>
      <w:pPr>
        <w:pStyle w:val="Indenti"/>
        <w:rPr>
          <w:snapToGrid w:val="0"/>
        </w:rPr>
      </w:pPr>
      <w:r>
        <w:rPr>
          <w:snapToGrid w:val="0"/>
        </w:rPr>
        <w:tab/>
        <w:t>(ii)</w:t>
      </w:r>
      <w:r>
        <w:rPr>
          <w:snapToGrid w:val="0"/>
        </w:rPr>
        <w:tab/>
        <w:t xml:space="preserve">if a person who is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is entitled to have possession of that prohibited drug, prohibited plant or dangerous substance, release that prohibited drug, prohibited plant or dangerous substance to that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 person is tried with the commission of an offence in relation thereto and it has not been destroyed under subsection (4), the court which so tries the person shall, whether or not the person is convicted of that offence and after having given any other person (in this paragraph called </w:t>
      </w:r>
      <w:r>
        <w:rPr>
          <w:rStyle w:val="CharDefText"/>
        </w:rPr>
        <w:t>the claimant</w:t>
      </w:r>
      <w:r>
        <w:rPr>
          <w:snapToGrid w:val="0"/>
        </w:rPr>
        <w:t xml:space="preserve">) claiming to be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and to be entitled to have possession of that prohibited drug, prohibited plant or dangerous substance, an opportunity to show cause why that prohibited drug, prohibited plant or dangerous substance should be released to him, order that that prohibited drug, prohibited plant or dangerous substance — </w:t>
      </w:r>
    </w:p>
    <w:p>
      <w:pPr>
        <w:pStyle w:val="Indenti"/>
        <w:rPr>
          <w:snapToGrid w:val="0"/>
        </w:rPr>
      </w:pPr>
      <w:r>
        <w:rPr>
          <w:snapToGrid w:val="0"/>
        </w:rPr>
        <w:tab/>
        <w:t>(i)</w:t>
      </w:r>
      <w:r>
        <w:rPr>
          <w:snapToGrid w:val="0"/>
        </w:rPr>
        <w:tab/>
        <w:t>be released to the claimant;</w:t>
      </w:r>
    </w:p>
    <w:p>
      <w:pPr>
        <w:pStyle w:val="Indenti"/>
        <w:rPr>
          <w:snapToGrid w:val="0"/>
        </w:rPr>
      </w:pPr>
      <w:r>
        <w:rPr>
          <w:snapToGrid w:val="0"/>
        </w:rPr>
        <w:tab/>
        <w:t>(ii)</w:t>
      </w:r>
      <w:r>
        <w:rPr>
          <w:snapToGrid w:val="0"/>
        </w:rPr>
        <w:tab/>
        <w:t>be destroyed; or</w:t>
      </w:r>
    </w:p>
    <w:p>
      <w:pPr>
        <w:pStyle w:val="Indenti"/>
        <w:rPr>
          <w:snapToGrid w:val="0"/>
        </w:rPr>
      </w:pPr>
      <w:r>
        <w:rPr>
          <w:snapToGrid w:val="0"/>
        </w:rPr>
        <w:tab/>
        <w:t>(iii)</w:t>
      </w:r>
      <w:r>
        <w:rPr>
          <w:snapToGrid w:val="0"/>
        </w:rPr>
        <w:tab/>
        <w:t>be forfeited to the Crown.</w:t>
      </w:r>
    </w:p>
    <w:p>
      <w:pPr>
        <w:pStyle w:val="Subsection"/>
        <w:rPr>
          <w:snapToGrid w:val="0"/>
        </w:rPr>
      </w:pPr>
      <w:r>
        <w:rPr>
          <w:snapToGrid w:val="0"/>
        </w:rPr>
        <w:tab/>
        <w:t>(2)</w:t>
      </w:r>
      <w:r>
        <w:rPr>
          <w:snapToGrid w:val="0"/>
        </w:rPr>
        <w:tab/>
        <w:t>If, in relation to any prohibited drug, prohibited plant or dangerous substance seized under section 26, the Commissioner is satisfied that — </w:t>
      </w:r>
    </w:p>
    <w:p>
      <w:pPr>
        <w:pStyle w:val="Indenta"/>
        <w:rPr>
          <w:snapToGrid w:val="0"/>
        </w:rPr>
      </w:pPr>
      <w:r>
        <w:rPr>
          <w:snapToGrid w:val="0"/>
        </w:rPr>
        <w:tab/>
        <w:t>(a)</w:t>
      </w:r>
      <w:r>
        <w:rPr>
          <w:snapToGrid w:val="0"/>
        </w:rPr>
        <w:tab/>
        <w:t>it is not reasonably practicable (for whatever reason) to detain the thing until it is dealt with under subsection (1); and</w:t>
      </w:r>
    </w:p>
    <w:p>
      <w:pPr>
        <w:pStyle w:val="Indenta"/>
        <w:rPr>
          <w:snapToGrid w:val="0"/>
        </w:rPr>
      </w:pPr>
      <w:r>
        <w:rPr>
          <w:snapToGrid w:val="0"/>
        </w:rPr>
        <w:tab/>
        <w:t>(b)</w:t>
      </w:r>
      <w:r>
        <w:rPr>
          <w:snapToGrid w:val="0"/>
        </w:rPr>
        <w:tab/>
        <w:t>sufficient samples of the thing have been taken,</w:t>
      </w:r>
    </w:p>
    <w:p>
      <w:pPr>
        <w:pStyle w:val="Subsection"/>
        <w:rPr>
          <w:snapToGrid w:val="0"/>
        </w:rPr>
      </w:pPr>
      <w:r>
        <w:rPr>
          <w:snapToGrid w:val="0"/>
        </w:rPr>
        <w:tab/>
      </w:r>
      <w:r>
        <w:rPr>
          <w:snapToGrid w:val="0"/>
        </w:rPr>
        <w:tab/>
        <w:t>the Commissioner may direct that the thing (apart from the samples) be destroyed before it is dealt with under that subsection.</w:t>
      </w:r>
    </w:p>
    <w:p>
      <w:pPr>
        <w:pStyle w:val="Subsection"/>
        <w:rPr>
          <w:snapToGrid w:val="0"/>
        </w:rPr>
      </w:pPr>
      <w:r>
        <w:rPr>
          <w:snapToGrid w:val="0"/>
        </w:rPr>
        <w:tab/>
        <w:t>(3)</w:t>
      </w:r>
      <w:r>
        <w:rPr>
          <w:snapToGrid w:val="0"/>
        </w:rPr>
        <w:tab/>
        <w:t>A direction shall be in writing in the prescribed form.</w:t>
      </w:r>
    </w:p>
    <w:p>
      <w:pPr>
        <w:pStyle w:val="Subsection"/>
        <w:rPr>
          <w:snapToGrid w:val="0"/>
        </w:rPr>
      </w:pPr>
      <w:r>
        <w:rPr>
          <w:snapToGrid w:val="0"/>
        </w:rPr>
        <w:tab/>
        <w:t>(4)</w:t>
      </w:r>
      <w:r>
        <w:rPr>
          <w:snapToGrid w:val="0"/>
        </w:rPr>
        <w:tab/>
        <w:t>If the Commissioner directs under subsection (2) that any thing be destroyed, a police officer shall as soon as practicable cause the thing to be destroyed in accordance with the regulations.</w:t>
      </w:r>
    </w:p>
    <w:p>
      <w:pPr>
        <w:pStyle w:val="Subsection"/>
        <w:rPr>
          <w:snapToGrid w:val="0"/>
        </w:rPr>
      </w:pPr>
      <w:r>
        <w:rPr>
          <w:snapToGrid w:val="0"/>
        </w:rPr>
        <w:tab/>
        <w:t>(5)</w:t>
      </w:r>
      <w:r>
        <w:rPr>
          <w:snapToGrid w:val="0"/>
        </w:rPr>
        <w:tab/>
        <w:t>The Commissioner may in writing amend or revoke a direction before effect is given to it.</w:t>
      </w:r>
    </w:p>
    <w:p>
      <w:pPr>
        <w:pStyle w:val="Subsection"/>
      </w:pPr>
      <w:r>
        <w:tab/>
        <w:t>(6A)</w:t>
      </w:r>
      <w:r>
        <w:tab/>
      </w:r>
      <w:r>
        <w:rPr>
          <w:snapToGrid w:val="0"/>
        </w:rPr>
        <w:t>If</w:t>
      </w:r>
      <w:r>
        <w:t xml:space="preserve"> — </w:t>
      </w:r>
    </w:p>
    <w:p>
      <w:pPr>
        <w:pStyle w:val="Indenta"/>
      </w:pPr>
      <w:r>
        <w:tab/>
        <w:t>(a)</w:t>
      </w:r>
      <w:r>
        <w:tab/>
        <w:t xml:space="preserve">a </w:t>
      </w:r>
      <w:r>
        <w:rPr>
          <w:snapToGrid w:val="0"/>
        </w:rPr>
        <w:t>court</w:t>
      </w:r>
      <w:r>
        <w:t xml:space="preserve"> convicts a person of an offence under this Act that involved the possession or use of a relevant thing; and</w:t>
      </w:r>
    </w:p>
    <w:p>
      <w:pPr>
        <w:pStyle w:val="Indenta"/>
      </w:pPr>
      <w:r>
        <w:tab/>
        <w:t>(b)</w:t>
      </w:r>
      <w:r>
        <w:tab/>
      </w:r>
      <w:r>
        <w:rPr>
          <w:snapToGrid w:val="0"/>
        </w:rPr>
        <w:t>the</w:t>
      </w:r>
      <w:r>
        <w:t xml:space="preserve"> relevant thing was destroyed under this section,</w:t>
      </w:r>
    </w:p>
    <w:p>
      <w:pPr>
        <w:pStyle w:val="Subsection"/>
      </w:pPr>
      <w:r>
        <w:tab/>
      </w:r>
      <w:r>
        <w:tab/>
        <w:t xml:space="preserve">the </w:t>
      </w:r>
      <w:r>
        <w:rPr>
          <w:snapToGrid w:val="0"/>
        </w:rPr>
        <w:t>court</w:t>
      </w:r>
      <w:r>
        <w:t xml:space="preserve"> may order the person to pay the costs reasonably incurred by the State in destroying the thing, other than costs relating to the employment of police officers or the use of equipment or facilities under the control or management of the Commissioner.</w:t>
      </w:r>
    </w:p>
    <w:p>
      <w:pPr>
        <w:pStyle w:val="Subsection"/>
        <w:keepNext/>
        <w:rPr>
          <w:snapToGrid w:val="0"/>
        </w:rPr>
      </w:pPr>
      <w:r>
        <w:rPr>
          <w:snapToGrid w:val="0"/>
        </w:rPr>
        <w:tab/>
        <w:t>(6)</w:t>
      </w:r>
      <w:r>
        <w:rPr>
          <w:snapToGrid w:val="0"/>
        </w:rPr>
        <w:tab/>
        <w:t xml:space="preserve">In this section — </w:t>
      </w:r>
    </w:p>
    <w:p>
      <w:pPr>
        <w:pStyle w:val="Defstart"/>
        <w:keepNext/>
      </w:pPr>
      <w:r>
        <w:rPr>
          <w:b/>
        </w:rPr>
        <w:tab/>
      </w:r>
      <w:r>
        <w:rPr>
          <w:rStyle w:val="CharDefText"/>
        </w:rPr>
        <w:t>relevant thing</w:t>
      </w:r>
      <w:r>
        <w:t xml:space="preserve"> means a prohibited drug, prohibited plant or dangerous substance or a thing contaminated with a dangerous substance;</w:t>
      </w:r>
    </w:p>
    <w:p>
      <w:pPr>
        <w:pStyle w:val="Defstart"/>
        <w:keepNext/>
      </w:pPr>
      <w:r>
        <w:rPr>
          <w:b/>
        </w:rPr>
        <w:tab/>
      </w:r>
      <w:r>
        <w:rPr>
          <w:rStyle w:val="CharDefText"/>
        </w:rPr>
        <w:t>sufficient samples</w:t>
      </w:r>
      <w:r>
        <w:t xml:space="preserve"> means — </w:t>
      </w:r>
    </w:p>
    <w:p>
      <w:pPr>
        <w:pStyle w:val="Defpara"/>
      </w:pPr>
      <w:r>
        <w:tab/>
        <w:t>(a)</w:t>
      </w:r>
      <w:r>
        <w:tab/>
        <w:t>in the case of a thing that has already been analysed or examined by an approved analyst or an approved botanist, sufficient samples to enable any further analysis or examination that might be required under section 27A; or</w:t>
      </w:r>
    </w:p>
    <w:p>
      <w:pPr>
        <w:pStyle w:val="Defpara"/>
      </w:pPr>
      <w:r>
        <w:tab/>
        <w:t>(b)</w:t>
      </w:r>
      <w:r>
        <w:tab/>
        <w:t>in any other case, sufficient samples to enable — </w:t>
      </w:r>
    </w:p>
    <w:p>
      <w:pPr>
        <w:pStyle w:val="Defsubpara"/>
        <w:rPr>
          <w:snapToGrid w:val="0"/>
        </w:rPr>
      </w:pPr>
      <w:r>
        <w:rPr>
          <w:snapToGrid w:val="0"/>
        </w:rPr>
        <w:tab/>
        <w:t>(i)</w:t>
      </w:r>
      <w:r>
        <w:rPr>
          <w:snapToGrid w:val="0"/>
        </w:rPr>
        <w:tab/>
        <w:t>analysis or examination by an approved analyst or an approved botanist; and</w:t>
      </w:r>
    </w:p>
    <w:p>
      <w:pPr>
        <w:pStyle w:val="Defsubpara"/>
        <w:rPr>
          <w:snapToGrid w:val="0"/>
        </w:rPr>
      </w:pPr>
      <w:r>
        <w:rPr>
          <w:snapToGrid w:val="0"/>
        </w:rPr>
        <w:tab/>
        <w:t>(ii)</w:t>
      </w:r>
      <w:r>
        <w:rPr>
          <w:snapToGrid w:val="0"/>
        </w:rPr>
        <w:tab/>
        <w:t>any further analysis or examination that might be required under section 27A.</w:t>
      </w:r>
    </w:p>
    <w:p>
      <w:pPr>
        <w:pStyle w:val="Footnotesection"/>
        <w:ind w:left="890" w:hanging="890"/>
      </w:pPr>
      <w:r>
        <w:tab/>
        <w:t>[Section 27 amended by No. 44 of 1995 s. 8; No. 44 of 2010 s. 7(3) and (4).]</w:t>
      </w:r>
    </w:p>
    <w:p>
      <w:pPr>
        <w:pStyle w:val="Heading5"/>
        <w:rPr>
          <w:snapToGrid w:val="0"/>
        </w:rPr>
      </w:pPr>
      <w:bookmarkStart w:id="367" w:name="_Toc503149554"/>
      <w:bookmarkStart w:id="368" w:name="_Toc534613849"/>
      <w:bookmarkStart w:id="369" w:name="_Toc535053888"/>
      <w:bookmarkStart w:id="370" w:name="_Toc109615261"/>
      <w:bookmarkStart w:id="371" w:name="_Toc215543747"/>
      <w:bookmarkStart w:id="372" w:name="_Toc290558539"/>
      <w:r>
        <w:rPr>
          <w:rStyle w:val="CharSectno"/>
        </w:rPr>
        <w:t>27A</w:t>
      </w:r>
      <w:r>
        <w:rPr>
          <w:snapToGrid w:val="0"/>
        </w:rPr>
        <w:t xml:space="preserve">. </w:t>
      </w:r>
      <w:r>
        <w:rPr>
          <w:snapToGrid w:val="0"/>
        </w:rPr>
        <w:tab/>
        <w:t xml:space="preserve">Analysis at request of </w:t>
      </w:r>
      <w:bookmarkEnd w:id="367"/>
      <w:bookmarkEnd w:id="368"/>
      <w:bookmarkEnd w:id="369"/>
      <w:bookmarkEnd w:id="370"/>
      <w:r>
        <w:rPr>
          <w:snapToGrid w:val="0"/>
        </w:rPr>
        <w:t>accused</w:t>
      </w:r>
      <w:bookmarkEnd w:id="371"/>
      <w:bookmarkEnd w:id="372"/>
    </w:p>
    <w:p>
      <w:pPr>
        <w:pStyle w:val="Subsection"/>
        <w:rPr>
          <w:snapToGrid w:val="0"/>
        </w:rPr>
      </w:pPr>
      <w:r>
        <w:rPr>
          <w:snapToGrid w:val="0"/>
        </w:rPr>
        <w:tab/>
        <w:t>(1)</w:t>
      </w:r>
      <w:r>
        <w:rPr>
          <w:snapToGrid w:val="0"/>
        </w:rPr>
        <w:tab/>
        <w:t>If a direction is given under section 27(2) for the destruction of any thing, any person charged with an offence in relation to the thing may apply to have a sample of the thing analysed or examined by an analyst or botanist chosen by the person.</w:t>
      </w:r>
    </w:p>
    <w:p>
      <w:pPr>
        <w:pStyle w:val="Subsection"/>
        <w:rPr>
          <w:snapToGrid w:val="0"/>
        </w:rPr>
      </w:pPr>
      <w:r>
        <w:rPr>
          <w:snapToGrid w:val="0"/>
        </w:rPr>
        <w:tab/>
        <w:t>(2)</w:t>
      </w:r>
      <w:r>
        <w:rPr>
          <w:snapToGrid w:val="0"/>
        </w:rPr>
        <w:tab/>
        <w:t>An application shall be made to the Commissioner or a prescribed person within the prescribed period.</w:t>
      </w:r>
    </w:p>
    <w:p>
      <w:pPr>
        <w:pStyle w:val="Subsection"/>
        <w:rPr>
          <w:snapToGrid w:val="0"/>
        </w:rPr>
      </w:pPr>
      <w:r>
        <w:rPr>
          <w:snapToGrid w:val="0"/>
        </w:rPr>
        <w:tab/>
        <w:t>(3)</w:t>
      </w:r>
      <w:r>
        <w:rPr>
          <w:snapToGrid w:val="0"/>
        </w:rPr>
        <w:tab/>
        <w:t>The application shall be in writing in the prescribed form and shall specify the analyst or botanist who is to carry out the examination or analysis.</w:t>
      </w:r>
    </w:p>
    <w:p>
      <w:pPr>
        <w:pStyle w:val="Subsection"/>
        <w:rPr>
          <w:snapToGrid w:val="0"/>
        </w:rPr>
      </w:pPr>
      <w:r>
        <w:rPr>
          <w:snapToGrid w:val="0"/>
        </w:rPr>
        <w:tab/>
        <w:t>(4)</w:t>
      </w:r>
      <w:r>
        <w:rPr>
          <w:snapToGrid w:val="0"/>
        </w:rPr>
        <w:tab/>
        <w:t>The analyst or botanist specified shall not be an approved analyst or an approved botanist.</w:t>
      </w:r>
    </w:p>
    <w:p>
      <w:pPr>
        <w:pStyle w:val="Subsection"/>
        <w:rPr>
          <w:snapToGrid w:val="0"/>
        </w:rPr>
      </w:pPr>
      <w:r>
        <w:rPr>
          <w:snapToGrid w:val="0"/>
        </w:rPr>
        <w:tab/>
        <w:t>(5)</w:t>
      </w:r>
      <w:r>
        <w:rPr>
          <w:snapToGrid w:val="0"/>
        </w:rPr>
        <w:tab/>
        <w:t>The specified analyst or botanist may, within 21 days after the application is made, analyse or examine a sample of the thing.</w:t>
      </w:r>
    </w:p>
    <w:p>
      <w:pPr>
        <w:pStyle w:val="Subsection"/>
        <w:rPr>
          <w:snapToGrid w:val="0"/>
        </w:rPr>
      </w:pPr>
      <w:r>
        <w:rPr>
          <w:snapToGrid w:val="0"/>
        </w:rPr>
        <w:tab/>
        <w:t>(6)</w:t>
      </w:r>
      <w:r>
        <w:rPr>
          <w:snapToGrid w:val="0"/>
        </w:rPr>
        <w:tab/>
        <w:t>This section applies whether or not the thing the subject of the direction has been destroyed.</w:t>
      </w:r>
    </w:p>
    <w:p>
      <w:pPr>
        <w:pStyle w:val="Subsection"/>
        <w:keepNext/>
        <w:keepLines/>
        <w:rPr>
          <w:snapToGrid w:val="0"/>
        </w:rPr>
      </w:pPr>
      <w:r>
        <w:rPr>
          <w:snapToGrid w:val="0"/>
        </w:rPr>
        <w:tab/>
        <w:t>(7)</w:t>
      </w:r>
      <w:r>
        <w:rPr>
          <w:snapToGrid w:val="0"/>
        </w:rPr>
        <w:tab/>
        <w:t>In this section — </w:t>
      </w:r>
    </w:p>
    <w:p>
      <w:pPr>
        <w:pStyle w:val="Defstart"/>
        <w:keepNext/>
        <w:keepLines/>
      </w:pPr>
      <w:r>
        <w:rPr>
          <w:b/>
        </w:rPr>
        <w:tab/>
      </w:r>
      <w:r>
        <w:rPr>
          <w:rStyle w:val="CharDefText"/>
        </w:rPr>
        <w:t>specified</w:t>
      </w:r>
      <w:r>
        <w:t xml:space="preserve"> means specified in the application.</w:t>
      </w:r>
    </w:p>
    <w:p>
      <w:pPr>
        <w:pStyle w:val="Footnotesection"/>
      </w:pPr>
      <w:r>
        <w:tab/>
        <w:t>[Section 27A inserted by No. 44 of 1995 s. 9.]</w:t>
      </w:r>
    </w:p>
    <w:p>
      <w:pPr>
        <w:pStyle w:val="Heading5"/>
        <w:rPr>
          <w:snapToGrid w:val="0"/>
        </w:rPr>
      </w:pPr>
      <w:bookmarkStart w:id="373" w:name="_Toc503149555"/>
      <w:bookmarkStart w:id="374" w:name="_Toc534613850"/>
      <w:bookmarkStart w:id="375" w:name="_Toc535053889"/>
      <w:bookmarkStart w:id="376" w:name="_Toc109615262"/>
      <w:bookmarkStart w:id="377" w:name="_Toc215543748"/>
      <w:bookmarkStart w:id="378" w:name="_Toc290558540"/>
      <w:r>
        <w:rPr>
          <w:rStyle w:val="CharSectno"/>
        </w:rPr>
        <w:t>27B</w:t>
      </w:r>
      <w:r>
        <w:rPr>
          <w:snapToGrid w:val="0"/>
        </w:rPr>
        <w:t xml:space="preserve">. </w:t>
      </w:r>
      <w:r>
        <w:rPr>
          <w:snapToGrid w:val="0"/>
        </w:rPr>
        <w:tab/>
        <w:t>Confidentiality</w:t>
      </w:r>
      <w:bookmarkEnd w:id="373"/>
      <w:bookmarkEnd w:id="374"/>
      <w:bookmarkEnd w:id="375"/>
      <w:bookmarkEnd w:id="376"/>
      <w:bookmarkEnd w:id="377"/>
      <w:bookmarkEnd w:id="378"/>
    </w:p>
    <w:p>
      <w:pPr>
        <w:pStyle w:val="Subsection"/>
        <w:rPr>
          <w:snapToGrid w:val="0"/>
        </w:rPr>
      </w:pPr>
      <w:r>
        <w:rPr>
          <w:snapToGrid w:val="0"/>
        </w:rPr>
        <w:tab/>
        <w:t>(1)</w:t>
      </w:r>
      <w:r>
        <w:rPr>
          <w:snapToGrid w:val="0"/>
        </w:rPr>
        <w:tab/>
        <w:t>In this section — </w:t>
      </w:r>
    </w:p>
    <w:p>
      <w:pPr>
        <w:pStyle w:val="Defstart"/>
      </w:pPr>
      <w:r>
        <w:rPr>
          <w:b/>
        </w:rPr>
        <w:tab/>
      </w:r>
      <w:r>
        <w:rPr>
          <w:rStyle w:val="CharDefText"/>
        </w:rPr>
        <w:t>confidential information</w:t>
      </w:r>
      <w:r>
        <w:t xml:space="preserve"> means information about — </w:t>
      </w:r>
    </w:p>
    <w:p>
      <w:pPr>
        <w:pStyle w:val="Defpara"/>
      </w:pPr>
      <w:r>
        <w:tab/>
        <w:t>(a)</w:t>
      </w:r>
      <w:r>
        <w:tab/>
        <w:t>the place, date or time at which, an analysis or examination referred to in section 27A is to be carried out;</w:t>
      </w:r>
    </w:p>
    <w:p>
      <w:pPr>
        <w:pStyle w:val="Defpara"/>
      </w:pPr>
      <w:r>
        <w:tab/>
        <w:t>(b)</w:t>
      </w:r>
      <w:r>
        <w:tab/>
        <w:t>the place at which a sample is or was stored; or</w:t>
      </w:r>
    </w:p>
    <w:p>
      <w:pPr>
        <w:pStyle w:val="Defpara"/>
      </w:pPr>
      <w:r>
        <w:tab/>
        <w:t>(c)</w:t>
      </w:r>
      <w:r>
        <w:tab/>
        <w:t>the security or storage arrangements relating to the keeping of a sample.</w:t>
      </w:r>
    </w:p>
    <w:p>
      <w:pPr>
        <w:pStyle w:val="Subsection"/>
        <w:rPr>
          <w:snapToGrid w:val="0"/>
        </w:rPr>
      </w:pPr>
      <w:r>
        <w:rPr>
          <w:snapToGrid w:val="0"/>
        </w:rPr>
        <w:tab/>
        <w:t>(2)</w:t>
      </w:r>
      <w:r>
        <w:rPr>
          <w:snapToGrid w:val="0"/>
        </w:rPr>
        <w:tab/>
        <w:t>Except as provided in subsection (3), a person shall not divulge any confidential information obtained for the purposes of, or as a result of, the person carrying out an analysis or examination referred to in section 27A.</w:t>
      </w:r>
    </w:p>
    <w:p>
      <w:pPr>
        <w:pStyle w:val="Penstart"/>
        <w:rPr>
          <w:snapToGrid w:val="0"/>
        </w:rPr>
      </w:pPr>
      <w:r>
        <w:rPr>
          <w:snapToGrid w:val="0"/>
        </w:rPr>
        <w:tab/>
        <w:t>Penalty: $20 000 and imprisonment for 7 years.</w:t>
      </w:r>
    </w:p>
    <w:p>
      <w:pPr>
        <w:pStyle w:val="Subsection"/>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function under this Act;</w:t>
      </w:r>
    </w:p>
    <w:p>
      <w:pPr>
        <w:pStyle w:val="Indenta"/>
        <w:rPr>
          <w:snapToGrid w:val="0"/>
        </w:rPr>
      </w:pPr>
      <w:r>
        <w:rPr>
          <w:snapToGrid w:val="0"/>
        </w:rPr>
        <w:tab/>
        <w:t>(b)</w:t>
      </w:r>
      <w:r>
        <w:rPr>
          <w:snapToGrid w:val="0"/>
        </w:rPr>
        <w:tab/>
        <w:t>for the purposes of the investigation of any suspected offence; or</w:t>
      </w:r>
    </w:p>
    <w:p>
      <w:pPr>
        <w:pStyle w:val="Indenta"/>
        <w:keepNext/>
        <w:rPr>
          <w:snapToGrid w:val="0"/>
        </w:rPr>
      </w:pPr>
      <w:r>
        <w:rPr>
          <w:snapToGrid w:val="0"/>
        </w:rPr>
        <w:tab/>
        <w:t>(c)</w:t>
      </w:r>
      <w:r>
        <w:rPr>
          <w:snapToGrid w:val="0"/>
        </w:rPr>
        <w:tab/>
        <w:t>in the course of the conduct of proceedings against any person for an offence.</w:t>
      </w:r>
    </w:p>
    <w:p>
      <w:pPr>
        <w:pStyle w:val="Footnotesection"/>
      </w:pPr>
      <w:r>
        <w:tab/>
        <w:t>[Section 27B inserted by No. 44 of 1995 s. 9.]</w:t>
      </w:r>
    </w:p>
    <w:p>
      <w:pPr>
        <w:pStyle w:val="Heading5"/>
        <w:rPr>
          <w:snapToGrid w:val="0"/>
        </w:rPr>
      </w:pPr>
      <w:bookmarkStart w:id="379" w:name="_Toc503149556"/>
      <w:bookmarkStart w:id="380" w:name="_Toc534613851"/>
      <w:bookmarkStart w:id="381" w:name="_Toc535053890"/>
      <w:bookmarkStart w:id="382" w:name="_Toc109615263"/>
      <w:bookmarkStart w:id="383" w:name="_Toc215543749"/>
      <w:bookmarkStart w:id="384" w:name="_Toc290558541"/>
      <w:r>
        <w:rPr>
          <w:rStyle w:val="CharSectno"/>
        </w:rPr>
        <w:t>28</w:t>
      </w:r>
      <w:r>
        <w:rPr>
          <w:snapToGrid w:val="0"/>
        </w:rPr>
        <w:t>.</w:t>
      </w:r>
      <w:r>
        <w:rPr>
          <w:snapToGrid w:val="0"/>
        </w:rPr>
        <w:tab/>
        <w:t>Disposal of things other than prohibited drugs and prohibited plants</w:t>
      </w:r>
      <w:bookmarkEnd w:id="379"/>
      <w:bookmarkEnd w:id="380"/>
      <w:bookmarkEnd w:id="381"/>
      <w:bookmarkEnd w:id="382"/>
      <w:bookmarkEnd w:id="383"/>
      <w:bookmarkEnd w:id="384"/>
    </w:p>
    <w:p>
      <w:pPr>
        <w:pStyle w:val="Subsection"/>
        <w:rPr>
          <w:snapToGrid w:val="0"/>
        </w:rPr>
      </w:pPr>
      <w:r>
        <w:rPr>
          <w:snapToGrid w:val="0"/>
        </w:rPr>
        <w:tab/>
        <w:t>(1)</w:t>
      </w:r>
      <w:r>
        <w:rPr>
          <w:snapToGrid w:val="0"/>
        </w:rPr>
        <w:tab/>
        <w:t>If, in the case of a thing (other than a prohibited drug, prohibited plant or dangerous substance) which is seized or acquired and detained under section 26 a justice of the peace is satisfied, on the application of a police officer or approved person, that there are reasonable grounds to suspect that that thing is a thing referred to in section 23(1)(a), (b) or (c), the justice of the peace may grant to the police officer or approved person a holding order authorising the continued detention of that thing until, the investigation of the case concerned having been completed, that thing is dealt with under subsection (3).</w:t>
      </w:r>
    </w:p>
    <w:p>
      <w:pPr>
        <w:pStyle w:val="Subsection"/>
        <w:rPr>
          <w:snapToGrid w:val="0"/>
        </w:rPr>
      </w:pPr>
      <w:r>
        <w:rPr>
          <w:snapToGrid w:val="0"/>
        </w:rPr>
        <w:tab/>
        <w:t>(2)</w:t>
      </w:r>
      <w:r>
        <w:rPr>
          <w:snapToGrid w:val="0"/>
        </w:rPr>
        <w:tab/>
        <w:t xml:space="preserve">A police officer or approved person to whom a holding order has been granted shall, if it is practicable to do so, forthwith serve or cause to be served a copy of the holding order, together with a notice setting out the substance of subsection (3), on any person claiming to have a financial or other interest in the thing to which the holding order relates (in this section called </w:t>
      </w:r>
      <w:r>
        <w:rPr>
          <w:rStyle w:val="CharDefText"/>
        </w:rPr>
        <w:t>the claimant</w:t>
      </w:r>
      <w:r>
        <w:rPr>
          <w:snapToGrid w:val="0"/>
        </w:rPr>
        <w:t>).</w:t>
      </w:r>
    </w:p>
    <w:p>
      <w:pPr>
        <w:pStyle w:val="Subsection"/>
        <w:rPr>
          <w:snapToGrid w:val="0"/>
        </w:rPr>
      </w:pPr>
      <w:r>
        <w:rPr>
          <w:snapToGrid w:val="0"/>
        </w:rPr>
        <w:tab/>
        <w:t>(3)</w:t>
      </w:r>
      <w:r>
        <w:rPr>
          <w:snapToGrid w:val="0"/>
        </w:rPr>
        <w:tab/>
        <w:t>If, in the case of a thing to which a holding order relates — </w:t>
      </w:r>
    </w:p>
    <w:p>
      <w:pPr>
        <w:pStyle w:val="Indenta"/>
        <w:rPr>
          <w:snapToGrid w:val="0"/>
        </w:rPr>
      </w:pPr>
      <w:r>
        <w:rPr>
          <w:snapToGrid w:val="0"/>
        </w:rPr>
        <w:tab/>
        <w:t>(a)</w:t>
      </w:r>
      <w:r>
        <w:rPr>
          <w:snapToGrid w:val="0"/>
        </w:rPr>
        <w:tab/>
        <w:t>no person is tried with the commission of an offence in relation thereto, a police officer shall apply to a justice of the peace for an order in respect of that thing and the justice of the peace; or</w:t>
      </w:r>
    </w:p>
    <w:p>
      <w:pPr>
        <w:pStyle w:val="Indenta"/>
        <w:rPr>
          <w:snapToGrid w:val="0"/>
        </w:rPr>
      </w:pPr>
      <w:r>
        <w:rPr>
          <w:snapToGrid w:val="0"/>
        </w:rPr>
        <w:tab/>
        <w:t>(b)</w:t>
      </w:r>
      <w:r>
        <w:rPr>
          <w:snapToGrid w:val="0"/>
        </w:rPr>
        <w:tab/>
        <w:t>a person is tried with the commission of an offence in relation thereto, the court which so tries the person,</w:t>
      </w:r>
    </w:p>
    <w:p>
      <w:pPr>
        <w:pStyle w:val="Subsection"/>
        <w:keepNext/>
        <w:rPr>
          <w:snapToGrid w:val="0"/>
        </w:rPr>
      </w:pPr>
      <w:r>
        <w:rPr>
          <w:snapToGrid w:val="0"/>
        </w:rPr>
        <w:tab/>
      </w:r>
      <w:r>
        <w:rPr>
          <w:snapToGrid w:val="0"/>
        </w:rPr>
        <w:tab/>
        <w:t>may, after having given the claimant an opportunity to show cause why that thing should be released to him, order that that thing — </w:t>
      </w:r>
    </w:p>
    <w:p>
      <w:pPr>
        <w:pStyle w:val="Indenta"/>
        <w:rPr>
          <w:snapToGrid w:val="0"/>
        </w:rPr>
      </w:pPr>
      <w:r>
        <w:rPr>
          <w:snapToGrid w:val="0"/>
        </w:rPr>
        <w:tab/>
        <w:t>(c)</w:t>
      </w:r>
      <w:r>
        <w:rPr>
          <w:snapToGrid w:val="0"/>
        </w:rPr>
        <w:tab/>
        <w:t>be released to the claimant;</w:t>
      </w:r>
    </w:p>
    <w:p>
      <w:pPr>
        <w:pStyle w:val="Indenta"/>
        <w:rPr>
          <w:snapToGrid w:val="0"/>
        </w:rPr>
      </w:pPr>
      <w:r>
        <w:rPr>
          <w:snapToGrid w:val="0"/>
        </w:rPr>
        <w:tab/>
        <w:t>(d)</w:t>
      </w:r>
      <w:r>
        <w:rPr>
          <w:snapToGrid w:val="0"/>
        </w:rPr>
        <w:tab/>
        <w:t>be destroyed; or</w:t>
      </w:r>
    </w:p>
    <w:p>
      <w:pPr>
        <w:pStyle w:val="Indenta"/>
        <w:rPr>
          <w:snapToGrid w:val="0"/>
        </w:rPr>
      </w:pPr>
      <w:r>
        <w:rPr>
          <w:snapToGrid w:val="0"/>
        </w:rPr>
        <w:tab/>
        <w:t>(e)</w:t>
      </w:r>
      <w:r>
        <w:rPr>
          <w:snapToGrid w:val="0"/>
        </w:rPr>
        <w:tab/>
        <w:t>be forfeited to the Crown,</w:t>
      </w:r>
    </w:p>
    <w:p>
      <w:pPr>
        <w:pStyle w:val="Subsection"/>
        <w:rPr>
          <w:snapToGrid w:val="0"/>
        </w:rPr>
      </w:pPr>
      <w:r>
        <w:rPr>
          <w:snapToGrid w:val="0"/>
        </w:rPr>
        <w:tab/>
      </w:r>
      <w:r>
        <w:rPr>
          <w:snapToGrid w:val="0"/>
        </w:rPr>
        <w:tab/>
        <w:t>or make such other order as the justice of the case requires.</w:t>
      </w:r>
    </w:p>
    <w:p>
      <w:pPr>
        <w:pStyle w:val="Footnotesection"/>
      </w:pPr>
      <w:r>
        <w:tab/>
        <w:t>[Section 28 amended by No. 50 of 1990 s. 7; No. 44 of 1995 s. 10; No. 24 of 2000 s. 27.]</w:t>
      </w:r>
    </w:p>
    <w:p>
      <w:pPr>
        <w:pStyle w:val="Heading5"/>
        <w:rPr>
          <w:snapToGrid w:val="0"/>
        </w:rPr>
      </w:pPr>
      <w:bookmarkStart w:id="385" w:name="_Toc503149557"/>
      <w:bookmarkStart w:id="386" w:name="_Toc534613852"/>
      <w:bookmarkStart w:id="387" w:name="_Toc535053891"/>
      <w:bookmarkStart w:id="388" w:name="_Toc109615264"/>
      <w:bookmarkStart w:id="389" w:name="_Toc215543750"/>
      <w:bookmarkStart w:id="390" w:name="_Toc290558542"/>
      <w:r>
        <w:rPr>
          <w:rStyle w:val="CharSectno"/>
        </w:rPr>
        <w:t>29</w:t>
      </w:r>
      <w:r>
        <w:rPr>
          <w:snapToGrid w:val="0"/>
        </w:rPr>
        <w:t>.</w:t>
      </w:r>
      <w:r>
        <w:rPr>
          <w:snapToGrid w:val="0"/>
        </w:rPr>
        <w:tab/>
        <w:t>Hindering police officers and approved persons in exercise of powers conferred by or under this Part</w:t>
      </w:r>
      <w:bookmarkEnd w:id="385"/>
      <w:bookmarkEnd w:id="386"/>
      <w:bookmarkEnd w:id="387"/>
      <w:bookmarkEnd w:id="388"/>
      <w:bookmarkEnd w:id="389"/>
      <w:bookmarkEnd w:id="390"/>
    </w:p>
    <w:p>
      <w:pPr>
        <w:pStyle w:val="Subsection"/>
        <w:rPr>
          <w:snapToGrid w:val="0"/>
        </w:rPr>
      </w:pPr>
      <w:r>
        <w:rPr>
          <w:snapToGrid w:val="0"/>
        </w:rPr>
        <w:tab/>
      </w:r>
      <w:r>
        <w:rPr>
          <w:snapToGrid w:val="0"/>
        </w:rPr>
        <w:tab/>
        <w:t>A person who wilfully — </w:t>
      </w:r>
    </w:p>
    <w:p>
      <w:pPr>
        <w:pStyle w:val="Indenta"/>
        <w:rPr>
          <w:snapToGrid w:val="0"/>
        </w:rPr>
      </w:pPr>
      <w:r>
        <w:rPr>
          <w:snapToGrid w:val="0"/>
        </w:rPr>
        <w:tab/>
        <w:t>(a)</w:t>
      </w:r>
      <w:r>
        <w:rPr>
          <w:snapToGrid w:val="0"/>
        </w:rPr>
        <w:tab/>
        <w:t>delays or obstructs a police officer or approved person acting in the exercise of the powers conferred on him by or under this Part or a person assisting a police officer or approved person so acting; or</w:t>
      </w:r>
    </w:p>
    <w:p>
      <w:pPr>
        <w:pStyle w:val="Indenta"/>
        <w:rPr>
          <w:snapToGrid w:val="0"/>
        </w:rPr>
      </w:pPr>
      <w:r>
        <w:rPr>
          <w:snapToGrid w:val="0"/>
        </w:rPr>
        <w:tab/>
        <w:t>(b)</w:t>
      </w:r>
      <w:r>
        <w:rPr>
          <w:snapToGrid w:val="0"/>
        </w:rPr>
        <w:tab/>
        <w:t>does not produce to, or conceals or attempts to conceal from, a police officer or approved person acting in the exercise of the powers conferred on him by or under this Part or a person assisting a police officer or approved person so acting any books, papers, documents or stocks referred to in section 22 or any thing referred to in section 23(1)(a), (b) or (c),</w:t>
      </w:r>
    </w:p>
    <w:p>
      <w:pPr>
        <w:pStyle w:val="Subsection"/>
        <w:rPr>
          <w:snapToGrid w:val="0"/>
        </w:rPr>
      </w:pPr>
      <w:r>
        <w:rPr>
          <w:snapToGrid w:val="0"/>
        </w:rPr>
        <w:tab/>
      </w:r>
      <w:r>
        <w:rPr>
          <w:snapToGrid w:val="0"/>
        </w:rPr>
        <w:tab/>
        <w:t>commits a simple offence.</w:t>
      </w:r>
    </w:p>
    <w:p>
      <w:pPr>
        <w:pStyle w:val="Footnotesection"/>
      </w:pPr>
      <w:r>
        <w:tab/>
        <w:t>[Section 29 amended by No. 50 of 1990 s. 7.]</w:t>
      </w:r>
    </w:p>
    <w:p>
      <w:pPr>
        <w:pStyle w:val="Heading5"/>
        <w:rPr>
          <w:snapToGrid w:val="0"/>
        </w:rPr>
      </w:pPr>
      <w:bookmarkStart w:id="391" w:name="_Toc503149558"/>
      <w:bookmarkStart w:id="392" w:name="_Toc534613853"/>
      <w:bookmarkStart w:id="393" w:name="_Toc535053892"/>
      <w:bookmarkStart w:id="394" w:name="_Toc109615265"/>
      <w:bookmarkStart w:id="395" w:name="_Toc215543751"/>
      <w:bookmarkStart w:id="396" w:name="_Toc290558543"/>
      <w:r>
        <w:rPr>
          <w:rStyle w:val="CharSectno"/>
        </w:rPr>
        <w:t>30</w:t>
      </w:r>
      <w:r>
        <w:rPr>
          <w:snapToGrid w:val="0"/>
        </w:rPr>
        <w:t>.</w:t>
      </w:r>
      <w:r>
        <w:rPr>
          <w:snapToGrid w:val="0"/>
        </w:rPr>
        <w:tab/>
        <w:t>Approved persons</w:t>
      </w:r>
      <w:bookmarkEnd w:id="391"/>
      <w:bookmarkEnd w:id="392"/>
      <w:bookmarkEnd w:id="393"/>
      <w:bookmarkEnd w:id="394"/>
      <w:bookmarkEnd w:id="395"/>
      <w:bookmarkEnd w:id="396"/>
    </w:p>
    <w:p>
      <w:pPr>
        <w:pStyle w:val="Subsection"/>
        <w:rPr>
          <w:snapToGrid w:val="0"/>
        </w:rPr>
      </w:pPr>
      <w:r>
        <w:rPr>
          <w:snapToGrid w:val="0"/>
        </w:rPr>
        <w:tab/>
      </w:r>
      <w:r>
        <w:rPr>
          <w:snapToGrid w:val="0"/>
        </w:rPr>
        <w:tab/>
        <w:t xml:space="preserve">The Minister may for the purposes of this Part approve a person, or class of persons, by notice published in the </w:t>
      </w:r>
      <w:r>
        <w:rPr>
          <w:i/>
          <w:snapToGrid w:val="0"/>
        </w:rPr>
        <w:t>Gazette</w:t>
      </w:r>
      <w:r>
        <w:rPr>
          <w:snapToGrid w:val="0"/>
        </w:rPr>
        <w:t xml:space="preserve"> and may by notice published in the </w:t>
      </w:r>
      <w:r>
        <w:rPr>
          <w:i/>
          <w:snapToGrid w:val="0"/>
        </w:rPr>
        <w:t>Gazette</w:t>
      </w:r>
      <w:r>
        <w:rPr>
          <w:snapToGrid w:val="0"/>
        </w:rPr>
        <w:t xml:space="preserve"> revoke that approval.</w:t>
      </w:r>
    </w:p>
    <w:p>
      <w:pPr>
        <w:pStyle w:val="Heading2"/>
      </w:pPr>
      <w:bookmarkStart w:id="397" w:name="_Toc72912358"/>
      <w:bookmarkStart w:id="398" w:name="_Toc89162885"/>
      <w:bookmarkStart w:id="399" w:name="_Toc89571172"/>
      <w:bookmarkStart w:id="400" w:name="_Toc90092340"/>
      <w:bookmarkStart w:id="401" w:name="_Toc92603621"/>
      <w:bookmarkStart w:id="402" w:name="_Toc92797805"/>
      <w:bookmarkStart w:id="403" w:name="_Toc97018107"/>
      <w:bookmarkStart w:id="404" w:name="_Toc102387662"/>
      <w:bookmarkStart w:id="405" w:name="_Toc102905293"/>
      <w:bookmarkStart w:id="406" w:name="_Toc105219536"/>
      <w:bookmarkStart w:id="407" w:name="_Toc105220440"/>
      <w:bookmarkStart w:id="408" w:name="_Toc105220508"/>
      <w:bookmarkStart w:id="409" w:name="_Toc105909952"/>
      <w:bookmarkStart w:id="410" w:name="_Toc105910867"/>
      <w:bookmarkStart w:id="411" w:name="_Toc106600711"/>
      <w:bookmarkStart w:id="412" w:name="_Toc106601009"/>
      <w:bookmarkStart w:id="413" w:name="_Toc109615266"/>
      <w:bookmarkStart w:id="414" w:name="_Toc139344560"/>
      <w:bookmarkStart w:id="415" w:name="_Toc139699324"/>
      <w:bookmarkStart w:id="416" w:name="_Toc147051357"/>
      <w:bookmarkStart w:id="417" w:name="_Toc147118812"/>
      <w:bookmarkStart w:id="418" w:name="_Toc148236133"/>
      <w:bookmarkStart w:id="419" w:name="_Toc158705007"/>
      <w:bookmarkStart w:id="420" w:name="_Toc165369967"/>
      <w:bookmarkStart w:id="421" w:name="_Toc177873309"/>
      <w:bookmarkStart w:id="422" w:name="_Toc177873434"/>
      <w:bookmarkStart w:id="423" w:name="_Toc184707391"/>
      <w:bookmarkStart w:id="424" w:name="_Toc189464722"/>
      <w:bookmarkStart w:id="425" w:name="_Toc190249286"/>
      <w:bookmarkStart w:id="426" w:name="_Toc191703180"/>
      <w:bookmarkStart w:id="427" w:name="_Toc193692097"/>
      <w:bookmarkStart w:id="428" w:name="_Toc199817279"/>
      <w:bookmarkStart w:id="429" w:name="_Toc215543752"/>
      <w:bookmarkStart w:id="430" w:name="_Toc215544012"/>
      <w:bookmarkStart w:id="431" w:name="_Toc248029049"/>
      <w:bookmarkStart w:id="432" w:name="_Toc256085098"/>
      <w:bookmarkStart w:id="433" w:name="_Toc256092163"/>
      <w:bookmarkStart w:id="434" w:name="_Toc268600349"/>
      <w:bookmarkStart w:id="435" w:name="_Toc272237478"/>
      <w:bookmarkStart w:id="436" w:name="_Toc275253557"/>
      <w:bookmarkStart w:id="437" w:name="_Toc283287482"/>
      <w:bookmarkStart w:id="438" w:name="_Toc290558468"/>
      <w:bookmarkStart w:id="439" w:name="_Toc290558544"/>
      <w:r>
        <w:rPr>
          <w:rStyle w:val="CharPartNo"/>
        </w:rPr>
        <w:t>Part VI</w:t>
      </w:r>
      <w:r>
        <w:rPr>
          <w:rStyle w:val="CharDivNo"/>
        </w:rPr>
        <w:t> </w:t>
      </w:r>
      <w:r>
        <w:t>—</w:t>
      </w:r>
      <w:r>
        <w:rPr>
          <w:rStyle w:val="CharDivText"/>
        </w:rPr>
        <w:t> </w:t>
      </w:r>
      <w:r>
        <w:rPr>
          <w:rStyle w:val="CharPartText"/>
        </w:rPr>
        <w:t>General</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p>
    <w:p>
      <w:pPr>
        <w:pStyle w:val="Heading5"/>
        <w:rPr>
          <w:snapToGrid w:val="0"/>
        </w:rPr>
      </w:pPr>
      <w:bookmarkStart w:id="440" w:name="_Toc503149559"/>
      <w:bookmarkStart w:id="441" w:name="_Toc534613854"/>
      <w:bookmarkStart w:id="442" w:name="_Toc535053893"/>
      <w:bookmarkStart w:id="443" w:name="_Toc109615267"/>
      <w:bookmarkStart w:id="444" w:name="_Toc215543753"/>
      <w:bookmarkStart w:id="445" w:name="_Toc290558545"/>
      <w:r>
        <w:rPr>
          <w:rStyle w:val="CharSectno"/>
        </w:rPr>
        <w:t>31</w:t>
      </w:r>
      <w:r>
        <w:rPr>
          <w:snapToGrid w:val="0"/>
        </w:rPr>
        <w:t>.</w:t>
      </w:r>
      <w:r>
        <w:rPr>
          <w:snapToGrid w:val="0"/>
        </w:rPr>
        <w:tab/>
        <w:t>Undercover officers</w:t>
      </w:r>
      <w:bookmarkEnd w:id="440"/>
      <w:bookmarkEnd w:id="441"/>
      <w:bookmarkEnd w:id="442"/>
      <w:bookmarkEnd w:id="443"/>
      <w:bookmarkEnd w:id="444"/>
      <w:bookmarkEnd w:id="445"/>
    </w:p>
    <w:p>
      <w:pPr>
        <w:pStyle w:val="Subsection"/>
        <w:rPr>
          <w:snapToGrid w:val="0"/>
        </w:rPr>
      </w:pPr>
      <w:r>
        <w:rPr>
          <w:snapToGrid w:val="0"/>
        </w:rPr>
        <w:tab/>
        <w:t>(1)</w:t>
      </w:r>
      <w:r>
        <w:rPr>
          <w:snapToGrid w:val="0"/>
        </w:rPr>
        <w:tab/>
        <w:t>The Commissioner may authorise in writing a person to act as an undercover officer and may in writing revoke that authority.</w:t>
      </w:r>
    </w:p>
    <w:p>
      <w:pPr>
        <w:pStyle w:val="Subsection"/>
        <w:rPr>
          <w:snapToGrid w:val="0"/>
        </w:rPr>
      </w:pPr>
      <w:r>
        <w:rPr>
          <w:snapToGrid w:val="0"/>
        </w:rPr>
        <w:tab/>
        <w:t>(2)</w:t>
      </w:r>
      <w:r>
        <w:rPr>
          <w:snapToGrid w:val="0"/>
        </w:rPr>
        <w:tab/>
        <w:t>An authorised person may, whilst acting as an undercover officer and subject to section 26(2) or to subsection (4), as the case requires, acquire and have in his possession a prohibited drug or prohibited plant for the purpose of detecting the commission of an offence.</w:t>
      </w:r>
    </w:p>
    <w:p>
      <w:pPr>
        <w:pStyle w:val="Subsection"/>
        <w:rPr>
          <w:snapToGrid w:val="0"/>
        </w:rPr>
      </w:pPr>
      <w:r>
        <w:rPr>
          <w:snapToGrid w:val="0"/>
        </w:rPr>
        <w:tab/>
        <w:t>(3)</w:t>
      </w:r>
      <w:r>
        <w:rPr>
          <w:snapToGrid w:val="0"/>
        </w:rPr>
        <w:tab/>
        <w:t>An authorised person who exercises the power conferred on him by subsection (2) is not an accomplice in respect of, and does not commit, any offence detected by that exercise and his evidence in any proceedings against another person for that offence is not the evidence of an accomplice.</w:t>
      </w:r>
    </w:p>
    <w:p>
      <w:pPr>
        <w:pStyle w:val="Subsection"/>
        <w:rPr>
          <w:snapToGrid w:val="0"/>
        </w:rPr>
      </w:pPr>
      <w:r>
        <w:rPr>
          <w:snapToGrid w:val="0"/>
        </w:rPr>
        <w:tab/>
        <w:t>(4)</w:t>
      </w:r>
      <w:r>
        <w:rPr>
          <w:snapToGrid w:val="0"/>
        </w:rPr>
        <w:tab/>
        <w:t>An authorised person who — </w:t>
      </w:r>
    </w:p>
    <w:p>
      <w:pPr>
        <w:pStyle w:val="Indenta"/>
        <w:rPr>
          <w:snapToGrid w:val="0"/>
        </w:rPr>
      </w:pPr>
      <w:r>
        <w:rPr>
          <w:snapToGrid w:val="0"/>
        </w:rPr>
        <w:tab/>
        <w:t>(a)</w:t>
      </w:r>
      <w:r>
        <w:rPr>
          <w:snapToGrid w:val="0"/>
        </w:rPr>
        <w:tab/>
        <w:t>is not a police officer; and</w:t>
      </w:r>
    </w:p>
    <w:p>
      <w:pPr>
        <w:pStyle w:val="Indenta"/>
        <w:rPr>
          <w:snapToGrid w:val="0"/>
        </w:rPr>
      </w:pPr>
      <w:r>
        <w:rPr>
          <w:snapToGrid w:val="0"/>
        </w:rPr>
        <w:tab/>
        <w:t>(b)</w:t>
      </w:r>
      <w:r>
        <w:rPr>
          <w:snapToGrid w:val="0"/>
        </w:rPr>
        <w:tab/>
        <w:t>after having been warned under subsection (5), acquires a prohibited drug or prohibited plant whilst acting as an undercover officer for the purpose of detecting the commission of an offence and does not deliver the prohibited drug or prohibited plant to a police officer as soon as is reasonably practicable after that acquisition,</w:t>
      </w:r>
    </w:p>
    <w:p>
      <w:pPr>
        <w:pStyle w:val="Subsection"/>
        <w:rPr>
          <w:snapToGrid w:val="0"/>
        </w:rPr>
      </w:pPr>
      <w:r>
        <w:rPr>
          <w:snapToGrid w:val="0"/>
        </w:rPr>
        <w:tab/>
      </w:r>
      <w:r>
        <w:rPr>
          <w:snapToGrid w:val="0"/>
        </w:rPr>
        <w:tab/>
        <w:t>commits a simple offence.</w:t>
      </w:r>
    </w:p>
    <w:p>
      <w:pPr>
        <w:pStyle w:val="Subsection"/>
        <w:rPr>
          <w:snapToGrid w:val="0"/>
        </w:rPr>
      </w:pPr>
      <w:r>
        <w:rPr>
          <w:snapToGrid w:val="0"/>
        </w:rPr>
        <w:tab/>
        <w:t>(5)</w:t>
      </w:r>
      <w:r>
        <w:rPr>
          <w:snapToGrid w:val="0"/>
        </w:rPr>
        <w:tab/>
        <w:t>The Commissioner shall warn in writing an authorised person who is not a police officer that if, having acquired a prohibited drug or prohibited plant whilst acting as an undercover officer for the purpose of detecting the commission of an offence, that authorised person does not deliver the prohibited drug or prohibited plant to a police officer as soon as is reasonably practicable after that acquisition, that authorised person commits a simple offence under subsection (4).</w:t>
      </w:r>
    </w:p>
    <w:p>
      <w:pPr>
        <w:pStyle w:val="Subsection"/>
        <w:rPr>
          <w:snapToGrid w:val="0"/>
        </w:rPr>
      </w:pPr>
      <w:r>
        <w:rPr>
          <w:snapToGrid w:val="0"/>
        </w:rPr>
        <w:tab/>
        <w:t>(6)</w:t>
      </w:r>
      <w:r>
        <w:rPr>
          <w:snapToGrid w:val="0"/>
        </w:rPr>
        <w:tab/>
        <w:t>A certificate signed by the Commissioner and stating that the person named in that certificate was, at the time or during the period specified in that certificate, an authorised person acting as an undercover officer shall, for the purposes of this section, be sufficient evidence of that fact unless the contrary is proved.</w:t>
      </w:r>
    </w:p>
    <w:p>
      <w:pPr>
        <w:pStyle w:val="Subsection"/>
        <w:rPr>
          <w:snapToGrid w:val="0"/>
        </w:rPr>
      </w:pPr>
      <w:r>
        <w:rPr>
          <w:snapToGrid w:val="0"/>
        </w:rPr>
        <w:tab/>
        <w:t>(7)</w:t>
      </w:r>
      <w:r>
        <w:rPr>
          <w:snapToGrid w:val="0"/>
        </w:rPr>
        <w:tab/>
        <w:t>The Commissioner shall, whenever requested to do so by the Minister, furnish the Minister with a report in writing containing such particulars of the activities of authorised persons as the Minister requires.</w:t>
      </w:r>
    </w:p>
    <w:p>
      <w:pPr>
        <w:pStyle w:val="Subsection"/>
        <w:rPr>
          <w:snapToGrid w:val="0"/>
        </w:rPr>
      </w:pPr>
      <w:r>
        <w:rPr>
          <w:snapToGrid w:val="0"/>
        </w:rPr>
        <w:tab/>
        <w:t>(8)</w:t>
      </w:r>
      <w:r>
        <w:rPr>
          <w:snapToGrid w:val="0"/>
        </w:rPr>
        <w:tab/>
        <w:t>In this section — </w:t>
      </w:r>
    </w:p>
    <w:p>
      <w:pPr>
        <w:pStyle w:val="Defstart"/>
      </w:pPr>
      <w:r>
        <w:rPr>
          <w:b/>
        </w:rPr>
        <w:tab/>
      </w:r>
      <w:r>
        <w:rPr>
          <w:rStyle w:val="CharDefText"/>
        </w:rPr>
        <w:t>authorised person</w:t>
      </w:r>
      <w:r>
        <w:t xml:space="preserve"> means person authorised under subsection (1) to act as an undercover officer, which authority has not been revoked under that subsection;</w:t>
      </w:r>
    </w:p>
    <w:p>
      <w:pPr>
        <w:pStyle w:val="Defstart"/>
      </w:pPr>
      <w:r>
        <w:rPr>
          <w:b/>
        </w:rPr>
        <w:tab/>
      </w:r>
      <w:r>
        <w:rPr>
          <w:rStyle w:val="CharDefText"/>
        </w:rPr>
        <w:t>undercover officer</w:t>
      </w:r>
      <w:r>
        <w:t xml:space="preserve"> means person whose identity or purpose is for the time being concealed for the purpose of detecting the commission of an offence.</w:t>
      </w:r>
    </w:p>
    <w:p>
      <w:pPr>
        <w:pStyle w:val="Footnotesection"/>
        <w:ind w:left="890" w:hanging="890"/>
      </w:pPr>
      <w:r>
        <w:tab/>
        <w:t xml:space="preserve">[Section 31 amended by No. 44 of 1995 s. 11.] </w:t>
      </w:r>
    </w:p>
    <w:p>
      <w:pPr>
        <w:pStyle w:val="Heading5"/>
        <w:rPr>
          <w:snapToGrid w:val="0"/>
        </w:rPr>
      </w:pPr>
      <w:bookmarkStart w:id="446" w:name="_Toc503149560"/>
      <w:bookmarkStart w:id="447" w:name="_Toc534613855"/>
      <w:bookmarkStart w:id="448" w:name="_Toc535053894"/>
      <w:bookmarkStart w:id="449" w:name="_Toc109615268"/>
      <w:bookmarkStart w:id="450" w:name="_Toc215543754"/>
      <w:bookmarkStart w:id="451" w:name="_Toc290558546"/>
      <w:r>
        <w:rPr>
          <w:rStyle w:val="CharSectno"/>
        </w:rPr>
        <w:t>32</w:t>
      </w:r>
      <w:r>
        <w:rPr>
          <w:snapToGrid w:val="0"/>
        </w:rPr>
        <w:t>.</w:t>
      </w:r>
      <w:r>
        <w:rPr>
          <w:snapToGrid w:val="0"/>
        </w:rPr>
        <w:tab/>
        <w:t>No limitation</w:t>
      </w:r>
      <w:bookmarkEnd w:id="446"/>
      <w:bookmarkEnd w:id="447"/>
      <w:bookmarkEnd w:id="448"/>
      <w:bookmarkEnd w:id="449"/>
      <w:bookmarkEnd w:id="450"/>
      <w:bookmarkEnd w:id="451"/>
    </w:p>
    <w:p>
      <w:pPr>
        <w:pStyle w:val="Subsection"/>
        <w:rPr>
          <w:snapToGrid w:val="0"/>
        </w:rPr>
      </w:pPr>
      <w:r>
        <w:rPr>
          <w:snapToGrid w:val="0"/>
        </w:rPr>
        <w:tab/>
      </w:r>
      <w:r>
        <w:rPr>
          <w:snapToGrid w:val="0"/>
        </w:rPr>
        <w:tab/>
        <w:t>A prosecution for an offence may be brought at any time.</w:t>
      </w:r>
    </w:p>
    <w:p>
      <w:pPr>
        <w:pStyle w:val="Heading5"/>
        <w:rPr>
          <w:snapToGrid w:val="0"/>
        </w:rPr>
      </w:pPr>
      <w:bookmarkStart w:id="452" w:name="_Toc503149561"/>
      <w:bookmarkStart w:id="453" w:name="_Toc534613856"/>
      <w:bookmarkStart w:id="454" w:name="_Toc535053895"/>
      <w:bookmarkStart w:id="455" w:name="_Toc109615269"/>
      <w:bookmarkStart w:id="456" w:name="_Toc215543755"/>
      <w:bookmarkStart w:id="457" w:name="_Toc290558547"/>
      <w:r>
        <w:rPr>
          <w:rStyle w:val="CharSectno"/>
        </w:rPr>
        <w:t>32A</w:t>
      </w:r>
      <w:r>
        <w:rPr>
          <w:snapToGrid w:val="0"/>
        </w:rPr>
        <w:t xml:space="preserve">. </w:t>
      </w:r>
      <w:r>
        <w:rPr>
          <w:snapToGrid w:val="0"/>
        </w:rPr>
        <w:tab/>
        <w:t>Drug trafficking</w:t>
      </w:r>
      <w:bookmarkEnd w:id="452"/>
      <w:bookmarkEnd w:id="453"/>
      <w:bookmarkEnd w:id="454"/>
      <w:bookmarkEnd w:id="455"/>
      <w:bookmarkEnd w:id="456"/>
      <w:bookmarkEnd w:id="457"/>
    </w:p>
    <w:p>
      <w:pPr>
        <w:pStyle w:val="Subsection"/>
        <w:rPr>
          <w:snapToGrid w:val="0"/>
        </w:rPr>
      </w:pPr>
      <w:r>
        <w:rPr>
          <w:snapToGrid w:val="0"/>
        </w:rPr>
        <w:tab/>
        <w:t>(1)</w:t>
      </w:r>
      <w:r>
        <w:rPr>
          <w:snapToGrid w:val="0"/>
        </w:rPr>
        <w:tab/>
        <w:t>If a person is convicted of — </w:t>
      </w:r>
    </w:p>
    <w:p>
      <w:pPr>
        <w:pStyle w:val="Indenta"/>
        <w:rPr>
          <w:snapToGrid w:val="0"/>
        </w:rPr>
      </w:pPr>
      <w:r>
        <w:rPr>
          <w:snapToGrid w:val="0"/>
        </w:rPr>
        <w:tab/>
        <w:t>(a)</w:t>
      </w:r>
      <w:r>
        <w:rPr>
          <w:snapToGrid w:val="0"/>
        </w:rPr>
        <w:tab/>
        <w:t>a serious drug offence and has, during the period of 10 years ending on the day, or the first of the days, as the case requires, on which the serious drug offence was committed, been convicted of 2 or more — </w:t>
      </w:r>
    </w:p>
    <w:p>
      <w:pPr>
        <w:pStyle w:val="Indenti"/>
        <w:rPr>
          <w:snapToGrid w:val="0"/>
        </w:rPr>
      </w:pPr>
      <w:r>
        <w:rPr>
          <w:snapToGrid w:val="0"/>
        </w:rPr>
        <w:tab/>
        <w:t>(i)</w:t>
      </w:r>
      <w:r>
        <w:rPr>
          <w:snapToGrid w:val="0"/>
        </w:rPr>
        <w:tab/>
        <w:t>serious drug offences;</w:t>
      </w:r>
    </w:p>
    <w:p>
      <w:pPr>
        <w:pStyle w:val="Indenti"/>
        <w:rPr>
          <w:snapToGrid w:val="0"/>
        </w:rPr>
      </w:pPr>
      <w:r>
        <w:rPr>
          <w:snapToGrid w:val="0"/>
        </w:rPr>
        <w:tab/>
        <w:t>(ii)</w:t>
      </w:r>
      <w:r>
        <w:rPr>
          <w:snapToGrid w:val="0"/>
        </w:rPr>
        <w:tab/>
        <w:t>external serious drug offences; or</w:t>
      </w:r>
    </w:p>
    <w:p>
      <w:pPr>
        <w:pStyle w:val="Indenti"/>
        <w:rPr>
          <w:snapToGrid w:val="0"/>
        </w:rPr>
      </w:pPr>
      <w:r>
        <w:rPr>
          <w:snapToGrid w:val="0"/>
        </w:rPr>
        <w:tab/>
        <w:t>(iii)</w:t>
      </w:r>
      <w:r>
        <w:rPr>
          <w:snapToGrid w:val="0"/>
        </w:rPr>
        <w:tab/>
        <w:t>offences, one or more of which are serious drug offences and one or more of which are external serious drug offences;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serious drug offence in respect of — </w:t>
      </w:r>
    </w:p>
    <w:p>
      <w:pPr>
        <w:pStyle w:val="Indenti"/>
        <w:rPr>
          <w:snapToGrid w:val="0"/>
        </w:rPr>
      </w:pPr>
      <w:r>
        <w:rPr>
          <w:snapToGrid w:val="0"/>
        </w:rPr>
        <w:tab/>
        <w:t>(i)</w:t>
      </w:r>
      <w:r>
        <w:rPr>
          <w:snapToGrid w:val="0"/>
        </w:rPr>
        <w:tab/>
        <w:t>a prohibited drug in a quantity which is not less than the quantity specified in Schedule VII in relation to the prohibited drug; or</w:t>
      </w:r>
    </w:p>
    <w:p>
      <w:pPr>
        <w:pStyle w:val="Indenti"/>
        <w:rPr>
          <w:snapToGrid w:val="0"/>
        </w:rPr>
      </w:pPr>
      <w:r>
        <w:rPr>
          <w:snapToGrid w:val="0"/>
        </w:rPr>
        <w:tab/>
        <w:t>(ii)</w:t>
      </w:r>
      <w:r>
        <w:rPr>
          <w:snapToGrid w:val="0"/>
        </w:rPr>
        <w:tab/>
        <w:t>prohibited plants in a number which is not less than the number specified in Schedule VIII in relation to the particular species or genus to which those prohibited plants belong,</w:t>
      </w:r>
    </w:p>
    <w:p>
      <w:pPr>
        <w:pStyle w:val="Subsection"/>
        <w:rPr>
          <w:snapToGrid w:val="0"/>
        </w:rPr>
      </w:pPr>
      <w:r>
        <w:rPr>
          <w:snapToGrid w:val="0"/>
        </w:rPr>
        <w:tab/>
      </w:r>
      <w:r>
        <w:rPr>
          <w:snapToGrid w:val="0"/>
        </w:rPr>
        <w:tab/>
        <w:t xml:space="preserve">the court convicting the person of the serious drug offence first referred to in paragraph (a), or the serious drug offence referred to in paragraph (b), as the case requires, shall on the application of </w:t>
      </w:r>
      <w:r>
        <w:t>the Director of Public Prosecutions or a police prosecutor</w:t>
      </w:r>
      <w:r>
        <w:rPr>
          <w:snapToGrid w:val="0"/>
        </w:rPr>
        <w:t xml:space="preserve"> declare the person to be a drug trafficker.</w:t>
      </w:r>
    </w:p>
    <w:p>
      <w:pPr>
        <w:pStyle w:val="Subsection"/>
        <w:rPr>
          <w:snapToGrid w:val="0"/>
        </w:rPr>
      </w:pPr>
      <w:r>
        <w:rPr>
          <w:snapToGrid w:val="0"/>
        </w:rPr>
        <w:tab/>
        <w:t>(2)</w:t>
      </w:r>
      <w:r>
        <w:rPr>
          <w:snapToGrid w:val="0"/>
        </w:rPr>
        <w:tab/>
        <w:t>An application for a declaration under subsection (1) may be made at the time of the conviction giving rise to that application or at any time within 6 months from the day of that conviction, and more than one such application may be made in respect of that conviction.</w:t>
      </w:r>
    </w:p>
    <w:p>
      <w:pPr>
        <w:pStyle w:val="Subsection"/>
        <w:rPr>
          <w:snapToGrid w:val="0"/>
        </w:rPr>
      </w:pPr>
      <w:r>
        <w:rPr>
          <w:snapToGrid w:val="0"/>
        </w:rPr>
        <w:tab/>
        <w:t>(3)</w:t>
      </w:r>
      <w:r>
        <w:rPr>
          <w:snapToGrid w:val="0"/>
        </w:rPr>
        <w:tab/>
        <w:t>In this section — </w:t>
      </w:r>
    </w:p>
    <w:p>
      <w:pPr>
        <w:pStyle w:val="Defstart"/>
      </w:pPr>
      <w:r>
        <w:rPr>
          <w:b/>
        </w:rPr>
        <w:tab/>
      </w:r>
      <w:r>
        <w:rPr>
          <w:rStyle w:val="CharDefText"/>
        </w:rPr>
        <w:t>external serious drug offence</w:t>
      </w:r>
      <w:r>
        <w:t xml:space="preserve"> means — </w:t>
      </w:r>
    </w:p>
    <w:p>
      <w:pPr>
        <w:pStyle w:val="Defpara"/>
      </w:pPr>
      <w:r>
        <w:tab/>
        <w:t>(a)</w:t>
      </w:r>
      <w:r>
        <w:tab/>
        <w:t>offence against a law of the Commonwealth, of another State, or of a Territory, which offence is prescribed to correspond to a crime under section 6(1), 7(1), 33(1)(a) or 33(2)(a); or</w:t>
      </w:r>
    </w:p>
    <w:p>
      <w:pPr>
        <w:pStyle w:val="Defpara"/>
      </w:pPr>
      <w:r>
        <w:tab/>
        <w:t>(b)</w:t>
      </w:r>
      <w:r>
        <w:tab/>
        <w:t>offence against —</w:t>
      </w:r>
    </w:p>
    <w:p>
      <w:pPr>
        <w:pStyle w:val="Defsubpara"/>
      </w:pPr>
      <w:r>
        <w:tab/>
        <w:t>(i)</w:t>
      </w:r>
      <w:r>
        <w:tab/>
        <w:t xml:space="preserve">the repealed section 233B of the </w:t>
      </w:r>
      <w:r>
        <w:rPr>
          <w:i/>
        </w:rPr>
        <w:t>Customs Act 1901</w:t>
      </w:r>
      <w:r>
        <w:t xml:space="preserve"> of the Commonwealth; or</w:t>
      </w:r>
    </w:p>
    <w:p>
      <w:pPr>
        <w:pStyle w:val="Defsubpara"/>
        <w:rPr>
          <w:b/>
        </w:rPr>
      </w:pPr>
      <w:r>
        <w:tab/>
        <w:t>(ii)</w:t>
      </w:r>
      <w:r>
        <w:tab/>
        <w:t>a law of the Commonwealth, which offence is prescribed to correspond to an offence against that repealed section;</w:t>
      </w:r>
    </w:p>
    <w:p>
      <w:pPr>
        <w:pStyle w:val="Defstart"/>
        <w:keepNext/>
      </w:pPr>
      <w:r>
        <w:rPr>
          <w:b/>
        </w:rPr>
        <w:tab/>
      </w:r>
      <w:r>
        <w:rPr>
          <w:rStyle w:val="CharDefText"/>
        </w:rPr>
        <w:t>serious drug offence</w:t>
      </w:r>
      <w:r>
        <w:t xml:space="preserve"> means a crime under section 6(1), 7(1), 33(1)(a) or 33(2)(a).</w:t>
      </w:r>
    </w:p>
    <w:p>
      <w:pPr>
        <w:pStyle w:val="Footnotesection"/>
      </w:pPr>
      <w:r>
        <w:tab/>
        <w:t>[Section 32A inserted by No. 50 of 1990 s. 4; amended by No. 69 of 2000 s. 5(2) and (3); No. 4 of 2004 s. 58; No. 62 of 2004 s. 7; No. 40 of 2006 s. 4.]</w:t>
      </w:r>
    </w:p>
    <w:p>
      <w:pPr>
        <w:pStyle w:val="Heading5"/>
        <w:rPr>
          <w:snapToGrid w:val="0"/>
        </w:rPr>
      </w:pPr>
      <w:bookmarkStart w:id="458" w:name="_Toc503149562"/>
      <w:bookmarkStart w:id="459" w:name="_Toc534613857"/>
      <w:bookmarkStart w:id="460" w:name="_Toc535053896"/>
      <w:bookmarkStart w:id="461" w:name="_Toc109615270"/>
      <w:bookmarkStart w:id="462" w:name="_Toc215543756"/>
      <w:bookmarkStart w:id="463" w:name="_Toc290558548"/>
      <w:r>
        <w:rPr>
          <w:rStyle w:val="CharSectno"/>
        </w:rPr>
        <w:t>33</w:t>
      </w:r>
      <w:r>
        <w:rPr>
          <w:snapToGrid w:val="0"/>
        </w:rPr>
        <w:t>.</w:t>
      </w:r>
      <w:r>
        <w:rPr>
          <w:snapToGrid w:val="0"/>
        </w:rPr>
        <w:tab/>
        <w:t>Attempts, conspiracies, incitements and accessories after the fact</w:t>
      </w:r>
      <w:bookmarkEnd w:id="458"/>
      <w:bookmarkEnd w:id="459"/>
      <w:bookmarkEnd w:id="460"/>
      <w:bookmarkEnd w:id="461"/>
      <w:bookmarkEnd w:id="462"/>
      <w:bookmarkEnd w:id="463"/>
    </w:p>
    <w:p>
      <w:pPr>
        <w:pStyle w:val="Subsection"/>
      </w:pPr>
      <w:r>
        <w:tab/>
        <w:t>(1)</w:t>
      </w:r>
      <w:r>
        <w:tab/>
        <w:t xml:space="preserve">A person who attempts to commit an offence (the </w:t>
      </w:r>
      <w:r>
        <w:rPr>
          <w:rStyle w:val="CharDefText"/>
        </w:rPr>
        <w:t>principal offence</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and is liable on conviction to the same penalty to which a person who commits the principal offence is liable.</w:t>
      </w:r>
    </w:p>
    <w:p>
      <w:pPr>
        <w:pStyle w:val="Subsection"/>
        <w:rPr>
          <w:snapToGrid w:val="0"/>
        </w:rPr>
      </w:pPr>
      <w:r>
        <w:rPr>
          <w:snapToGrid w:val="0"/>
        </w:rPr>
        <w:tab/>
        <w:t>(2)</w:t>
      </w:r>
      <w:r>
        <w:rPr>
          <w:snapToGrid w:val="0"/>
        </w:rPr>
        <w:tab/>
        <w:t xml:space="preserve">A person </w:t>
      </w:r>
      <w:r>
        <w:t>who</w:t>
      </w:r>
      <w:r>
        <w:rPr>
          <w:snapToGrid w:val="0"/>
        </w:rPr>
        <w:t xml:space="preserve"> conspires with another to commit an offence (in this subsection called </w:t>
      </w:r>
      <w:r>
        <w:rPr>
          <w:rStyle w:val="CharDefText"/>
        </w:rPr>
        <w:t>the principal offence</w:t>
      </w:r>
      <w:r>
        <w:rPr>
          <w:snapToGrid w:val="0"/>
        </w:rPr>
        <w:t>) commits — </w:t>
      </w:r>
    </w:p>
    <w:p>
      <w:pPr>
        <w:pStyle w:val="Indenta"/>
        <w:rPr>
          <w:snapToGrid w:val="0"/>
        </w:rPr>
      </w:pPr>
      <w:r>
        <w:rPr>
          <w:snapToGrid w:val="0"/>
        </w:rPr>
        <w:tab/>
        <w:t>(a)</w:t>
      </w:r>
      <w:r>
        <w:rPr>
          <w:snapToGrid w:val="0"/>
        </w:rPr>
        <w:tab/>
        <w:t>if the principal offence is a crime under section 6(1) or 7(1) the crime, but is liable on conviction to the penalty referred to in section 34(1)(b); or</w:t>
      </w:r>
    </w:p>
    <w:p>
      <w:pPr>
        <w:pStyle w:val="Indenta"/>
        <w:rPr>
          <w:snapToGrid w:val="0"/>
        </w:rPr>
      </w:pPr>
      <w:r>
        <w:rPr>
          <w:snapToGrid w:val="0"/>
        </w:rPr>
        <w:tab/>
        <w:t>(b)</w:t>
      </w:r>
      <w:r>
        <w:rPr>
          <w:snapToGrid w:val="0"/>
        </w:rPr>
        <w:tab/>
        <w:t>if the principal offence is a simple offence or a crime, other than a crime referred to in paragraph (a), the simple offence or that crime, as the case requires, and is liable on conviction to the same penalty to which a person who commits the principal offence is liable.</w:t>
      </w:r>
    </w:p>
    <w:p>
      <w:pPr>
        <w:pStyle w:val="Subsection"/>
      </w:pPr>
      <w:r>
        <w:tab/>
        <w:t>(3)</w:t>
      </w:r>
      <w:r>
        <w:tab/>
        <w:t xml:space="preserve">A person who incites another person to commit, or becomes an accessory after the fact to, an offence (the </w:t>
      </w:r>
      <w:r>
        <w:rPr>
          <w:rStyle w:val="CharDefText"/>
        </w:rPr>
        <w:t>principal offence</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 xml:space="preserve">but is liable on conviction — </w:t>
      </w:r>
    </w:p>
    <w:p>
      <w:pPr>
        <w:pStyle w:val="Indenta"/>
      </w:pPr>
      <w:r>
        <w:tab/>
        <w:t>(c)</w:t>
      </w:r>
      <w:r>
        <w:tab/>
        <w:t>to a fine not exceeding half of the fine; and</w:t>
      </w:r>
    </w:p>
    <w:p>
      <w:pPr>
        <w:pStyle w:val="Indenta"/>
      </w:pPr>
      <w:r>
        <w:tab/>
        <w:t>(d)</w:t>
      </w:r>
      <w:r>
        <w:tab/>
        <w:t>to imprisonment for a term not exceeding half of the term,</w:t>
      </w:r>
    </w:p>
    <w:p>
      <w:pPr>
        <w:pStyle w:val="Subsection"/>
        <w:rPr>
          <w:snapToGrid w:val="0"/>
        </w:rPr>
      </w:pPr>
      <w:r>
        <w:tab/>
      </w:r>
      <w:r>
        <w:tab/>
        <w:t>to which a person who commits the principal offence is liable.</w:t>
      </w:r>
    </w:p>
    <w:p>
      <w:pPr>
        <w:pStyle w:val="Footnotesection"/>
        <w:ind w:left="890" w:hanging="890"/>
      </w:pPr>
      <w:r>
        <w:tab/>
        <w:t>[Section 33 amended by No. 4 of 2004 s. 58; No. 62 of 2004 s. 8.]</w:t>
      </w:r>
    </w:p>
    <w:p>
      <w:pPr>
        <w:pStyle w:val="Heading5"/>
        <w:keepNext w:val="0"/>
        <w:keepLines w:val="0"/>
        <w:rPr>
          <w:snapToGrid w:val="0"/>
        </w:rPr>
      </w:pPr>
      <w:bookmarkStart w:id="464" w:name="_Toc503149563"/>
      <w:bookmarkStart w:id="465" w:name="_Toc534613858"/>
      <w:bookmarkStart w:id="466" w:name="_Toc535053897"/>
      <w:bookmarkStart w:id="467" w:name="_Toc109615271"/>
      <w:bookmarkStart w:id="468" w:name="_Toc215543757"/>
      <w:bookmarkStart w:id="469" w:name="_Toc290558549"/>
      <w:r>
        <w:rPr>
          <w:rStyle w:val="CharSectno"/>
        </w:rPr>
        <w:t>34</w:t>
      </w:r>
      <w:r>
        <w:rPr>
          <w:snapToGrid w:val="0"/>
        </w:rPr>
        <w:t>.</w:t>
      </w:r>
      <w:r>
        <w:rPr>
          <w:snapToGrid w:val="0"/>
        </w:rPr>
        <w:tab/>
        <w:t>Penalties</w:t>
      </w:r>
      <w:bookmarkEnd w:id="464"/>
      <w:bookmarkEnd w:id="465"/>
      <w:bookmarkEnd w:id="466"/>
      <w:bookmarkEnd w:id="467"/>
      <w:bookmarkEnd w:id="468"/>
      <w:bookmarkEnd w:id="469"/>
    </w:p>
    <w:p>
      <w:pPr>
        <w:pStyle w:val="Subsection"/>
        <w:rPr>
          <w:snapToGrid w:val="0"/>
        </w:rPr>
      </w:pPr>
      <w:r>
        <w:rPr>
          <w:snapToGrid w:val="0"/>
        </w:rPr>
        <w:tab/>
        <w:t>(1)</w:t>
      </w:r>
      <w:r>
        <w:rPr>
          <w:snapToGrid w:val="0"/>
        </w:rPr>
        <w:tab/>
        <w:t>Subject to subsection (2), a person who is convicted of — </w:t>
      </w:r>
    </w:p>
    <w:p>
      <w:pPr>
        <w:pStyle w:val="Indenta"/>
        <w:rPr>
          <w:snapToGrid w:val="0"/>
        </w:rPr>
      </w:pPr>
      <w:r>
        <w:rPr>
          <w:snapToGrid w:val="0"/>
        </w:rPr>
        <w:tab/>
        <w:t>(a)</w:t>
      </w:r>
      <w:r>
        <w:rPr>
          <w:snapToGrid w:val="0"/>
        </w:rPr>
        <w:tab/>
        <w:t>a crime under section 6(1) or 7(1) is liable to a fine not exceeding $100 000 or to imprisonment for a term not exceeding 25 years or both;</w:t>
      </w:r>
    </w:p>
    <w:p>
      <w:pPr>
        <w:pStyle w:val="Indenta"/>
        <w:rPr>
          <w:snapToGrid w:val="0"/>
        </w:rPr>
      </w:pPr>
      <w:r>
        <w:rPr>
          <w:snapToGrid w:val="0"/>
        </w:rPr>
        <w:tab/>
        <w:t>(b)</w:t>
      </w:r>
      <w:r>
        <w:rPr>
          <w:snapToGrid w:val="0"/>
        </w:rPr>
        <w:tab/>
        <w:t>conspiring with another to commit a crime under section 6(1) or 7(1) is liable to a fine not exceeding $75 000 or to imprisonment for a term not exceeding 20 years or both;</w:t>
      </w:r>
    </w:p>
    <w:p>
      <w:pPr>
        <w:pStyle w:val="Indenta"/>
      </w:pPr>
      <w:r>
        <w:tab/>
        <w:t>(c)</w:t>
      </w:r>
      <w:r>
        <w:tab/>
        <w:t xml:space="preserve">an offence under section 7A(1) is liable — </w:t>
      </w:r>
    </w:p>
    <w:p>
      <w:pPr>
        <w:pStyle w:val="Indenti"/>
      </w:pPr>
      <w:r>
        <w:tab/>
        <w:t>(i)</w:t>
      </w:r>
      <w:r>
        <w:tab/>
        <w:t>if convicted on indictment, to a fine not exceeding $20 000 or to imprisonment for a term not exceeding 5 years or both;</w:t>
      </w:r>
    </w:p>
    <w:p>
      <w:pPr>
        <w:pStyle w:val="Indenti"/>
      </w:pPr>
      <w:r>
        <w:tab/>
        <w:t>(ii)</w:t>
      </w:r>
      <w:r>
        <w:tab/>
        <w:t>if convicted by a summary court, to a fine not exceeding $2 000 or to imprisonment for a term not exceeding 2 years or both;</w:t>
      </w:r>
    </w:p>
    <w:p>
      <w:pPr>
        <w:pStyle w:val="Indenta"/>
        <w:rPr>
          <w:snapToGrid w:val="0"/>
        </w:rPr>
      </w:pPr>
      <w:r>
        <w:rPr>
          <w:snapToGrid w:val="0"/>
        </w:rPr>
        <w:tab/>
        <w:t>(d)</w:t>
      </w:r>
      <w:r>
        <w:rPr>
          <w:snapToGrid w:val="0"/>
        </w:rPr>
        <w:tab/>
        <w:t xml:space="preserve">a simple offence under section 5(1) (other than a simple offence under section 5(1)(e)), 8, 25(2) or 29 is liable to a fine not exceeding $3 000 or to imprisonment for a term not exceeding 3 years or both; </w:t>
      </w:r>
    </w:p>
    <w:p>
      <w:pPr>
        <w:pStyle w:val="Indenta"/>
      </w:pPr>
      <w:r>
        <w:rPr>
          <w:snapToGrid w:val="0"/>
        </w:rPr>
        <w:tab/>
        <w:t>(e)</w:t>
      </w:r>
      <w:r>
        <w:rPr>
          <w:snapToGrid w:val="0"/>
        </w:rPr>
        <w:tab/>
        <w:t>a simple offence under section 5(1)(e), 6(2), 7(2), 7A(3) or 31(4) is liable to a fine not exceeding $2 000 or to imprisonment for a term not exceeding 2 years or both</w:t>
      </w:r>
      <w:r>
        <w:t>; or</w:t>
      </w:r>
    </w:p>
    <w:p>
      <w:pPr>
        <w:pStyle w:val="Indenta"/>
        <w:rPr>
          <w:snapToGrid w:val="0"/>
        </w:rPr>
      </w:pPr>
      <w:r>
        <w:tab/>
        <w:t>(f)</w:t>
      </w:r>
      <w:r>
        <w:tab/>
        <w:t>a simple offence under section 15(1), (2) or (3), 16(1) or (2), 17(1) or (2), or 18(1) or (2) is liable to a fine not exceeding $5 000 for a first offence and to a fine not exceeding $15 000 for any subsequent offence under the same provision.</w:t>
      </w:r>
    </w:p>
    <w:p>
      <w:pPr>
        <w:pStyle w:val="Subsection"/>
        <w:rPr>
          <w:snapToGrid w:val="0"/>
        </w:rPr>
      </w:pPr>
      <w:r>
        <w:rPr>
          <w:snapToGrid w:val="0"/>
        </w:rPr>
        <w:tab/>
        <w:t>(2)</w:t>
      </w:r>
      <w:r>
        <w:rPr>
          <w:snapToGrid w:val="0"/>
        </w:rPr>
        <w:tab/>
        <w:t>A person who is convicted of a crime referred to in subsection (1)(a) — </w:t>
      </w:r>
    </w:p>
    <w:p>
      <w:pPr>
        <w:pStyle w:val="Indenta"/>
        <w:rPr>
          <w:snapToGrid w:val="0"/>
        </w:rPr>
      </w:pPr>
      <w:r>
        <w:rPr>
          <w:snapToGrid w:val="0"/>
        </w:rPr>
        <w:tab/>
        <w:t>(a)</w:t>
      </w:r>
      <w:r>
        <w:rPr>
          <w:snapToGrid w:val="0"/>
        </w:rPr>
        <w:tab/>
        <w:t>being a crime — </w:t>
      </w:r>
    </w:p>
    <w:p>
      <w:pPr>
        <w:pStyle w:val="Indenti"/>
        <w:rPr>
          <w:snapToGrid w:val="0"/>
        </w:rPr>
      </w:pPr>
      <w:r>
        <w:rPr>
          <w:snapToGrid w:val="0"/>
        </w:rPr>
        <w:tab/>
        <w:t>(i)</w:t>
      </w:r>
      <w:r>
        <w:rPr>
          <w:snapToGrid w:val="0"/>
        </w:rPr>
        <w:tab/>
        <w:t>relating only to cannabis; and</w:t>
      </w:r>
    </w:p>
    <w:p>
      <w:pPr>
        <w:pStyle w:val="Indenti"/>
        <w:rPr>
          <w:snapToGrid w:val="0"/>
        </w:rPr>
      </w:pPr>
      <w:r>
        <w:rPr>
          <w:snapToGrid w:val="0"/>
        </w:rPr>
        <w:tab/>
        <w:t>(ii)</w:t>
      </w:r>
      <w:r>
        <w:rPr>
          <w:snapToGrid w:val="0"/>
        </w:rPr>
        <w:tab/>
        <w:t>not relating to cannabis resin or any other cannabis derivative or to any prohibited drug or a prohibited plant other than cannabis,</w:t>
      </w:r>
    </w:p>
    <w:p>
      <w:pPr>
        <w:pStyle w:val="Indenta"/>
        <w:rPr>
          <w:snapToGrid w:val="0"/>
        </w:rPr>
      </w:pPr>
      <w:r>
        <w:rPr>
          <w:snapToGrid w:val="0"/>
        </w:rPr>
        <w:tab/>
      </w:r>
      <w:r>
        <w:rPr>
          <w:snapToGrid w:val="0"/>
        </w:rPr>
        <w:tab/>
        <w:t>is liable, if sentenced by the District Court or the Supreme Court, to a fine not exceeding $20 000 or to imprisonment for a term not exceeding 10 years or both; or</w:t>
      </w:r>
    </w:p>
    <w:p>
      <w:pPr>
        <w:pStyle w:val="Indenta"/>
        <w:rPr>
          <w:snapToGrid w:val="0"/>
        </w:rPr>
      </w:pPr>
      <w:r>
        <w:rPr>
          <w:snapToGrid w:val="0"/>
        </w:rPr>
        <w:tab/>
        <w:t>(b)</w:t>
      </w:r>
      <w:r>
        <w:rPr>
          <w:snapToGrid w:val="0"/>
        </w:rPr>
        <w:tab/>
        <w:t>is liable, if sentenced by a summary court, to a fine not exceeding $5 000 or to imprisonment for a term not exceeding 4 years or both.</w:t>
      </w:r>
    </w:p>
    <w:p>
      <w:pPr>
        <w:pStyle w:val="Footnotesection"/>
      </w:pPr>
      <w:r>
        <w:tab/>
        <w:t>[Section 34 amended by No. 44 of 1995 s. 12; No. 52 of 2003 s. 31; No. 4 of 2004 s. 58; No. 62 of 2004 s. 6.]</w:t>
      </w:r>
    </w:p>
    <w:p>
      <w:pPr>
        <w:pStyle w:val="Heading5"/>
        <w:rPr>
          <w:snapToGrid w:val="0"/>
        </w:rPr>
      </w:pPr>
      <w:bookmarkStart w:id="470" w:name="_Toc503149564"/>
      <w:bookmarkStart w:id="471" w:name="_Toc534613859"/>
      <w:bookmarkStart w:id="472" w:name="_Toc535053898"/>
      <w:bookmarkStart w:id="473" w:name="_Toc109615272"/>
      <w:bookmarkStart w:id="474" w:name="_Toc215543758"/>
      <w:bookmarkStart w:id="475" w:name="_Toc290558550"/>
      <w:r>
        <w:rPr>
          <w:rStyle w:val="CharSectno"/>
        </w:rPr>
        <w:t>35</w:t>
      </w:r>
      <w:r>
        <w:rPr>
          <w:snapToGrid w:val="0"/>
        </w:rPr>
        <w:t>.</w:t>
      </w:r>
      <w:r>
        <w:rPr>
          <w:snapToGrid w:val="0"/>
        </w:rPr>
        <w:tab/>
        <w:t>Criminal liability of company officers</w:t>
      </w:r>
      <w:bookmarkEnd w:id="470"/>
      <w:bookmarkEnd w:id="471"/>
      <w:bookmarkEnd w:id="472"/>
      <w:bookmarkEnd w:id="473"/>
      <w:bookmarkEnd w:id="474"/>
      <w:bookmarkEnd w:id="475"/>
    </w:p>
    <w:p>
      <w:pPr>
        <w:pStyle w:val="Subsection"/>
        <w:rPr>
          <w:snapToGrid w:val="0"/>
        </w:rPr>
      </w:pPr>
      <w:r>
        <w:rPr>
          <w:snapToGrid w:val="0"/>
        </w:rPr>
        <w:tab/>
      </w:r>
      <w:r>
        <w:rPr>
          <w:snapToGrid w:val="0"/>
        </w:rPr>
        <w:tab/>
        <w:t>When a person convicted of an offence is a corporation, every director of the corporation and every officer concerned in the management thereof is guilty of the like offence unless he proves that the act or omission constituting the offence took place without his knowledge or consent.</w:t>
      </w:r>
    </w:p>
    <w:p>
      <w:pPr>
        <w:pStyle w:val="Ednotesection"/>
      </w:pPr>
      <w:r>
        <w:t>[</w:t>
      </w:r>
      <w:r>
        <w:rPr>
          <w:b/>
        </w:rPr>
        <w:t>36.</w:t>
      </w:r>
      <w:r>
        <w:tab/>
        <w:t xml:space="preserve">Deleted by No. 92 of 1994 s. 26.] </w:t>
      </w:r>
    </w:p>
    <w:p>
      <w:pPr>
        <w:pStyle w:val="Heading5"/>
        <w:rPr>
          <w:snapToGrid w:val="0"/>
        </w:rPr>
      </w:pPr>
      <w:bookmarkStart w:id="476" w:name="_Toc503149565"/>
      <w:bookmarkStart w:id="477" w:name="_Toc534613860"/>
      <w:bookmarkStart w:id="478" w:name="_Toc535053899"/>
      <w:bookmarkStart w:id="479" w:name="_Toc109615273"/>
      <w:bookmarkStart w:id="480" w:name="_Toc215543759"/>
      <w:bookmarkStart w:id="481" w:name="_Toc290558551"/>
      <w:r>
        <w:rPr>
          <w:rStyle w:val="CharSectno"/>
        </w:rPr>
        <w:t>37</w:t>
      </w:r>
      <w:r>
        <w:rPr>
          <w:snapToGrid w:val="0"/>
        </w:rPr>
        <w:t>.</w:t>
      </w:r>
      <w:r>
        <w:rPr>
          <w:snapToGrid w:val="0"/>
        </w:rPr>
        <w:tab/>
        <w:t>Proof of exceptions</w:t>
      </w:r>
      <w:bookmarkEnd w:id="476"/>
      <w:bookmarkEnd w:id="477"/>
      <w:bookmarkEnd w:id="478"/>
      <w:bookmarkEnd w:id="479"/>
      <w:bookmarkEnd w:id="480"/>
      <w:bookmarkEnd w:id="481"/>
    </w:p>
    <w:p>
      <w:pPr>
        <w:pStyle w:val="Subsection"/>
        <w:rPr>
          <w:snapToGrid w:val="0"/>
        </w:rPr>
      </w:pPr>
      <w:r>
        <w:rPr>
          <w:snapToGrid w:val="0"/>
        </w:rPr>
        <w:tab/>
      </w:r>
      <w:r>
        <w:rPr>
          <w:snapToGrid w:val="0"/>
        </w:rPr>
        <w:tab/>
        <w:t>In any proceedings against a person for an offence, it is not necessary to negative by evidence any authority, licence or other matter of condition, exception, excuse, exemption, proviso or qualification and the burden of proving any such matter lies on the person seeking to avail himself thereof.</w:t>
      </w:r>
    </w:p>
    <w:p>
      <w:pPr>
        <w:pStyle w:val="Heading5"/>
        <w:rPr>
          <w:snapToGrid w:val="0"/>
        </w:rPr>
      </w:pPr>
      <w:bookmarkStart w:id="482" w:name="_Toc503149566"/>
      <w:bookmarkStart w:id="483" w:name="_Toc534613861"/>
      <w:bookmarkStart w:id="484" w:name="_Toc535053900"/>
      <w:bookmarkStart w:id="485" w:name="_Toc109615274"/>
      <w:bookmarkStart w:id="486" w:name="_Toc215543760"/>
      <w:bookmarkStart w:id="487" w:name="_Toc290558552"/>
      <w:r>
        <w:rPr>
          <w:rStyle w:val="CharSectno"/>
        </w:rPr>
        <w:t>38</w:t>
      </w:r>
      <w:r>
        <w:rPr>
          <w:snapToGrid w:val="0"/>
        </w:rPr>
        <w:t>.</w:t>
      </w:r>
      <w:r>
        <w:rPr>
          <w:snapToGrid w:val="0"/>
        </w:rPr>
        <w:tab/>
        <w:t>Certificate of approved analyst or approved botanist</w:t>
      </w:r>
      <w:bookmarkEnd w:id="482"/>
      <w:bookmarkEnd w:id="483"/>
      <w:bookmarkEnd w:id="484"/>
      <w:bookmarkEnd w:id="485"/>
      <w:bookmarkEnd w:id="486"/>
      <w:bookmarkEnd w:id="487"/>
      <w:r>
        <w:rPr>
          <w:snapToGrid w:val="0"/>
        </w:rPr>
        <w:t xml:space="preserve"> </w:t>
      </w:r>
    </w:p>
    <w:p>
      <w:pPr>
        <w:pStyle w:val="Subsection"/>
        <w:rPr>
          <w:snapToGrid w:val="0"/>
        </w:rPr>
      </w:pPr>
      <w:r>
        <w:rPr>
          <w:snapToGrid w:val="0"/>
        </w:rPr>
        <w:tab/>
        <w:t>(1)</w:t>
      </w:r>
      <w:r>
        <w:rPr>
          <w:snapToGrid w:val="0"/>
        </w:rPr>
        <w:tab/>
        <w:t>An approved analyst or an approved botanist may give a certificate in the prescribed form relating to any analysis or examination carried out by the approved analyst or approved botanist.</w:t>
      </w:r>
    </w:p>
    <w:p>
      <w:pPr>
        <w:pStyle w:val="Subsection"/>
        <w:rPr>
          <w:snapToGrid w:val="0"/>
        </w:rPr>
      </w:pPr>
      <w:r>
        <w:rPr>
          <w:snapToGrid w:val="0"/>
        </w:rPr>
        <w:tab/>
        <w:t>(2)</w:t>
      </w:r>
      <w:r>
        <w:rPr>
          <w:snapToGrid w:val="0"/>
        </w:rPr>
        <w:tab/>
        <w:t>In any proceedings against a person for an offence, production of a certificate purporting to be signed by an approved analyst or an approved botanist stating in relation to any thing — </w:t>
      </w:r>
    </w:p>
    <w:p>
      <w:pPr>
        <w:pStyle w:val="Indenta"/>
        <w:rPr>
          <w:snapToGrid w:val="0"/>
        </w:rPr>
      </w:pPr>
      <w:r>
        <w:rPr>
          <w:snapToGrid w:val="0"/>
        </w:rPr>
        <w:tab/>
        <w:t>(a)</w:t>
      </w:r>
      <w:r>
        <w:rPr>
          <w:snapToGrid w:val="0"/>
        </w:rPr>
        <w:tab/>
        <w:t>that the thing was obtained or received by the analyst or botanist for analysis or examination;</w:t>
      </w:r>
    </w:p>
    <w:p>
      <w:pPr>
        <w:pStyle w:val="Indenta"/>
        <w:rPr>
          <w:snapToGrid w:val="0"/>
        </w:rPr>
      </w:pPr>
      <w:r>
        <w:rPr>
          <w:snapToGrid w:val="0"/>
        </w:rPr>
        <w:tab/>
        <w:t>(b)</w:t>
      </w:r>
      <w:r>
        <w:rPr>
          <w:snapToGrid w:val="0"/>
        </w:rPr>
        <w:tab/>
        <w:t>how the thing was obtained, or when and from whom the thing was received;</w:t>
      </w:r>
    </w:p>
    <w:p>
      <w:pPr>
        <w:pStyle w:val="Indenta"/>
        <w:rPr>
          <w:snapToGrid w:val="0"/>
        </w:rPr>
      </w:pPr>
      <w:r>
        <w:rPr>
          <w:snapToGrid w:val="0"/>
        </w:rPr>
        <w:tab/>
        <w:t>(c)</w:t>
      </w:r>
      <w:r>
        <w:rPr>
          <w:snapToGrid w:val="0"/>
        </w:rPr>
        <w:tab/>
        <w:t>a description, and the quantity or mass, of the thing obtained or received;</w:t>
      </w:r>
    </w:p>
    <w:p>
      <w:pPr>
        <w:pStyle w:val="Indenta"/>
        <w:rPr>
          <w:snapToGrid w:val="0"/>
        </w:rPr>
      </w:pPr>
      <w:r>
        <w:rPr>
          <w:snapToGrid w:val="0"/>
        </w:rPr>
        <w:tab/>
        <w:t>(d)</w:t>
      </w:r>
      <w:r>
        <w:rPr>
          <w:snapToGrid w:val="0"/>
        </w:rPr>
        <w:tab/>
        <w:t>that the thing was analysed or examined by the analyst or botanist;</w:t>
      </w:r>
    </w:p>
    <w:p>
      <w:pPr>
        <w:pStyle w:val="Indenta"/>
        <w:rPr>
          <w:snapToGrid w:val="0"/>
        </w:rPr>
      </w:pPr>
      <w:r>
        <w:rPr>
          <w:snapToGrid w:val="0"/>
        </w:rPr>
        <w:tab/>
        <w:t>(e)</w:t>
      </w:r>
      <w:r>
        <w:rPr>
          <w:snapToGrid w:val="0"/>
        </w:rPr>
        <w:tab/>
        <w:t>the method of analysis or examination;</w:t>
      </w:r>
    </w:p>
    <w:p>
      <w:pPr>
        <w:pStyle w:val="Indenta"/>
        <w:rPr>
          <w:snapToGrid w:val="0"/>
        </w:rPr>
      </w:pPr>
      <w:r>
        <w:rPr>
          <w:snapToGrid w:val="0"/>
        </w:rPr>
        <w:tab/>
        <w:t>(f)</w:t>
      </w:r>
      <w:r>
        <w:rPr>
          <w:snapToGrid w:val="0"/>
        </w:rPr>
        <w:tab/>
        <w:t>the results of the analysis or examination; and</w:t>
      </w:r>
    </w:p>
    <w:p>
      <w:pPr>
        <w:pStyle w:val="Indenta"/>
        <w:rPr>
          <w:snapToGrid w:val="0"/>
        </w:rPr>
      </w:pPr>
      <w:r>
        <w:rPr>
          <w:snapToGrid w:val="0"/>
        </w:rPr>
        <w:tab/>
        <w:t>(g)</w:t>
      </w:r>
      <w:r>
        <w:rPr>
          <w:snapToGrid w:val="0"/>
        </w:rPr>
        <w:tab/>
        <w:t>any other matters relating to the analysis or examination,</w:t>
      </w:r>
    </w:p>
    <w:p>
      <w:pPr>
        <w:pStyle w:val="Subsection"/>
        <w:rPr>
          <w:snapToGrid w:val="0"/>
        </w:rPr>
      </w:pPr>
      <w:r>
        <w:rPr>
          <w:snapToGrid w:val="0"/>
        </w:rPr>
        <w:tab/>
      </w:r>
      <w:r>
        <w:rPr>
          <w:snapToGrid w:val="0"/>
        </w:rPr>
        <w:tab/>
        <w:t>is sufficient evidence of the facts stated in the certificate.</w:t>
      </w:r>
    </w:p>
    <w:p>
      <w:pPr>
        <w:pStyle w:val="Subsection"/>
        <w:rPr>
          <w:snapToGrid w:val="0"/>
        </w:rPr>
      </w:pPr>
      <w:r>
        <w:rPr>
          <w:snapToGrid w:val="0"/>
        </w:rPr>
        <w:tab/>
        <w:t>(3)</w:t>
      </w:r>
      <w:r>
        <w:rPr>
          <w:snapToGrid w:val="0"/>
        </w:rPr>
        <w:tab/>
        <w:t>For the purposes of subsection (2), proof is not required — </w:t>
      </w:r>
    </w:p>
    <w:p>
      <w:pPr>
        <w:pStyle w:val="Indenta"/>
        <w:rPr>
          <w:snapToGrid w:val="0"/>
        </w:rPr>
      </w:pPr>
      <w:r>
        <w:rPr>
          <w:snapToGrid w:val="0"/>
        </w:rPr>
        <w:tab/>
        <w:t>(a)</w:t>
      </w:r>
      <w:r>
        <w:rPr>
          <w:snapToGrid w:val="0"/>
        </w:rPr>
        <w:tab/>
        <w:t>of the signature of the person purporting to have signed the certificate; or</w:t>
      </w:r>
    </w:p>
    <w:p>
      <w:pPr>
        <w:pStyle w:val="Indenta"/>
        <w:rPr>
          <w:snapToGrid w:val="0"/>
        </w:rPr>
      </w:pPr>
      <w:r>
        <w:rPr>
          <w:snapToGrid w:val="0"/>
        </w:rPr>
        <w:tab/>
        <w:t>(b)</w:t>
      </w:r>
      <w:r>
        <w:rPr>
          <w:snapToGrid w:val="0"/>
        </w:rPr>
        <w:tab/>
        <w:t>that the person is an approved analyst or an approved botanist.</w:t>
      </w:r>
    </w:p>
    <w:p>
      <w:pPr>
        <w:pStyle w:val="Footnotesection"/>
      </w:pPr>
      <w:r>
        <w:tab/>
        <w:t>[Section 38 amended by No. 44 of 1995 s. 13.]</w:t>
      </w:r>
    </w:p>
    <w:p>
      <w:pPr>
        <w:pStyle w:val="Heading5"/>
        <w:rPr>
          <w:snapToGrid w:val="0"/>
        </w:rPr>
      </w:pPr>
      <w:bookmarkStart w:id="488" w:name="_Toc503149567"/>
      <w:bookmarkStart w:id="489" w:name="_Toc534613862"/>
      <w:bookmarkStart w:id="490" w:name="_Toc535053901"/>
      <w:bookmarkStart w:id="491" w:name="_Toc109615275"/>
      <w:bookmarkStart w:id="492" w:name="_Toc215543761"/>
      <w:bookmarkStart w:id="493" w:name="_Toc290558553"/>
      <w:r>
        <w:rPr>
          <w:rStyle w:val="CharSectno"/>
        </w:rPr>
        <w:t>38A</w:t>
      </w:r>
      <w:r>
        <w:rPr>
          <w:snapToGrid w:val="0"/>
        </w:rPr>
        <w:t xml:space="preserve">. </w:t>
      </w:r>
      <w:r>
        <w:rPr>
          <w:snapToGrid w:val="0"/>
        </w:rPr>
        <w:tab/>
        <w:t>Accused may obtain a copy of certificate</w:t>
      </w:r>
      <w:bookmarkEnd w:id="488"/>
      <w:bookmarkEnd w:id="489"/>
      <w:bookmarkEnd w:id="490"/>
      <w:bookmarkEnd w:id="491"/>
      <w:bookmarkEnd w:id="492"/>
      <w:bookmarkEnd w:id="493"/>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certificate has been given under section 38(1) in relation to an analysis or examination; and</w:t>
      </w:r>
    </w:p>
    <w:p>
      <w:pPr>
        <w:pStyle w:val="Indenta"/>
        <w:rPr>
          <w:snapToGrid w:val="0"/>
        </w:rPr>
      </w:pPr>
      <w:r>
        <w:rPr>
          <w:snapToGrid w:val="0"/>
        </w:rPr>
        <w:tab/>
        <w:t>(b)</w:t>
      </w:r>
      <w:r>
        <w:rPr>
          <w:snapToGrid w:val="0"/>
        </w:rPr>
        <w:tab/>
        <w:t>an accused applies to the Commissioner for a copy of the certificate,</w:t>
      </w:r>
    </w:p>
    <w:p>
      <w:pPr>
        <w:pStyle w:val="Subsection"/>
        <w:rPr>
          <w:snapToGrid w:val="0"/>
        </w:rPr>
      </w:pPr>
      <w:r>
        <w:rPr>
          <w:snapToGrid w:val="0"/>
        </w:rPr>
        <w:tab/>
      </w:r>
      <w:r>
        <w:rPr>
          <w:snapToGrid w:val="0"/>
        </w:rPr>
        <w:tab/>
        <w:t>the Commissioner shall as soon as practicable cause a copy of the certificate to be provided to the accused.</w:t>
      </w:r>
    </w:p>
    <w:p>
      <w:pPr>
        <w:pStyle w:val="Subsection"/>
        <w:rPr>
          <w:snapToGrid w:val="0"/>
        </w:rPr>
      </w:pPr>
      <w:r>
        <w:rPr>
          <w:snapToGrid w:val="0"/>
        </w:rPr>
        <w:tab/>
        <w:t>(2)</w:t>
      </w:r>
      <w:r>
        <w:rPr>
          <w:snapToGrid w:val="0"/>
        </w:rPr>
        <w:tab/>
        <w:t>An application shall be in writing in the prescribed form and shall specify the address at which a copy of the certificate can be provided to the accused.</w:t>
      </w:r>
    </w:p>
    <w:p>
      <w:pPr>
        <w:pStyle w:val="Footnotesection"/>
      </w:pPr>
      <w:r>
        <w:tab/>
        <w:t>[Section 38A inserted by No. 44 of 1995 s. 13; amended by No. 84 of 2004 s. 82.]</w:t>
      </w:r>
    </w:p>
    <w:p>
      <w:pPr>
        <w:pStyle w:val="Heading5"/>
        <w:rPr>
          <w:snapToGrid w:val="0"/>
        </w:rPr>
      </w:pPr>
      <w:bookmarkStart w:id="494" w:name="_Toc503149568"/>
      <w:bookmarkStart w:id="495" w:name="_Toc534613863"/>
      <w:bookmarkStart w:id="496" w:name="_Toc535053902"/>
      <w:bookmarkStart w:id="497" w:name="_Toc109615276"/>
      <w:bookmarkStart w:id="498" w:name="_Toc215543762"/>
      <w:bookmarkStart w:id="499" w:name="_Toc290558554"/>
      <w:r>
        <w:rPr>
          <w:rStyle w:val="CharSectno"/>
        </w:rPr>
        <w:t>38B</w:t>
      </w:r>
      <w:r>
        <w:rPr>
          <w:snapToGrid w:val="0"/>
        </w:rPr>
        <w:t xml:space="preserve">. </w:t>
      </w:r>
      <w:r>
        <w:rPr>
          <w:snapToGrid w:val="0"/>
        </w:rPr>
        <w:tab/>
        <w:t>Accused may object to use of certificate</w:t>
      </w:r>
      <w:bookmarkEnd w:id="494"/>
      <w:bookmarkEnd w:id="495"/>
      <w:bookmarkEnd w:id="496"/>
      <w:bookmarkEnd w:id="497"/>
      <w:bookmarkEnd w:id="498"/>
      <w:bookmarkEnd w:id="499"/>
    </w:p>
    <w:p>
      <w:pPr>
        <w:pStyle w:val="Subsection"/>
        <w:rPr>
          <w:snapToGrid w:val="0"/>
        </w:rPr>
      </w:pPr>
      <w:r>
        <w:rPr>
          <w:snapToGrid w:val="0"/>
        </w:rPr>
        <w:tab/>
        <w:t>(1)</w:t>
      </w:r>
      <w:r>
        <w:rPr>
          <w:snapToGrid w:val="0"/>
        </w:rPr>
        <w:tab/>
        <w:t>Section 38(2) does not apply if, not less than 21 days before the proceedings, the accused delivers notice in writing to the Commissioner requiring the approved analyst or approved botanist to attend as a witness in those proceedings.</w:t>
      </w:r>
    </w:p>
    <w:p>
      <w:pPr>
        <w:pStyle w:val="Subsection"/>
        <w:rPr>
          <w:snapToGrid w:val="0"/>
        </w:rPr>
      </w:pPr>
      <w:r>
        <w:rPr>
          <w:snapToGrid w:val="0"/>
        </w:rPr>
        <w:tab/>
        <w:t>(2)</w:t>
      </w:r>
      <w:r>
        <w:rPr>
          <w:snapToGrid w:val="0"/>
        </w:rPr>
        <w:tab/>
        <w:t>An accused shall be afforded a reasonable opportunity to deliver a notice referred to in subsection (1).</w:t>
      </w:r>
    </w:p>
    <w:p>
      <w:pPr>
        <w:pStyle w:val="Subsection"/>
        <w:rPr>
          <w:snapToGrid w:val="0"/>
        </w:rPr>
      </w:pPr>
      <w:r>
        <w:rPr>
          <w:snapToGrid w:val="0"/>
        </w:rPr>
        <w:tab/>
        <w:t>(3)</w:t>
      </w:r>
      <w:r>
        <w:rPr>
          <w:snapToGrid w:val="0"/>
        </w:rPr>
        <w:tab/>
        <w:t>An accused shall not in any proceedings adduce evidence in rebuttal of any facts stated in a certificate unless the accused has delivered notice in accordance with subsection (1) requiring the approved analyst or approved botanist to attend as a witness in the proceedings.</w:t>
      </w:r>
    </w:p>
    <w:p>
      <w:pPr>
        <w:pStyle w:val="Footnotesection"/>
      </w:pPr>
      <w:r>
        <w:tab/>
        <w:t>[Section 38B inserted by No. 44 of 1995 s. 13; amended by No. 84 of 2004 s. 82.]</w:t>
      </w:r>
    </w:p>
    <w:p>
      <w:pPr>
        <w:pStyle w:val="Heading5"/>
        <w:rPr>
          <w:snapToGrid w:val="0"/>
        </w:rPr>
      </w:pPr>
      <w:bookmarkStart w:id="500" w:name="_Toc503149569"/>
      <w:bookmarkStart w:id="501" w:name="_Toc534613864"/>
      <w:bookmarkStart w:id="502" w:name="_Toc535053903"/>
      <w:bookmarkStart w:id="503" w:name="_Toc109615277"/>
      <w:bookmarkStart w:id="504" w:name="_Toc215543763"/>
      <w:bookmarkStart w:id="505" w:name="_Toc290558555"/>
      <w:r>
        <w:rPr>
          <w:rStyle w:val="CharSectno"/>
        </w:rPr>
        <w:t>38C</w:t>
      </w:r>
      <w:r>
        <w:rPr>
          <w:snapToGrid w:val="0"/>
        </w:rPr>
        <w:t xml:space="preserve">. </w:t>
      </w:r>
      <w:r>
        <w:rPr>
          <w:snapToGrid w:val="0"/>
        </w:rPr>
        <w:tab/>
        <w:t>Order for costs of approved analyst or approved botanist</w:t>
      </w:r>
      <w:bookmarkEnd w:id="500"/>
      <w:bookmarkEnd w:id="501"/>
      <w:bookmarkEnd w:id="502"/>
      <w:bookmarkEnd w:id="503"/>
      <w:bookmarkEnd w:id="504"/>
      <w:bookmarkEnd w:id="505"/>
    </w:p>
    <w:p>
      <w:pPr>
        <w:pStyle w:val="Subsection"/>
        <w:rPr>
          <w:snapToGrid w:val="0"/>
        </w:rPr>
      </w:pPr>
      <w:r>
        <w:rPr>
          <w:snapToGrid w:val="0"/>
        </w:rPr>
        <w:tab/>
      </w:r>
      <w:r>
        <w:rPr>
          <w:snapToGrid w:val="0"/>
        </w:rPr>
        <w:tab/>
        <w:t>A court before which proceedings against a person for an offence are held may, in addition to making any other order as to costs, make such order as it thinks just as to — </w:t>
      </w:r>
    </w:p>
    <w:p>
      <w:pPr>
        <w:pStyle w:val="Indenta"/>
        <w:rPr>
          <w:snapToGrid w:val="0"/>
        </w:rPr>
      </w:pPr>
      <w:r>
        <w:rPr>
          <w:snapToGrid w:val="0"/>
        </w:rPr>
        <w:tab/>
        <w:t>(a)</w:t>
      </w:r>
      <w:r>
        <w:rPr>
          <w:snapToGrid w:val="0"/>
        </w:rPr>
        <w:tab/>
        <w:t>the conduct money of an approved analyst or an approved botanist required to attend as a witness in the proceedings; and</w:t>
      </w:r>
    </w:p>
    <w:p>
      <w:pPr>
        <w:pStyle w:val="Indenta"/>
        <w:rPr>
          <w:snapToGrid w:val="0"/>
        </w:rPr>
      </w:pPr>
      <w:r>
        <w:rPr>
          <w:snapToGrid w:val="0"/>
        </w:rPr>
        <w:tab/>
        <w:t>(b)</w:t>
      </w:r>
      <w:r>
        <w:rPr>
          <w:snapToGrid w:val="0"/>
        </w:rPr>
        <w:tab/>
        <w:t>the expenses and remuneration to be paid for any analysis or examination carried out by an approved analyst or an approved botanist.</w:t>
      </w:r>
    </w:p>
    <w:p>
      <w:pPr>
        <w:pStyle w:val="Footnotesection"/>
      </w:pPr>
      <w:r>
        <w:tab/>
        <w:t>[Section 38C inserted by No. 44 of 1995 s. 13.]</w:t>
      </w:r>
    </w:p>
    <w:p>
      <w:pPr>
        <w:pStyle w:val="Heading5"/>
        <w:rPr>
          <w:snapToGrid w:val="0"/>
        </w:rPr>
      </w:pPr>
      <w:bookmarkStart w:id="506" w:name="_Toc503149570"/>
      <w:bookmarkStart w:id="507" w:name="_Toc534613865"/>
      <w:bookmarkStart w:id="508" w:name="_Toc535053904"/>
      <w:bookmarkStart w:id="509" w:name="_Toc109615278"/>
      <w:bookmarkStart w:id="510" w:name="_Toc215543764"/>
      <w:bookmarkStart w:id="511" w:name="_Toc290558556"/>
      <w:r>
        <w:rPr>
          <w:rStyle w:val="CharSectno"/>
        </w:rPr>
        <w:t>38D</w:t>
      </w:r>
      <w:r>
        <w:rPr>
          <w:snapToGrid w:val="0"/>
        </w:rPr>
        <w:t xml:space="preserve">. </w:t>
      </w:r>
      <w:r>
        <w:rPr>
          <w:snapToGrid w:val="0"/>
        </w:rPr>
        <w:tab/>
        <w:t>Evidence of contents of standard</w:t>
      </w:r>
      <w:bookmarkEnd w:id="506"/>
      <w:bookmarkEnd w:id="507"/>
      <w:bookmarkEnd w:id="508"/>
      <w:bookmarkEnd w:id="509"/>
      <w:bookmarkEnd w:id="510"/>
      <w:bookmarkEnd w:id="511"/>
    </w:p>
    <w:p>
      <w:pPr>
        <w:pStyle w:val="Subsection"/>
      </w:pPr>
      <w:r>
        <w:tab/>
        <w:t>(1)</w:t>
      </w:r>
      <w:r>
        <w:tab/>
        <w:t xml:space="preserve">In this section — </w:t>
      </w:r>
    </w:p>
    <w:p>
      <w:pPr>
        <w:pStyle w:val="Defstart"/>
      </w:pPr>
      <w:r>
        <w:rPr>
          <w:b/>
        </w:rPr>
        <w:tab/>
      </w:r>
      <w:r>
        <w:rPr>
          <w:rStyle w:val="CharDefText"/>
        </w:rPr>
        <w:t>CEO (Health)</w:t>
      </w:r>
      <w:r>
        <w:t xml:space="preserve"> has the meaning given to “CEO” by section 3 of the </w:t>
      </w:r>
      <w:r>
        <w:rPr>
          <w:i/>
        </w:rPr>
        <w:t>Health Legislation Administration Act 1984</w:t>
      </w:r>
      <w:r>
        <w:t>.</w:t>
      </w:r>
    </w:p>
    <w:p>
      <w:pPr>
        <w:pStyle w:val="Subsection"/>
        <w:rPr>
          <w:snapToGrid w:val="0"/>
        </w:rPr>
      </w:pPr>
      <w:r>
        <w:rPr>
          <w:snapToGrid w:val="0"/>
        </w:rPr>
        <w:tab/>
        <w:t>(2)</w:t>
      </w:r>
      <w:r>
        <w:rPr>
          <w:snapToGrid w:val="0"/>
        </w:rPr>
        <w:tab/>
        <w:t xml:space="preserve">In any proceedings under this Act, production of a copy of any standard referred to in the </w:t>
      </w:r>
      <w:r>
        <w:rPr>
          <w:i/>
          <w:snapToGrid w:val="0"/>
        </w:rPr>
        <w:t>Poisons Act 1964</w:t>
      </w:r>
      <w:r>
        <w:rPr>
          <w:snapToGrid w:val="0"/>
        </w:rPr>
        <w:t xml:space="preserve"> purporting to be certified by the </w:t>
      </w:r>
      <w:r>
        <w:t xml:space="preserve">CEO (Health) </w:t>
      </w:r>
      <w:r>
        <w:rPr>
          <w:snapToGrid w:val="0"/>
        </w:rPr>
        <w:t>to be a true copy of the standard as at any date or during any period is, without proof of the signature of the</w:t>
      </w:r>
      <w:r>
        <w:t xml:space="preserve"> CEO (Health)</w:t>
      </w:r>
      <w:r>
        <w:rPr>
          <w:snapToGrid w:val="0"/>
        </w:rPr>
        <w:t>, sufficient evidence of the contents of the standard as at that date or during that period.</w:t>
      </w:r>
    </w:p>
    <w:p>
      <w:pPr>
        <w:pStyle w:val="Footnotesection"/>
      </w:pPr>
      <w:r>
        <w:tab/>
        <w:t>[Section 38D inserted by No. 48 of 1995 s. 43; amended by No. 28 of 2006 s. 394.]</w:t>
      </w:r>
    </w:p>
    <w:p>
      <w:pPr>
        <w:pStyle w:val="Heading5"/>
        <w:rPr>
          <w:snapToGrid w:val="0"/>
        </w:rPr>
      </w:pPr>
      <w:bookmarkStart w:id="512" w:name="_Toc503149571"/>
      <w:bookmarkStart w:id="513" w:name="_Toc534613866"/>
      <w:bookmarkStart w:id="514" w:name="_Toc535053905"/>
      <w:bookmarkStart w:id="515" w:name="_Toc109615279"/>
      <w:bookmarkStart w:id="516" w:name="_Toc215543765"/>
      <w:bookmarkStart w:id="517" w:name="_Toc290558557"/>
      <w:r>
        <w:rPr>
          <w:rStyle w:val="CharSectno"/>
        </w:rPr>
        <w:t>39</w:t>
      </w:r>
      <w:r>
        <w:rPr>
          <w:snapToGrid w:val="0"/>
        </w:rPr>
        <w:t>.</w:t>
      </w:r>
      <w:r>
        <w:rPr>
          <w:snapToGrid w:val="0"/>
        </w:rPr>
        <w:tab/>
        <w:t>Delegation by Commissioner</w:t>
      </w:r>
      <w:bookmarkEnd w:id="512"/>
      <w:bookmarkEnd w:id="513"/>
      <w:bookmarkEnd w:id="514"/>
      <w:bookmarkEnd w:id="515"/>
      <w:bookmarkEnd w:id="516"/>
      <w:bookmarkEnd w:id="517"/>
    </w:p>
    <w:p>
      <w:pPr>
        <w:pStyle w:val="Subsection"/>
        <w:rPr>
          <w:snapToGrid w:val="0"/>
        </w:rPr>
      </w:pPr>
      <w:r>
        <w:rPr>
          <w:snapToGrid w:val="0"/>
        </w:rPr>
        <w:tab/>
        <w:t>(1)</w:t>
      </w:r>
      <w:r>
        <w:rPr>
          <w:snapToGrid w:val="0"/>
        </w:rPr>
        <w:tab/>
        <w:t>The Commissioner may, either generally or as otherwise provided by the instrument of delegation, by writing signed by him delegate to a police officer of or above the rank of inspector any of his powers under this Act, other than this power of delegation.</w:t>
      </w:r>
    </w:p>
    <w:p>
      <w:pPr>
        <w:pStyle w:val="Subsection"/>
        <w:rPr>
          <w:snapToGrid w:val="0"/>
        </w:rPr>
      </w:pPr>
      <w:r>
        <w:rPr>
          <w:snapToGrid w:val="0"/>
        </w:rPr>
        <w:tab/>
        <w:t>(2)</w:t>
      </w:r>
      <w:r>
        <w:rPr>
          <w:snapToGrid w:val="0"/>
        </w:rPr>
        <w:tab/>
        <w:t>For the purposes of this Act, the exercise of a power by a delegate under this section shall be deemed to be the exercise of the power by the Commissioner.</w:t>
      </w:r>
    </w:p>
    <w:p>
      <w:pPr>
        <w:pStyle w:val="Subsection"/>
        <w:rPr>
          <w:snapToGrid w:val="0"/>
        </w:rPr>
      </w:pPr>
      <w:r>
        <w:rPr>
          <w:snapToGrid w:val="0"/>
        </w:rPr>
        <w:tab/>
        <w:t>(3)</w:t>
      </w:r>
      <w:r>
        <w:rPr>
          <w:snapToGrid w:val="0"/>
        </w:rPr>
        <w:tab/>
        <w:t>A delegation under this section may be — </w:t>
      </w:r>
    </w:p>
    <w:p>
      <w:pPr>
        <w:pStyle w:val="Indenta"/>
        <w:rPr>
          <w:snapToGrid w:val="0"/>
        </w:rPr>
      </w:pPr>
      <w:r>
        <w:rPr>
          <w:snapToGrid w:val="0"/>
        </w:rPr>
        <w:tab/>
        <w:t>(a)</w:t>
      </w:r>
      <w:r>
        <w:rPr>
          <w:snapToGrid w:val="0"/>
        </w:rPr>
        <w:tab/>
        <w:t>made subject to such conditions, qualifications and exceptions as are set out in the instrument of delegation;</w:t>
      </w:r>
    </w:p>
    <w:p>
      <w:pPr>
        <w:pStyle w:val="Indenta"/>
        <w:rPr>
          <w:snapToGrid w:val="0"/>
        </w:rPr>
      </w:pPr>
      <w:r>
        <w:rPr>
          <w:snapToGrid w:val="0"/>
        </w:rPr>
        <w:tab/>
        <w:t>(b)</w:t>
      </w:r>
      <w:r>
        <w:rPr>
          <w:snapToGrid w:val="0"/>
        </w:rPr>
        <w:tab/>
        <w:t>revoked or varied by instrument in writing signed by the Commissioner.</w:t>
      </w:r>
    </w:p>
    <w:p>
      <w:pPr>
        <w:pStyle w:val="Subsection"/>
        <w:rPr>
          <w:snapToGrid w:val="0"/>
        </w:rPr>
      </w:pPr>
      <w:r>
        <w:rPr>
          <w:snapToGrid w:val="0"/>
        </w:rPr>
        <w:tab/>
        <w:t>(4)</w:t>
      </w:r>
      <w:r>
        <w:rPr>
          <w:snapToGrid w:val="0"/>
        </w:rPr>
        <w:tab/>
        <w:t>The Commissioner may exercise a power notwithstanding that he has delegated its exercise under this section.</w:t>
      </w:r>
    </w:p>
    <w:p>
      <w:pPr>
        <w:pStyle w:val="Subsection"/>
        <w:rPr>
          <w:snapToGrid w:val="0"/>
        </w:rPr>
      </w:pPr>
      <w:r>
        <w:rPr>
          <w:snapToGrid w:val="0"/>
        </w:rPr>
        <w:tab/>
        <w:t>(5)</w:t>
      </w:r>
      <w:r>
        <w:rPr>
          <w:snapToGrid w:val="0"/>
        </w:rPr>
        <w:tab/>
        <w:t>If, under this Act, the exercise of a power by the Commissioner is dependent on his opinion, belief or state of mind in relation to a matter and the power has been delegated under this section, the power may be exercised by the delegate on the opinion, belief or state of mind of the delegate in relation to the matter.</w:t>
      </w:r>
    </w:p>
    <w:p>
      <w:pPr>
        <w:pStyle w:val="Footnotesection"/>
      </w:pPr>
      <w:r>
        <w:tab/>
        <w:t>[Section 39 amended by No. 44 of 1995 s. 14.]</w:t>
      </w:r>
    </w:p>
    <w:p>
      <w:pPr>
        <w:pStyle w:val="Heading5"/>
        <w:rPr>
          <w:snapToGrid w:val="0"/>
        </w:rPr>
      </w:pPr>
      <w:bookmarkStart w:id="518" w:name="_Toc503149572"/>
      <w:bookmarkStart w:id="519" w:name="_Toc534613867"/>
      <w:bookmarkStart w:id="520" w:name="_Toc535053906"/>
      <w:bookmarkStart w:id="521" w:name="_Toc109615280"/>
      <w:bookmarkStart w:id="522" w:name="_Toc215543766"/>
      <w:bookmarkStart w:id="523" w:name="_Toc290558558"/>
      <w:r>
        <w:rPr>
          <w:rStyle w:val="CharSectno"/>
        </w:rPr>
        <w:t>40</w:t>
      </w:r>
      <w:r>
        <w:rPr>
          <w:snapToGrid w:val="0"/>
        </w:rPr>
        <w:t>.</w:t>
      </w:r>
      <w:r>
        <w:rPr>
          <w:snapToGrid w:val="0"/>
        </w:rPr>
        <w:tab/>
        <w:t>Civil liability of persons acting under this Act</w:t>
      </w:r>
      <w:bookmarkEnd w:id="518"/>
      <w:bookmarkEnd w:id="519"/>
      <w:bookmarkEnd w:id="520"/>
      <w:bookmarkEnd w:id="521"/>
      <w:bookmarkEnd w:id="522"/>
      <w:bookmarkEnd w:id="523"/>
    </w:p>
    <w:p>
      <w:pPr>
        <w:pStyle w:val="Subsection"/>
        <w:rPr>
          <w:snapToGrid w:val="0"/>
        </w:rPr>
      </w:pPr>
      <w:r>
        <w:rPr>
          <w:snapToGrid w:val="0"/>
        </w:rPr>
        <w:tab/>
      </w:r>
      <w:r>
        <w:rPr>
          <w:snapToGrid w:val="0"/>
        </w:rPr>
        <w:tab/>
        <w:t>A person on whom a power is conferred or duty imposed by or under this Act is not personally liable in civil proceedings, and the Crown is not liable, for any act done or default made by him in good faith for the purpose of carrying this Act into effect.</w:t>
      </w:r>
    </w:p>
    <w:p>
      <w:pPr>
        <w:pStyle w:val="Heading5"/>
        <w:rPr>
          <w:snapToGrid w:val="0"/>
        </w:rPr>
      </w:pPr>
      <w:bookmarkStart w:id="524" w:name="_Toc503149573"/>
      <w:bookmarkStart w:id="525" w:name="_Toc534613868"/>
      <w:bookmarkStart w:id="526" w:name="_Toc535053907"/>
      <w:bookmarkStart w:id="527" w:name="_Toc109615281"/>
      <w:bookmarkStart w:id="528" w:name="_Toc215543767"/>
      <w:bookmarkStart w:id="529" w:name="_Toc290558559"/>
      <w:r>
        <w:rPr>
          <w:rStyle w:val="CharSectno"/>
        </w:rPr>
        <w:t>41</w:t>
      </w:r>
      <w:r>
        <w:rPr>
          <w:snapToGrid w:val="0"/>
        </w:rPr>
        <w:t>.</w:t>
      </w:r>
      <w:r>
        <w:rPr>
          <w:snapToGrid w:val="0"/>
        </w:rPr>
        <w:tab/>
        <w:t>Regulations</w:t>
      </w:r>
      <w:bookmarkEnd w:id="524"/>
      <w:bookmarkEnd w:id="525"/>
      <w:bookmarkEnd w:id="526"/>
      <w:bookmarkEnd w:id="527"/>
      <w:bookmarkEnd w:id="528"/>
      <w:bookmarkEnd w:id="529"/>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and providing for the recovery of fees to be paid in respect of matters or things to be done under or for the purposes of this Act;</w:t>
      </w:r>
    </w:p>
    <w:p>
      <w:pPr>
        <w:pStyle w:val="Indenta"/>
        <w:rPr>
          <w:snapToGrid w:val="0"/>
        </w:rPr>
      </w:pPr>
      <w:r>
        <w:rPr>
          <w:snapToGrid w:val="0"/>
        </w:rPr>
        <w:tab/>
        <w:t>(b)</w:t>
      </w:r>
      <w:r>
        <w:rPr>
          <w:snapToGrid w:val="0"/>
        </w:rPr>
        <w:tab/>
        <w:t>providing for the manner in which any thing, which is ordered or required under this Act — </w:t>
      </w:r>
    </w:p>
    <w:p>
      <w:pPr>
        <w:pStyle w:val="Indenti"/>
        <w:rPr>
          <w:snapToGrid w:val="0"/>
        </w:rPr>
      </w:pPr>
      <w:r>
        <w:rPr>
          <w:snapToGrid w:val="0"/>
        </w:rPr>
        <w:tab/>
        <w:t>(i)</w:t>
      </w:r>
      <w:r>
        <w:rPr>
          <w:snapToGrid w:val="0"/>
        </w:rPr>
        <w:tab/>
        <w:t>to be destroyed, is to be destroyed;</w:t>
      </w:r>
    </w:p>
    <w:p>
      <w:pPr>
        <w:pStyle w:val="Indenti"/>
        <w:rPr>
          <w:snapToGrid w:val="0"/>
        </w:rPr>
      </w:pPr>
      <w:r>
        <w:rPr>
          <w:snapToGrid w:val="0"/>
        </w:rPr>
        <w:tab/>
        <w:t>(ii)</w:t>
      </w:r>
      <w:r>
        <w:rPr>
          <w:snapToGrid w:val="0"/>
        </w:rPr>
        <w:tab/>
        <w:t>to be released to a person, is to be released; and</w:t>
      </w:r>
    </w:p>
    <w:p>
      <w:pPr>
        <w:pStyle w:val="Indenti"/>
        <w:rPr>
          <w:snapToGrid w:val="0"/>
        </w:rPr>
      </w:pPr>
      <w:r>
        <w:rPr>
          <w:snapToGrid w:val="0"/>
        </w:rPr>
        <w:tab/>
        <w:t>(iii)</w:t>
      </w:r>
      <w:r>
        <w:rPr>
          <w:snapToGrid w:val="0"/>
        </w:rPr>
        <w:tab/>
        <w:t>to be forfeited to the Crown, is to be dealt with;</w:t>
      </w:r>
    </w:p>
    <w:p>
      <w:pPr>
        <w:pStyle w:val="Indenta"/>
        <w:rPr>
          <w:snapToGrid w:val="0"/>
        </w:rPr>
      </w:pPr>
      <w:r>
        <w:rPr>
          <w:snapToGrid w:val="0"/>
        </w:rPr>
        <w:tab/>
        <w:t>(ba)</w:t>
      </w:r>
      <w:r>
        <w:rPr>
          <w:snapToGrid w:val="0"/>
        </w:rPr>
        <w:tab/>
        <w:t>providing for the procedure to be followed in and in relation to the taking, packaging and labelling of samples;</w:t>
      </w:r>
    </w:p>
    <w:p>
      <w:pPr>
        <w:pStyle w:val="Indenta"/>
        <w:rPr>
          <w:snapToGrid w:val="0"/>
        </w:rPr>
      </w:pPr>
      <w:r>
        <w:rPr>
          <w:snapToGrid w:val="0"/>
        </w:rPr>
        <w:tab/>
        <w:t>(c)</w:t>
      </w:r>
      <w:r>
        <w:rPr>
          <w:snapToGrid w:val="0"/>
        </w:rPr>
        <w:tab/>
        <w:t>providing for the procedure to be followed in and in relation to — </w:t>
      </w:r>
    </w:p>
    <w:p>
      <w:pPr>
        <w:pStyle w:val="Indenti"/>
        <w:rPr>
          <w:snapToGrid w:val="0"/>
        </w:rPr>
      </w:pPr>
      <w:r>
        <w:rPr>
          <w:snapToGrid w:val="0"/>
        </w:rPr>
        <w:tab/>
        <w:t>(i)</w:t>
      </w:r>
      <w:r>
        <w:rPr>
          <w:snapToGrid w:val="0"/>
        </w:rPr>
        <w:tab/>
        <w:t>any analysis or examination under this Act; and</w:t>
      </w:r>
    </w:p>
    <w:p>
      <w:pPr>
        <w:pStyle w:val="Indenti"/>
        <w:rPr>
          <w:snapToGrid w:val="0"/>
        </w:rPr>
      </w:pPr>
      <w:r>
        <w:rPr>
          <w:snapToGrid w:val="0"/>
        </w:rPr>
        <w:tab/>
        <w:t>(ii)</w:t>
      </w:r>
      <w:r>
        <w:rPr>
          <w:snapToGrid w:val="0"/>
        </w:rPr>
        <w:tab/>
        <w:t>the admissibility and receipt of evidence relating to any thing obtained or received for an analysis or examination referred to in subparagraph (i);</w:t>
      </w:r>
    </w:p>
    <w:p>
      <w:pPr>
        <w:pStyle w:val="Indenta"/>
        <w:rPr>
          <w:snapToGrid w:val="0"/>
        </w:rPr>
      </w:pPr>
      <w:r>
        <w:rPr>
          <w:snapToGrid w:val="0"/>
        </w:rPr>
        <w:tab/>
        <w:t>(d)</w:t>
      </w:r>
      <w:r>
        <w:rPr>
          <w:snapToGrid w:val="0"/>
        </w:rPr>
        <w:tab/>
        <w:t>providing for the manner in which any thing is to be conveyed to and analysed or examined by an analyst, botanist or other expert.</w:t>
      </w:r>
    </w:p>
    <w:p>
      <w:pPr>
        <w:pStyle w:val="Subsection"/>
        <w:rPr>
          <w:snapToGrid w:val="0"/>
        </w:rPr>
      </w:pPr>
      <w:r>
        <w:rPr>
          <w:snapToGrid w:val="0"/>
        </w:rPr>
        <w:tab/>
        <w:t>(2)</w:t>
      </w:r>
      <w:r>
        <w:rPr>
          <w:snapToGrid w:val="0"/>
        </w:rPr>
        <w:tab/>
        <w:t xml:space="preserve">Regulations made under this Act are in addition to and not in derogation of any regulations made under the </w:t>
      </w:r>
      <w:r>
        <w:rPr>
          <w:i/>
          <w:snapToGrid w:val="0"/>
        </w:rPr>
        <w:t>Poisons Act 1964</w:t>
      </w:r>
      <w:r>
        <w:rPr>
          <w:snapToGrid w:val="0"/>
        </w:rPr>
        <w:t xml:space="preserve">, but if and to the extent that inconsistency exists between regulations made under this Act and regulations made under the </w:t>
      </w:r>
      <w:r>
        <w:rPr>
          <w:i/>
          <w:snapToGrid w:val="0"/>
        </w:rPr>
        <w:t>Poisons Act 1964</w:t>
      </w:r>
      <w:r>
        <w:rPr>
          <w:snapToGrid w:val="0"/>
        </w:rPr>
        <w:t xml:space="preserve"> the latter regulations shall prevail.</w:t>
      </w:r>
    </w:p>
    <w:p>
      <w:pPr>
        <w:pStyle w:val="Subsection"/>
        <w:rPr>
          <w:snapToGrid w:val="0"/>
        </w:rPr>
      </w:pPr>
      <w:r>
        <w:rPr>
          <w:snapToGrid w:val="0"/>
        </w:rPr>
        <w:tab/>
        <w:t>(3)</w:t>
      </w:r>
      <w:r>
        <w:rPr>
          <w:snapToGrid w:val="0"/>
        </w:rPr>
        <w:tab/>
        <w:t>The regulations may create offences and may provide for a penalty not exceeding $1 000.</w:t>
      </w:r>
    </w:p>
    <w:p>
      <w:pPr>
        <w:pStyle w:val="Footnotesection"/>
      </w:pPr>
      <w:r>
        <w:tab/>
        <w:t>[Section 41 amended by No. 44 of 1995 s. 15.]</w:t>
      </w:r>
    </w:p>
    <w:p>
      <w:pPr>
        <w:pStyle w:val="Heading5"/>
        <w:rPr>
          <w:snapToGrid w:val="0"/>
        </w:rPr>
      </w:pPr>
      <w:bookmarkStart w:id="530" w:name="_Toc503149574"/>
      <w:bookmarkStart w:id="531" w:name="_Toc534613869"/>
      <w:bookmarkStart w:id="532" w:name="_Toc535053908"/>
      <w:bookmarkStart w:id="533" w:name="_Toc109615282"/>
      <w:bookmarkStart w:id="534" w:name="_Toc215543768"/>
      <w:bookmarkStart w:id="535" w:name="_Toc290558560"/>
      <w:r>
        <w:rPr>
          <w:rStyle w:val="CharSectno"/>
        </w:rPr>
        <w:t>42</w:t>
      </w:r>
      <w:r>
        <w:rPr>
          <w:snapToGrid w:val="0"/>
        </w:rPr>
        <w:t>.</w:t>
      </w:r>
      <w:r>
        <w:rPr>
          <w:snapToGrid w:val="0"/>
        </w:rPr>
        <w:tab/>
        <w:t>Amendment of certain schedules</w:t>
      </w:r>
      <w:bookmarkEnd w:id="530"/>
      <w:bookmarkEnd w:id="531"/>
      <w:bookmarkEnd w:id="532"/>
      <w:bookmarkEnd w:id="533"/>
      <w:bookmarkEnd w:id="534"/>
      <w:bookmarkEnd w:id="535"/>
    </w:p>
    <w:p>
      <w:pPr>
        <w:pStyle w:val="Subsection"/>
        <w:rPr>
          <w:snapToGrid w:val="0"/>
        </w:rPr>
      </w:pPr>
      <w:r>
        <w:rPr>
          <w:snapToGrid w:val="0"/>
        </w:rPr>
        <w:tab/>
        <w:t>(1)</w:t>
      </w:r>
      <w:r>
        <w:rPr>
          <w:snapToGrid w:val="0"/>
        </w:rPr>
        <w:tab/>
        <w:t xml:space="preserve">The Governor may from time to time by Order in Council published in the </w:t>
      </w:r>
      <w:r>
        <w:rPr>
          <w:i/>
          <w:snapToGrid w:val="0"/>
        </w:rPr>
        <w:t>Gazette</w:t>
      </w:r>
      <w:r>
        <w:rPr>
          <w:snapToGrid w:val="0"/>
        </w:rPr>
        <w:t xml:space="preserve"> amend Schedule III, IV, V, VI, VII or VIII by — </w:t>
      </w:r>
    </w:p>
    <w:p>
      <w:pPr>
        <w:pStyle w:val="Indenta"/>
        <w:rPr>
          <w:snapToGrid w:val="0"/>
        </w:rPr>
      </w:pPr>
      <w:r>
        <w:rPr>
          <w:snapToGrid w:val="0"/>
        </w:rPr>
        <w:tab/>
        <w:t>(a)</w:t>
      </w:r>
      <w:r>
        <w:rPr>
          <w:snapToGrid w:val="0"/>
        </w:rPr>
        <w:tab/>
        <w:t>adding thereto or deleting therefrom — </w:t>
      </w:r>
    </w:p>
    <w:p>
      <w:pPr>
        <w:pStyle w:val="Indenti"/>
        <w:rPr>
          <w:snapToGrid w:val="0"/>
        </w:rPr>
      </w:pPr>
      <w:r>
        <w:rPr>
          <w:snapToGrid w:val="0"/>
        </w:rPr>
        <w:tab/>
        <w:t>(i)</w:t>
      </w:r>
      <w:r>
        <w:rPr>
          <w:snapToGrid w:val="0"/>
        </w:rPr>
        <w:tab/>
        <w:t xml:space="preserve">any prohibited drug or any quantity specified in relation thereto; or </w:t>
      </w:r>
    </w:p>
    <w:p>
      <w:pPr>
        <w:pStyle w:val="Indenti"/>
        <w:rPr>
          <w:snapToGrid w:val="0"/>
        </w:rPr>
      </w:pPr>
      <w:r>
        <w:rPr>
          <w:snapToGrid w:val="0"/>
        </w:rPr>
        <w:tab/>
        <w:t>(ii)</w:t>
      </w:r>
      <w:r>
        <w:rPr>
          <w:snapToGrid w:val="0"/>
        </w:rPr>
        <w:tab/>
        <w:t>any prohibited plant of a particular species or genus or any number specified in relation thereto,</w:t>
      </w:r>
    </w:p>
    <w:p>
      <w:pPr>
        <w:pStyle w:val="Indenta"/>
        <w:rPr>
          <w:snapToGrid w:val="0"/>
        </w:rPr>
      </w:pPr>
      <w:r>
        <w:rPr>
          <w:snapToGrid w:val="0"/>
        </w:rPr>
        <w:tab/>
      </w:r>
      <w:r>
        <w:rPr>
          <w:snapToGrid w:val="0"/>
        </w:rPr>
        <w:tab/>
        <w:t>as the case requires;</w:t>
      </w:r>
    </w:p>
    <w:p>
      <w:pPr>
        <w:pStyle w:val="Indenta"/>
        <w:rPr>
          <w:snapToGrid w:val="0"/>
        </w:rPr>
      </w:pPr>
      <w:r>
        <w:rPr>
          <w:snapToGrid w:val="0"/>
        </w:rPr>
        <w:tab/>
        <w:t>(b)</w:t>
      </w:r>
      <w:r>
        <w:rPr>
          <w:snapToGrid w:val="0"/>
        </w:rPr>
        <w:tab/>
        <w:t>deleting and substituting all or any of the items therein; or</w:t>
      </w:r>
    </w:p>
    <w:p>
      <w:pPr>
        <w:pStyle w:val="Indenta"/>
        <w:rPr>
          <w:snapToGrid w:val="0"/>
        </w:rPr>
      </w:pPr>
      <w:r>
        <w:rPr>
          <w:snapToGrid w:val="0"/>
        </w:rPr>
        <w:tab/>
        <w:t>(c)</w:t>
      </w:r>
      <w:r>
        <w:rPr>
          <w:snapToGrid w:val="0"/>
        </w:rPr>
        <w:tab/>
        <w:t>altering any item therein.</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in Council made under subsection (1), the Schedule to which that Order in Council relates is amended accordingly and, as so amended, has the same force and effect as if the amendment effected by that Order in Council had been effected by an Act amending this Act.</w:t>
      </w:r>
    </w:p>
    <w:p>
      <w:pPr>
        <w:pStyle w:val="Subsection"/>
        <w:rPr>
          <w:snapToGrid w:val="0"/>
        </w:rPr>
      </w:pPr>
      <w:r>
        <w:rPr>
          <w:snapToGrid w:val="0"/>
        </w:rPr>
        <w:tab/>
        <w:t>(3)</w:t>
      </w:r>
      <w:r>
        <w:rPr>
          <w:snapToGrid w:val="0"/>
        </w:rPr>
        <w:tab/>
        <w:t xml:space="preserve">The Minister shall cause a copy of every Order in Council made under subsection (1) to be laid on the Table of each House of Parliament within the first 14 sitting days of that House after the publication of that Order in Council in the </w:t>
      </w:r>
      <w:r>
        <w:rPr>
          <w:i/>
          <w:snapToGrid w:val="0"/>
        </w:rPr>
        <w:t>Gazette</w:t>
      </w:r>
      <w:r>
        <w:rPr>
          <w:snapToGrid w:val="0"/>
        </w:rPr>
        <w:t>.</w:t>
      </w:r>
    </w:p>
    <w:p>
      <w:pPr>
        <w:pStyle w:val="Subsection"/>
        <w:rPr>
          <w:snapToGrid w:val="0"/>
        </w:rPr>
      </w:pPr>
      <w:r>
        <w:rPr>
          <w:snapToGrid w:val="0"/>
        </w:rPr>
        <w:tab/>
        <w:t>(4)</w:t>
      </w:r>
      <w:r>
        <w:rPr>
          <w:snapToGrid w:val="0"/>
        </w:rPr>
        <w:tab/>
        <w:t>If a copy of an Order in Council made under subsection (1) is not laid on the Table of a House of Parliament in accordance with subsection (3), that Order in Council ceases to have effect when that copy is not so laid but without affecting the validity or curing the invalidity of anything done or omitted to be done in good faith before that Order in Council so ceases to have effect.</w:t>
      </w:r>
    </w:p>
    <w:p>
      <w:pPr>
        <w:pStyle w:val="Subsection"/>
        <w:rPr>
          <w:snapToGrid w:val="0"/>
        </w:rPr>
      </w:pPr>
      <w:r>
        <w:rPr>
          <w:snapToGrid w:val="0"/>
        </w:rPr>
        <w:tab/>
        <w:t>(5)</w:t>
      </w:r>
      <w:r>
        <w:rPr>
          <w:snapToGrid w:val="0"/>
        </w:rPr>
        <w:tab/>
        <w:t>If either House of Parliament passes a resolution, of which notice has been given within the first 14 sitting days of that House after a copy of the relevant Order in Council made under subsection (1) has been laid on the Table of that House under subsection (3), that that Order in Council be disallowed, that Order in Council thereupon ceases to have effect, but the disallowance of that Order in Council does not affect the validity or cure the invalidity of anything done or omitted to be done in good faith before the passing of that resolution.</w:t>
      </w:r>
    </w:p>
    <w:p>
      <w:pPr>
        <w:pStyle w:val="Footnotesection"/>
      </w:pPr>
      <w:r>
        <w:tab/>
        <w:t>[Section 42 amended by No. 50 of 1990 s. 5.]</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536" w:name="_Toc535053909"/>
      <w:bookmarkStart w:id="537" w:name="_Toc109615283"/>
      <w:bookmarkStart w:id="538" w:name="_Toc139344577"/>
      <w:bookmarkStart w:id="539" w:name="_Toc139699341"/>
      <w:bookmarkStart w:id="540" w:name="_Toc147051374"/>
      <w:bookmarkStart w:id="541" w:name="_Toc147118829"/>
      <w:bookmarkStart w:id="542" w:name="_Toc148236150"/>
      <w:bookmarkStart w:id="543" w:name="_Toc158705024"/>
      <w:bookmarkStart w:id="544" w:name="_Toc165369984"/>
      <w:bookmarkStart w:id="545" w:name="_Toc177873326"/>
      <w:bookmarkStart w:id="546" w:name="_Toc177873451"/>
      <w:bookmarkStart w:id="547" w:name="_Toc184707408"/>
      <w:bookmarkStart w:id="548" w:name="_Toc189464739"/>
      <w:bookmarkStart w:id="549" w:name="_Toc190249303"/>
      <w:bookmarkStart w:id="550" w:name="_Toc191703197"/>
      <w:bookmarkStart w:id="551" w:name="_Toc193692114"/>
      <w:bookmarkStart w:id="552" w:name="_Toc199817296"/>
      <w:bookmarkStart w:id="553" w:name="_Toc215543769"/>
      <w:bookmarkStart w:id="554" w:name="_Toc215544029"/>
      <w:bookmarkStart w:id="555" w:name="_Toc248029066"/>
      <w:bookmarkStart w:id="556" w:name="_Toc256085115"/>
      <w:bookmarkStart w:id="557" w:name="_Toc256092180"/>
      <w:bookmarkStart w:id="558" w:name="_Toc268600366"/>
      <w:bookmarkStart w:id="559" w:name="_Toc272237495"/>
      <w:bookmarkStart w:id="560" w:name="_Toc275253574"/>
      <w:bookmarkStart w:id="561" w:name="_Toc283287499"/>
      <w:bookmarkStart w:id="562" w:name="_Toc290558485"/>
      <w:bookmarkStart w:id="563" w:name="_Toc290558561"/>
      <w:r>
        <w:rPr>
          <w:rStyle w:val="CharSchNo"/>
        </w:rPr>
        <w:t>Schedule I</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r>
        <w:rPr>
          <w:rStyle w:val="CharSDivNo"/>
        </w:rPr>
        <w:t> </w:t>
      </w:r>
      <w:r>
        <w:t>—</w:t>
      </w:r>
      <w:r>
        <w:rPr>
          <w:rStyle w:val="CharSDivText"/>
        </w:rPr>
        <w:t> </w:t>
      </w:r>
      <w:r>
        <w:rPr>
          <w:rStyle w:val="CharSchText"/>
        </w:rPr>
        <w:t xml:space="preserve">Drugs to which Act applies, notwithstanding anything in </w:t>
      </w:r>
      <w:r>
        <w:rPr>
          <w:rStyle w:val="CharSchText"/>
          <w:i/>
          <w:iCs/>
        </w:rPr>
        <w:t>Poisons Act 1964</w:t>
      </w:r>
      <w:bookmarkEnd w:id="558"/>
      <w:bookmarkEnd w:id="559"/>
      <w:bookmarkEnd w:id="560"/>
      <w:bookmarkEnd w:id="561"/>
      <w:bookmarkEnd w:id="562"/>
      <w:bookmarkEnd w:id="563"/>
    </w:p>
    <w:p>
      <w:pPr>
        <w:pStyle w:val="yShoulderClause"/>
        <w:rPr>
          <w:snapToGrid w:val="0"/>
        </w:rPr>
      </w:pPr>
      <w:r>
        <w:rPr>
          <w:snapToGrid w:val="0"/>
        </w:rPr>
        <w:t>[s. 4(1)(c)]</w:t>
      </w:r>
    </w:p>
    <w:p>
      <w:pPr>
        <w:pStyle w:val="yFootnoteheading"/>
      </w:pPr>
      <w:r>
        <w:tab/>
        <w:t>[Heading amended by No. 19 of 2010 s. 4.]</w:t>
      </w:r>
    </w:p>
    <w:tbl>
      <w:tblPr>
        <w:tblW w:w="0" w:type="auto"/>
        <w:tblLayout w:type="fixed"/>
        <w:tblLook w:val="0000" w:firstRow="0" w:lastRow="0" w:firstColumn="0" w:lastColumn="0" w:noHBand="0" w:noVBand="0"/>
      </w:tblPr>
      <w:tblGrid>
        <w:gridCol w:w="1242"/>
        <w:gridCol w:w="6092"/>
      </w:tblGrid>
      <w:tr>
        <w:trPr>
          <w:cantSplit/>
        </w:trPr>
        <w:tc>
          <w:tcPr>
            <w:tcW w:w="1242" w:type="dxa"/>
          </w:tcPr>
          <w:p>
            <w:pPr>
              <w:pStyle w:val="yTableNAm"/>
              <w:jc w:val="center"/>
              <w:rPr>
                <w:i/>
                <w:iCs/>
                <w:snapToGrid w:val="0"/>
              </w:rPr>
            </w:pPr>
            <w:r>
              <w:rPr>
                <w:i/>
                <w:iCs/>
                <w:snapToGrid w:val="0"/>
              </w:rPr>
              <w:t>Item</w:t>
            </w:r>
          </w:p>
        </w:tc>
        <w:tc>
          <w:tcPr>
            <w:tcW w:w="6092" w:type="dxa"/>
          </w:tcPr>
          <w:p>
            <w:pPr>
              <w:pStyle w:val="yTableNAm"/>
              <w:jc w:val="center"/>
              <w:rPr>
                <w:i/>
                <w:iCs/>
                <w:snapToGrid w:val="0"/>
              </w:rPr>
            </w:pPr>
            <w:r>
              <w:rPr>
                <w:i/>
                <w:iCs/>
                <w:snapToGrid w:val="0"/>
              </w:rPr>
              <w:t>Prohibited drugs</w:t>
            </w:r>
          </w:p>
        </w:tc>
      </w:tr>
      <w:tr>
        <w:trPr>
          <w:cantSplit/>
        </w:trPr>
        <w:tc>
          <w:tcPr>
            <w:tcW w:w="1242" w:type="dxa"/>
          </w:tcPr>
          <w:p>
            <w:pPr>
              <w:pStyle w:val="yTableNAm"/>
              <w:jc w:val="center"/>
              <w:rPr>
                <w:snapToGrid w:val="0"/>
              </w:rPr>
            </w:pPr>
            <w:r>
              <w:rPr>
                <w:snapToGrid w:val="0"/>
              </w:rPr>
              <w:t>1.</w:t>
            </w:r>
          </w:p>
        </w:tc>
        <w:tc>
          <w:tcPr>
            <w:tcW w:w="6092" w:type="dxa"/>
          </w:tcPr>
          <w:p>
            <w:pPr>
              <w:pStyle w:val="yTableNAm"/>
              <w:rPr>
                <w:snapToGrid w:val="0"/>
              </w:rPr>
            </w:pPr>
            <w:r>
              <w:rPr>
                <w:snapToGrid w:val="0"/>
              </w:rPr>
              <w:t>Cocaine, ecgonine, heroin, morphine and their respective salts.</w:t>
            </w:r>
          </w:p>
        </w:tc>
      </w:tr>
      <w:tr>
        <w:trPr>
          <w:cantSplit/>
        </w:trPr>
        <w:tc>
          <w:tcPr>
            <w:tcW w:w="1242" w:type="dxa"/>
          </w:tcPr>
          <w:p>
            <w:pPr>
              <w:pStyle w:val="yTableNAm"/>
              <w:jc w:val="center"/>
              <w:rPr>
                <w:snapToGrid w:val="0"/>
              </w:rPr>
            </w:pPr>
            <w:r>
              <w:rPr>
                <w:snapToGrid w:val="0"/>
              </w:rPr>
              <w:t>2.</w:t>
            </w:r>
          </w:p>
        </w:tc>
        <w:tc>
          <w:tcPr>
            <w:tcW w:w="6092" w:type="dxa"/>
          </w:tcPr>
          <w:p>
            <w:pPr>
              <w:pStyle w:val="yTableNAm"/>
              <w:rPr>
                <w:snapToGrid w:val="0"/>
              </w:rPr>
            </w:pPr>
            <w:r>
              <w:rPr>
                <w:snapToGrid w:val="0"/>
              </w:rPr>
              <w:t>Opium.</w:t>
            </w:r>
          </w:p>
        </w:tc>
      </w:tr>
      <w:tr>
        <w:trPr>
          <w:cantSplit/>
        </w:trPr>
        <w:tc>
          <w:tcPr>
            <w:tcW w:w="1242" w:type="dxa"/>
          </w:tcPr>
          <w:p>
            <w:pPr>
              <w:pStyle w:val="yTableNAm"/>
              <w:jc w:val="center"/>
              <w:rPr>
                <w:snapToGrid w:val="0"/>
              </w:rPr>
            </w:pPr>
            <w:r>
              <w:rPr>
                <w:snapToGrid w:val="0"/>
              </w:rPr>
              <w:t>3.</w:t>
            </w:r>
          </w:p>
        </w:tc>
        <w:tc>
          <w:tcPr>
            <w:tcW w:w="6092" w:type="dxa"/>
          </w:tcPr>
          <w:p>
            <w:pPr>
              <w:pStyle w:val="yTableNAm"/>
              <w:rPr>
                <w:snapToGrid w:val="0"/>
              </w:rPr>
            </w:pPr>
            <w:r>
              <w:rPr>
                <w:snapToGrid w:val="0"/>
              </w:rPr>
              <w:t>Any preparation, admixture, extract, or other substance containing not less than — </w:t>
            </w:r>
          </w:p>
        </w:tc>
      </w:tr>
      <w:tr>
        <w:trPr>
          <w:cantSplit/>
        </w:trPr>
        <w:tc>
          <w:tcPr>
            <w:tcW w:w="1242" w:type="dxa"/>
          </w:tcPr>
          <w:p>
            <w:pPr>
              <w:pStyle w:val="yTableNAm"/>
              <w:jc w:val="center"/>
              <w:rPr>
                <w:snapToGrid w:val="0"/>
              </w:rPr>
            </w:pPr>
          </w:p>
        </w:tc>
        <w:tc>
          <w:tcPr>
            <w:tcW w:w="6092" w:type="dxa"/>
          </w:tcPr>
          <w:p>
            <w:pPr>
              <w:pStyle w:val="yTableNAm"/>
              <w:tabs>
                <w:tab w:val="clear" w:pos="567"/>
                <w:tab w:val="left" w:pos="438"/>
              </w:tabs>
              <w:ind w:left="438" w:hanging="438"/>
              <w:rPr>
                <w:snapToGrid w:val="0"/>
              </w:rPr>
            </w:pPr>
            <w:r>
              <w:rPr>
                <w:snapToGrid w:val="0"/>
              </w:rPr>
              <w:t>(a)</w:t>
            </w:r>
            <w:r>
              <w:rPr>
                <w:snapToGrid w:val="0"/>
              </w:rPr>
              <w:tab/>
              <w:t>0.2% of morphine, the percentage of morphine being for the purpose of this item calculated as in respect of anhydrous morphine; or</w:t>
            </w:r>
          </w:p>
        </w:tc>
      </w:tr>
      <w:tr>
        <w:trPr>
          <w:cantSplit/>
        </w:trPr>
        <w:tc>
          <w:tcPr>
            <w:tcW w:w="1242" w:type="dxa"/>
          </w:tcPr>
          <w:p>
            <w:pPr>
              <w:pStyle w:val="yTableNAm"/>
              <w:jc w:val="center"/>
              <w:rPr>
                <w:snapToGrid w:val="0"/>
              </w:rPr>
            </w:pPr>
          </w:p>
        </w:tc>
        <w:tc>
          <w:tcPr>
            <w:tcW w:w="6092" w:type="dxa"/>
          </w:tcPr>
          <w:p>
            <w:pPr>
              <w:pStyle w:val="yTableNAm"/>
              <w:tabs>
                <w:tab w:val="clear" w:pos="567"/>
                <w:tab w:val="left" w:pos="438"/>
              </w:tabs>
              <w:ind w:left="438" w:hanging="438"/>
              <w:rPr>
                <w:snapToGrid w:val="0"/>
              </w:rPr>
            </w:pPr>
            <w:r>
              <w:rPr>
                <w:snapToGrid w:val="0"/>
              </w:rPr>
              <w:t>(b)</w:t>
            </w:r>
            <w:r>
              <w:rPr>
                <w:snapToGrid w:val="0"/>
              </w:rPr>
              <w:tab/>
              <w:t>0.1% of cocaine or ecgonine.</w:t>
            </w:r>
          </w:p>
        </w:tc>
      </w:tr>
      <w:tr>
        <w:trPr>
          <w:cantSplit/>
        </w:trPr>
        <w:tc>
          <w:tcPr>
            <w:tcW w:w="1242" w:type="dxa"/>
          </w:tcPr>
          <w:p>
            <w:pPr>
              <w:pStyle w:val="yTableNAm"/>
              <w:jc w:val="center"/>
              <w:rPr>
                <w:snapToGrid w:val="0"/>
              </w:rPr>
            </w:pPr>
            <w:r>
              <w:rPr>
                <w:snapToGrid w:val="0"/>
              </w:rPr>
              <w:t>4.</w:t>
            </w:r>
          </w:p>
        </w:tc>
        <w:tc>
          <w:tcPr>
            <w:tcW w:w="6092" w:type="dxa"/>
          </w:tcPr>
          <w:p>
            <w:pPr>
              <w:pStyle w:val="yTableNAm"/>
              <w:rPr>
                <w:snapToGrid w:val="0"/>
              </w:rPr>
            </w:pPr>
            <w:r>
              <w:rPr>
                <w:snapToGrid w:val="0"/>
              </w:rPr>
              <w:t>Any derivative of cocaine.</w:t>
            </w:r>
          </w:p>
        </w:tc>
      </w:tr>
      <w:tr>
        <w:trPr>
          <w:cantSplit/>
        </w:trPr>
        <w:tc>
          <w:tcPr>
            <w:tcW w:w="1242" w:type="dxa"/>
          </w:tcPr>
          <w:p>
            <w:pPr>
              <w:pStyle w:val="yTableNAm"/>
              <w:jc w:val="center"/>
              <w:rPr>
                <w:snapToGrid w:val="0"/>
              </w:rPr>
            </w:pPr>
            <w:r>
              <w:rPr>
                <w:snapToGrid w:val="0"/>
              </w:rPr>
              <w:t>5.</w:t>
            </w:r>
          </w:p>
        </w:tc>
        <w:tc>
          <w:tcPr>
            <w:tcW w:w="6092" w:type="dxa"/>
          </w:tcPr>
          <w:p>
            <w:pPr>
              <w:pStyle w:val="yTableNAm"/>
              <w:rPr>
                <w:snapToGrid w:val="0"/>
              </w:rPr>
            </w:pPr>
            <w:r>
              <w:rPr>
                <w:snapToGrid w:val="0"/>
              </w:rPr>
              <w:t>Cannabis or cannabis resin or any other cannabis derivative.</w:t>
            </w:r>
          </w:p>
        </w:tc>
      </w:tr>
    </w:tbl>
    <w:p>
      <w:pPr>
        <w:pStyle w:val="yScheduleHeading"/>
      </w:pPr>
      <w:bookmarkStart w:id="564" w:name="_Toc535053910"/>
      <w:bookmarkStart w:id="565" w:name="_Toc109615284"/>
      <w:bookmarkStart w:id="566" w:name="_Toc139344578"/>
      <w:bookmarkStart w:id="567" w:name="_Toc139699342"/>
      <w:bookmarkStart w:id="568" w:name="_Toc147051375"/>
      <w:bookmarkStart w:id="569" w:name="_Toc147118830"/>
      <w:bookmarkStart w:id="570" w:name="_Toc148236151"/>
      <w:bookmarkStart w:id="571" w:name="_Toc158705025"/>
      <w:bookmarkStart w:id="572" w:name="_Toc165369986"/>
      <w:bookmarkStart w:id="573" w:name="_Toc177873328"/>
      <w:bookmarkStart w:id="574" w:name="_Toc177873453"/>
      <w:bookmarkStart w:id="575" w:name="_Toc184707410"/>
      <w:bookmarkStart w:id="576" w:name="_Toc189464741"/>
      <w:bookmarkStart w:id="577" w:name="_Toc190249305"/>
      <w:bookmarkStart w:id="578" w:name="_Toc191703199"/>
      <w:bookmarkStart w:id="579" w:name="_Toc193692116"/>
      <w:bookmarkStart w:id="580" w:name="_Toc199817298"/>
      <w:bookmarkStart w:id="581" w:name="_Toc215543771"/>
      <w:bookmarkStart w:id="582" w:name="_Toc215544031"/>
      <w:bookmarkStart w:id="583" w:name="_Toc248029068"/>
      <w:bookmarkStart w:id="584" w:name="_Toc256085117"/>
      <w:bookmarkStart w:id="585" w:name="_Toc256092182"/>
      <w:bookmarkStart w:id="586" w:name="_Toc268600367"/>
      <w:bookmarkStart w:id="587" w:name="_Toc272237496"/>
      <w:bookmarkStart w:id="588" w:name="_Toc275253575"/>
      <w:bookmarkStart w:id="589" w:name="_Toc283287500"/>
      <w:bookmarkStart w:id="590" w:name="_Toc290558486"/>
      <w:bookmarkStart w:id="591" w:name="_Toc290558562"/>
      <w:r>
        <w:rPr>
          <w:rStyle w:val="CharSchNo"/>
        </w:rPr>
        <w:t>Schedule II</w:t>
      </w:r>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r>
        <w:rPr>
          <w:rStyle w:val="CharSDivNo"/>
        </w:rPr>
        <w:t> </w:t>
      </w:r>
      <w:r>
        <w:t>—</w:t>
      </w:r>
      <w:r>
        <w:rPr>
          <w:rStyle w:val="CharSDivText"/>
        </w:rPr>
        <w:t> </w:t>
      </w:r>
      <w:r>
        <w:rPr>
          <w:rStyle w:val="CharSchText"/>
        </w:rPr>
        <w:t xml:space="preserve">Plants to which Act applies, notwithstanding anything in </w:t>
      </w:r>
      <w:r>
        <w:rPr>
          <w:rStyle w:val="CharSchText"/>
          <w:i/>
          <w:iCs/>
        </w:rPr>
        <w:t>Poisons Act 1964</w:t>
      </w:r>
      <w:bookmarkEnd w:id="586"/>
      <w:bookmarkEnd w:id="587"/>
      <w:bookmarkEnd w:id="588"/>
      <w:bookmarkEnd w:id="589"/>
      <w:bookmarkEnd w:id="590"/>
      <w:bookmarkEnd w:id="591"/>
    </w:p>
    <w:p>
      <w:pPr>
        <w:pStyle w:val="yShoulderClause"/>
        <w:rPr>
          <w:snapToGrid w:val="0"/>
        </w:rPr>
      </w:pPr>
      <w:r>
        <w:rPr>
          <w:snapToGrid w:val="0"/>
        </w:rPr>
        <w:t>[s. 4(2)(b)]</w:t>
      </w:r>
    </w:p>
    <w:p>
      <w:pPr>
        <w:pStyle w:val="yFootnoteheading"/>
        <w:rPr>
          <w:bCs/>
        </w:rPr>
      </w:pPr>
      <w:r>
        <w:tab/>
        <w:t>[Heading amended by No. 19 of 2010 s. 4.]</w:t>
      </w:r>
    </w:p>
    <w:tbl>
      <w:tblPr>
        <w:tblW w:w="0" w:type="auto"/>
        <w:tblLayout w:type="fixed"/>
        <w:tblLook w:val="0000" w:firstRow="0" w:lastRow="0" w:firstColumn="0" w:lastColumn="0" w:noHBand="0" w:noVBand="0"/>
      </w:tblPr>
      <w:tblGrid>
        <w:gridCol w:w="1242"/>
        <w:gridCol w:w="6092"/>
      </w:tblGrid>
      <w:tr>
        <w:trPr>
          <w:cantSplit/>
        </w:trPr>
        <w:tc>
          <w:tcPr>
            <w:tcW w:w="1242" w:type="dxa"/>
          </w:tcPr>
          <w:p>
            <w:pPr>
              <w:pStyle w:val="yTableNAm"/>
              <w:jc w:val="center"/>
              <w:rPr>
                <w:i/>
                <w:iCs/>
                <w:snapToGrid w:val="0"/>
              </w:rPr>
            </w:pPr>
            <w:r>
              <w:rPr>
                <w:i/>
                <w:iCs/>
                <w:snapToGrid w:val="0"/>
              </w:rPr>
              <w:t>Item</w:t>
            </w:r>
          </w:p>
        </w:tc>
        <w:tc>
          <w:tcPr>
            <w:tcW w:w="6092" w:type="dxa"/>
          </w:tcPr>
          <w:p>
            <w:pPr>
              <w:pStyle w:val="yTableNAm"/>
              <w:jc w:val="center"/>
              <w:rPr>
                <w:i/>
                <w:iCs/>
                <w:snapToGrid w:val="0"/>
              </w:rPr>
            </w:pPr>
            <w:r>
              <w:rPr>
                <w:i/>
                <w:iCs/>
                <w:snapToGrid w:val="0"/>
              </w:rPr>
              <w:t>Prohibited plant</w:t>
            </w:r>
          </w:p>
        </w:tc>
      </w:tr>
      <w:tr>
        <w:trPr>
          <w:cantSplit/>
        </w:trPr>
        <w:tc>
          <w:tcPr>
            <w:tcW w:w="1242" w:type="dxa"/>
          </w:tcPr>
          <w:p>
            <w:pPr>
              <w:pStyle w:val="yTableNAm"/>
              <w:jc w:val="center"/>
              <w:rPr>
                <w:snapToGrid w:val="0"/>
              </w:rPr>
            </w:pPr>
            <w:r>
              <w:rPr>
                <w:snapToGrid w:val="0"/>
              </w:rPr>
              <w:t>1.</w:t>
            </w:r>
          </w:p>
        </w:tc>
        <w:tc>
          <w:tcPr>
            <w:tcW w:w="6092" w:type="dxa"/>
          </w:tcPr>
          <w:p>
            <w:pPr>
              <w:pStyle w:val="yTableNAm"/>
              <w:rPr>
                <w:snapToGrid w:val="0"/>
              </w:rPr>
            </w:pPr>
            <w:r>
              <w:rPr>
                <w:snapToGrid w:val="0"/>
              </w:rPr>
              <w:t>Papaver somniferum</w:t>
            </w:r>
          </w:p>
        </w:tc>
      </w:tr>
      <w:tr>
        <w:trPr>
          <w:cantSplit/>
        </w:trPr>
        <w:tc>
          <w:tcPr>
            <w:tcW w:w="1242" w:type="dxa"/>
          </w:tcPr>
          <w:p>
            <w:pPr>
              <w:pStyle w:val="yTableNAm"/>
              <w:jc w:val="center"/>
              <w:rPr>
                <w:snapToGrid w:val="0"/>
              </w:rPr>
            </w:pPr>
            <w:r>
              <w:rPr>
                <w:snapToGrid w:val="0"/>
              </w:rPr>
              <w:t>2.</w:t>
            </w:r>
          </w:p>
        </w:tc>
        <w:tc>
          <w:tcPr>
            <w:tcW w:w="6092" w:type="dxa"/>
          </w:tcPr>
          <w:p>
            <w:pPr>
              <w:pStyle w:val="yTableNAm"/>
              <w:rPr>
                <w:snapToGrid w:val="0"/>
              </w:rPr>
            </w:pPr>
            <w:r>
              <w:rPr>
                <w:snapToGrid w:val="0"/>
              </w:rPr>
              <w:t>Papaver bracteatum</w:t>
            </w:r>
          </w:p>
        </w:tc>
      </w:tr>
      <w:tr>
        <w:trPr>
          <w:cantSplit/>
        </w:trPr>
        <w:tc>
          <w:tcPr>
            <w:tcW w:w="1242" w:type="dxa"/>
          </w:tcPr>
          <w:p>
            <w:pPr>
              <w:pStyle w:val="yTableNAm"/>
              <w:jc w:val="center"/>
              <w:rPr>
                <w:snapToGrid w:val="0"/>
              </w:rPr>
            </w:pPr>
            <w:r>
              <w:rPr>
                <w:snapToGrid w:val="0"/>
              </w:rPr>
              <w:t>3.</w:t>
            </w:r>
          </w:p>
        </w:tc>
        <w:tc>
          <w:tcPr>
            <w:tcW w:w="6092" w:type="dxa"/>
          </w:tcPr>
          <w:p>
            <w:pPr>
              <w:pStyle w:val="yTableNAm"/>
              <w:rPr>
                <w:snapToGrid w:val="0"/>
              </w:rPr>
            </w:pPr>
            <w:r>
              <w:rPr>
                <w:snapToGrid w:val="0"/>
              </w:rPr>
              <w:t>Cannabis</w:t>
            </w:r>
          </w:p>
        </w:tc>
      </w:tr>
    </w:tbl>
    <w:p>
      <w:pPr>
        <w:pStyle w:val="yScheduleHeading"/>
      </w:pPr>
      <w:bookmarkStart w:id="592" w:name="_Toc535053911"/>
      <w:bookmarkStart w:id="593" w:name="_Toc109615285"/>
      <w:bookmarkStart w:id="594" w:name="_Toc139344579"/>
      <w:bookmarkStart w:id="595" w:name="_Toc139699343"/>
      <w:bookmarkStart w:id="596" w:name="_Toc147051376"/>
      <w:bookmarkStart w:id="597" w:name="_Toc147118831"/>
      <w:bookmarkStart w:id="598" w:name="_Toc148236152"/>
      <w:bookmarkStart w:id="599" w:name="_Toc158705026"/>
      <w:bookmarkStart w:id="600" w:name="_Toc165369988"/>
      <w:bookmarkStart w:id="601" w:name="_Toc177873330"/>
      <w:bookmarkStart w:id="602" w:name="_Toc177873455"/>
      <w:bookmarkStart w:id="603" w:name="_Toc184707412"/>
      <w:bookmarkStart w:id="604" w:name="_Toc189464743"/>
      <w:bookmarkStart w:id="605" w:name="_Toc190249307"/>
      <w:bookmarkStart w:id="606" w:name="_Toc191703201"/>
      <w:bookmarkStart w:id="607" w:name="_Toc193692118"/>
      <w:bookmarkStart w:id="608" w:name="_Toc199817300"/>
      <w:bookmarkStart w:id="609" w:name="_Toc215543773"/>
      <w:bookmarkStart w:id="610" w:name="_Toc215544033"/>
      <w:bookmarkStart w:id="611" w:name="_Toc248029070"/>
      <w:bookmarkStart w:id="612" w:name="_Toc256085119"/>
      <w:bookmarkStart w:id="613" w:name="_Toc256092184"/>
      <w:bookmarkStart w:id="614" w:name="_Toc268600368"/>
      <w:bookmarkStart w:id="615" w:name="_Toc272237497"/>
      <w:bookmarkStart w:id="616" w:name="_Toc275253576"/>
      <w:bookmarkStart w:id="617" w:name="_Toc283287501"/>
      <w:bookmarkStart w:id="618" w:name="_Toc290558487"/>
      <w:bookmarkStart w:id="619" w:name="_Toc290558563"/>
      <w:r>
        <w:rPr>
          <w:rStyle w:val="CharSchNo"/>
        </w:rPr>
        <w:t>Schedule III</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r>
        <w:rPr>
          <w:rStyle w:val="CharSDivNo"/>
        </w:rPr>
        <w:t> </w:t>
      </w:r>
      <w:r>
        <w:t>—</w:t>
      </w:r>
      <w:r>
        <w:rPr>
          <w:rStyle w:val="CharSDivText"/>
        </w:rPr>
        <w:t> </w:t>
      </w:r>
      <w:r>
        <w:rPr>
          <w:rStyle w:val="CharSchText"/>
        </w:rPr>
        <w:t>Amounts of prohibited drugs determining court of trial</w:t>
      </w:r>
      <w:bookmarkEnd w:id="614"/>
      <w:bookmarkEnd w:id="615"/>
      <w:bookmarkEnd w:id="616"/>
      <w:bookmarkEnd w:id="617"/>
      <w:bookmarkEnd w:id="618"/>
      <w:bookmarkEnd w:id="619"/>
    </w:p>
    <w:p>
      <w:pPr>
        <w:pStyle w:val="yShoulderClause"/>
        <w:rPr>
          <w:snapToGrid w:val="0"/>
        </w:rPr>
      </w:pPr>
      <w:r>
        <w:rPr>
          <w:snapToGrid w:val="0"/>
        </w:rPr>
        <w:t>[s. 9]</w:t>
      </w:r>
    </w:p>
    <w:p>
      <w:pPr>
        <w:pStyle w:val="yFootnoteheading"/>
      </w:pPr>
      <w:r>
        <w:tab/>
        <w:t>[Heading amended by No. 19 of 2010 s. 4.]</w:t>
      </w:r>
    </w:p>
    <w:tbl>
      <w:tblPr>
        <w:tblW w:w="0" w:type="auto"/>
        <w:tblInd w:w="170" w:type="dxa"/>
        <w:tblLayout w:type="fixed"/>
        <w:tblCellMar>
          <w:left w:w="142" w:type="dxa"/>
          <w:right w:w="142" w:type="dxa"/>
        </w:tblCellMar>
        <w:tblLook w:val="0000" w:firstRow="0" w:lastRow="0" w:firstColumn="0" w:lastColumn="0" w:noHBand="0" w:noVBand="0"/>
      </w:tblPr>
      <w:tblGrid>
        <w:gridCol w:w="680"/>
        <w:gridCol w:w="12"/>
        <w:gridCol w:w="5098"/>
        <w:gridCol w:w="1200"/>
      </w:tblGrid>
      <w:tr>
        <w:trPr>
          <w:tblHeader/>
        </w:trPr>
        <w:tc>
          <w:tcPr>
            <w:tcW w:w="680" w:type="dxa"/>
          </w:tcPr>
          <w:p>
            <w:pPr>
              <w:pStyle w:val="yTable"/>
              <w:spacing w:before="40" w:after="40"/>
              <w:rPr>
                <w:i/>
              </w:rPr>
            </w:pPr>
            <w:r>
              <w:rPr>
                <w:i/>
              </w:rPr>
              <w:t>Item</w:t>
            </w:r>
          </w:p>
        </w:tc>
        <w:tc>
          <w:tcPr>
            <w:tcW w:w="5110" w:type="dxa"/>
            <w:gridSpan w:val="2"/>
          </w:tcPr>
          <w:p>
            <w:pPr>
              <w:pStyle w:val="yTable"/>
              <w:jc w:val="center"/>
              <w:rPr>
                <w:i/>
              </w:rPr>
            </w:pPr>
            <w:r>
              <w:rPr>
                <w:i/>
              </w:rPr>
              <w:t>Prohibited drug</w:t>
            </w:r>
          </w:p>
        </w:tc>
        <w:tc>
          <w:tcPr>
            <w:tcW w:w="1200" w:type="dxa"/>
          </w:tcPr>
          <w:p>
            <w:pPr>
              <w:pStyle w:val="yTable"/>
              <w:spacing w:before="40" w:after="40"/>
              <w:jc w:val="center"/>
            </w:pPr>
            <w:r>
              <w:rPr>
                <w:i/>
              </w:rPr>
              <w:t>Amount</w:t>
            </w:r>
            <w:r>
              <w:rPr>
                <w:i/>
              </w:rPr>
              <w:br/>
            </w:r>
            <w:r>
              <w:t>(in grams</w:t>
            </w:r>
            <w:r>
              <w:br/>
              <w:t>unless</w:t>
            </w:r>
            <w:r>
              <w:br/>
              <w:t>otherwise</w:t>
            </w:r>
            <w:r>
              <w:br/>
              <w:t>stated)</w:t>
            </w:r>
          </w:p>
        </w:tc>
      </w:tr>
      <w:tr>
        <w:tc>
          <w:tcPr>
            <w:tcW w:w="680" w:type="dxa"/>
          </w:tcPr>
          <w:p>
            <w:pPr>
              <w:pStyle w:val="yTable"/>
              <w:spacing w:before="40" w:after="40"/>
            </w:pPr>
            <w:r>
              <w:t>1.</w:t>
            </w:r>
          </w:p>
        </w:tc>
        <w:tc>
          <w:tcPr>
            <w:tcW w:w="5110" w:type="dxa"/>
            <w:gridSpan w:val="2"/>
          </w:tcPr>
          <w:p>
            <w:pPr>
              <w:pStyle w:val="yTable"/>
            </w:pPr>
            <w:r>
              <w:t>ACETORPHINE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2.</w:t>
            </w:r>
          </w:p>
        </w:tc>
        <w:tc>
          <w:tcPr>
            <w:tcW w:w="5110" w:type="dxa"/>
            <w:gridSpan w:val="2"/>
          </w:tcPr>
          <w:p>
            <w:pPr>
              <w:pStyle w:val="yTable"/>
              <w:ind w:left="548" w:hanging="548"/>
            </w:pPr>
            <w:r>
              <w:t>ACETYLDIHYDROCODEINE (except when included in Schedule 2 or 4 in Appendix A to the </w:t>
            </w:r>
            <w:r>
              <w:rPr>
                <w:i/>
                <w:iCs/>
              </w:rPr>
              <w:t>Poisons Act 1964</w:t>
            </w:r>
            <w:r>
              <w:t>)</w:t>
            </w:r>
          </w:p>
        </w:tc>
        <w:tc>
          <w:tcPr>
            <w:tcW w:w="1200" w:type="dxa"/>
          </w:tcPr>
          <w:p>
            <w:pPr>
              <w:pStyle w:val="yTable"/>
              <w:tabs>
                <w:tab w:val="decimal" w:pos="439"/>
              </w:tabs>
              <w:spacing w:before="40" w:after="40"/>
            </w:pPr>
            <w:r>
              <w:t>6.0</w:t>
            </w:r>
          </w:p>
        </w:tc>
      </w:tr>
      <w:tr>
        <w:tc>
          <w:tcPr>
            <w:tcW w:w="680" w:type="dxa"/>
          </w:tcPr>
          <w:p>
            <w:pPr>
              <w:pStyle w:val="yTable"/>
              <w:spacing w:before="40" w:after="40"/>
            </w:pPr>
            <w:r>
              <w:t>3.</w:t>
            </w:r>
          </w:p>
        </w:tc>
        <w:tc>
          <w:tcPr>
            <w:tcW w:w="5110" w:type="dxa"/>
            <w:gridSpan w:val="2"/>
          </w:tcPr>
          <w:p>
            <w:pPr>
              <w:pStyle w:val="yTable"/>
            </w:pPr>
            <w:r>
              <w:t>ACETYLMETHADOL</w:t>
            </w:r>
          </w:p>
        </w:tc>
        <w:tc>
          <w:tcPr>
            <w:tcW w:w="1200" w:type="dxa"/>
          </w:tcPr>
          <w:p>
            <w:pPr>
              <w:pStyle w:val="yTable"/>
              <w:tabs>
                <w:tab w:val="decimal" w:pos="439"/>
              </w:tabs>
              <w:spacing w:before="40" w:after="40"/>
            </w:pPr>
            <w:r>
              <w:t>6.0</w:t>
            </w:r>
          </w:p>
        </w:tc>
      </w:tr>
      <w:tr>
        <w:tc>
          <w:tcPr>
            <w:tcW w:w="680" w:type="dxa"/>
          </w:tcPr>
          <w:p>
            <w:pPr>
              <w:pStyle w:val="yTable"/>
              <w:spacing w:before="40" w:after="40"/>
            </w:pPr>
            <w:r>
              <w:t>4.</w:t>
            </w:r>
          </w:p>
        </w:tc>
        <w:tc>
          <w:tcPr>
            <w:tcW w:w="5110" w:type="dxa"/>
            <w:gridSpan w:val="2"/>
          </w:tcPr>
          <w:p>
            <w:pPr>
              <w:pStyle w:val="yTable"/>
            </w:pPr>
            <w:r>
              <w:t>ALLOBARBITONE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5.</w:t>
            </w:r>
          </w:p>
        </w:tc>
        <w:tc>
          <w:tcPr>
            <w:tcW w:w="5110" w:type="dxa"/>
            <w:gridSpan w:val="2"/>
          </w:tcPr>
          <w:p>
            <w:pPr>
              <w:pStyle w:val="yTable"/>
            </w:pPr>
            <w:r>
              <w:t>ALLYLBARBITURIC ACID</w:t>
            </w:r>
          </w:p>
        </w:tc>
        <w:tc>
          <w:tcPr>
            <w:tcW w:w="1200" w:type="dxa"/>
          </w:tcPr>
          <w:p>
            <w:pPr>
              <w:pStyle w:val="yTable"/>
              <w:tabs>
                <w:tab w:val="decimal" w:pos="439"/>
              </w:tabs>
              <w:spacing w:before="40" w:after="40"/>
            </w:pPr>
            <w:r>
              <w:t>30.0</w:t>
            </w:r>
          </w:p>
        </w:tc>
      </w:tr>
      <w:tr>
        <w:tc>
          <w:tcPr>
            <w:tcW w:w="680" w:type="dxa"/>
          </w:tcPr>
          <w:p>
            <w:pPr>
              <w:pStyle w:val="yTable"/>
              <w:spacing w:before="40" w:after="40"/>
            </w:pPr>
            <w:r>
              <w:t>6.</w:t>
            </w:r>
          </w:p>
        </w:tc>
        <w:tc>
          <w:tcPr>
            <w:tcW w:w="5110" w:type="dxa"/>
            <w:gridSpan w:val="2"/>
          </w:tcPr>
          <w:p>
            <w:pPr>
              <w:pStyle w:val="yTable"/>
            </w:pPr>
            <w:r>
              <w:t>ALLYLPRODINE</w:t>
            </w:r>
          </w:p>
        </w:tc>
        <w:tc>
          <w:tcPr>
            <w:tcW w:w="1200" w:type="dxa"/>
          </w:tcPr>
          <w:p>
            <w:pPr>
              <w:pStyle w:val="yTable"/>
              <w:tabs>
                <w:tab w:val="decimal" w:pos="439"/>
              </w:tabs>
              <w:spacing w:before="40" w:after="40"/>
            </w:pPr>
            <w:r>
              <w:t>6.0</w:t>
            </w:r>
          </w:p>
        </w:tc>
      </w:tr>
      <w:tr>
        <w:tc>
          <w:tcPr>
            <w:tcW w:w="680" w:type="dxa"/>
          </w:tcPr>
          <w:p>
            <w:pPr>
              <w:pStyle w:val="yTable"/>
              <w:spacing w:before="40" w:after="40"/>
            </w:pPr>
            <w:r>
              <w:t>7.</w:t>
            </w:r>
          </w:p>
        </w:tc>
        <w:tc>
          <w:tcPr>
            <w:tcW w:w="5110" w:type="dxa"/>
            <w:gridSpan w:val="2"/>
          </w:tcPr>
          <w:p>
            <w:pPr>
              <w:pStyle w:val="yTable"/>
            </w:pPr>
            <w:r>
              <w:t>ALPHACETYLMETHADOL</w:t>
            </w:r>
          </w:p>
        </w:tc>
        <w:tc>
          <w:tcPr>
            <w:tcW w:w="1200" w:type="dxa"/>
          </w:tcPr>
          <w:p>
            <w:pPr>
              <w:pStyle w:val="yTable"/>
              <w:tabs>
                <w:tab w:val="decimal" w:pos="439"/>
              </w:tabs>
              <w:spacing w:before="40" w:after="40"/>
            </w:pPr>
            <w:r>
              <w:t>30.0</w:t>
            </w:r>
          </w:p>
        </w:tc>
      </w:tr>
      <w:tr>
        <w:tc>
          <w:tcPr>
            <w:tcW w:w="680" w:type="dxa"/>
          </w:tcPr>
          <w:p>
            <w:pPr>
              <w:pStyle w:val="yTable"/>
              <w:spacing w:before="40" w:after="40"/>
            </w:pPr>
            <w:r>
              <w:t>8.</w:t>
            </w:r>
          </w:p>
        </w:tc>
        <w:tc>
          <w:tcPr>
            <w:tcW w:w="5110" w:type="dxa"/>
            <w:gridSpan w:val="2"/>
          </w:tcPr>
          <w:p>
            <w:pPr>
              <w:pStyle w:val="yTable"/>
            </w:pPr>
            <w:r>
              <w:t>ALPHAMEPRODINE</w:t>
            </w:r>
          </w:p>
        </w:tc>
        <w:tc>
          <w:tcPr>
            <w:tcW w:w="1200" w:type="dxa"/>
          </w:tcPr>
          <w:p>
            <w:pPr>
              <w:pStyle w:val="yTable"/>
              <w:tabs>
                <w:tab w:val="decimal" w:pos="439"/>
              </w:tabs>
              <w:spacing w:before="40" w:after="40"/>
            </w:pPr>
            <w:r>
              <w:t>0.6</w:t>
            </w:r>
          </w:p>
        </w:tc>
      </w:tr>
      <w:tr>
        <w:tc>
          <w:tcPr>
            <w:tcW w:w="680" w:type="dxa"/>
          </w:tcPr>
          <w:p>
            <w:pPr>
              <w:pStyle w:val="yTable"/>
              <w:spacing w:before="40" w:after="40"/>
            </w:pPr>
            <w:r>
              <w:t>9.</w:t>
            </w:r>
          </w:p>
        </w:tc>
        <w:tc>
          <w:tcPr>
            <w:tcW w:w="5110" w:type="dxa"/>
            <w:gridSpan w:val="2"/>
          </w:tcPr>
          <w:p>
            <w:pPr>
              <w:pStyle w:val="yTable"/>
            </w:pPr>
            <w:r>
              <w:t>ALPHAMETHADOL</w:t>
            </w:r>
          </w:p>
        </w:tc>
        <w:tc>
          <w:tcPr>
            <w:tcW w:w="1200" w:type="dxa"/>
          </w:tcPr>
          <w:p>
            <w:pPr>
              <w:pStyle w:val="yTable"/>
              <w:tabs>
                <w:tab w:val="decimal" w:pos="439"/>
              </w:tabs>
              <w:spacing w:before="40" w:after="40"/>
            </w:pPr>
            <w:r>
              <w:t>0.6</w:t>
            </w:r>
          </w:p>
        </w:tc>
      </w:tr>
      <w:tr>
        <w:tc>
          <w:tcPr>
            <w:tcW w:w="680" w:type="dxa"/>
          </w:tcPr>
          <w:p>
            <w:pPr>
              <w:pStyle w:val="yTable"/>
              <w:spacing w:before="40" w:after="40"/>
            </w:pPr>
            <w:r>
              <w:t>10.</w:t>
            </w:r>
          </w:p>
        </w:tc>
        <w:tc>
          <w:tcPr>
            <w:tcW w:w="5110" w:type="dxa"/>
            <w:gridSpan w:val="2"/>
          </w:tcPr>
          <w:p>
            <w:pPr>
              <w:pStyle w:val="yTable"/>
            </w:pPr>
            <w:r>
              <w:t>ALPHAPRODINE</w:t>
            </w:r>
          </w:p>
        </w:tc>
        <w:tc>
          <w:tcPr>
            <w:tcW w:w="1200" w:type="dxa"/>
          </w:tcPr>
          <w:p>
            <w:pPr>
              <w:pStyle w:val="yTable"/>
              <w:tabs>
                <w:tab w:val="decimal" w:pos="439"/>
              </w:tabs>
              <w:spacing w:before="40" w:after="40"/>
            </w:pPr>
            <w:r>
              <w:t>75.0</w:t>
            </w:r>
          </w:p>
        </w:tc>
      </w:tr>
      <w:tr>
        <w:tc>
          <w:tcPr>
            <w:tcW w:w="680" w:type="dxa"/>
          </w:tcPr>
          <w:p>
            <w:pPr>
              <w:pStyle w:val="yTable"/>
              <w:spacing w:before="40" w:after="40"/>
            </w:pPr>
            <w:r>
              <w:t>11.</w:t>
            </w:r>
          </w:p>
        </w:tc>
        <w:tc>
          <w:tcPr>
            <w:tcW w:w="5110" w:type="dxa"/>
            <w:gridSpan w:val="2"/>
          </w:tcPr>
          <w:p>
            <w:pPr>
              <w:pStyle w:val="yTable"/>
            </w:pPr>
            <w:r>
              <w:t>AMPHETAMINE</w:t>
            </w:r>
          </w:p>
        </w:tc>
        <w:tc>
          <w:tcPr>
            <w:tcW w:w="1200" w:type="dxa"/>
          </w:tcPr>
          <w:p>
            <w:pPr>
              <w:pStyle w:val="yTable"/>
              <w:tabs>
                <w:tab w:val="decimal" w:pos="439"/>
              </w:tabs>
              <w:spacing w:before="40" w:after="40"/>
            </w:pPr>
            <w:r>
              <w:t>4.0</w:t>
            </w:r>
          </w:p>
        </w:tc>
      </w:tr>
      <w:tr>
        <w:tc>
          <w:tcPr>
            <w:tcW w:w="680" w:type="dxa"/>
          </w:tcPr>
          <w:p>
            <w:pPr>
              <w:pStyle w:val="yTable"/>
              <w:spacing w:before="40" w:after="40"/>
            </w:pPr>
            <w:r>
              <w:t>12.</w:t>
            </w:r>
          </w:p>
        </w:tc>
        <w:tc>
          <w:tcPr>
            <w:tcW w:w="5110" w:type="dxa"/>
            <w:gridSpan w:val="2"/>
          </w:tcPr>
          <w:p>
            <w:pPr>
              <w:pStyle w:val="yTable"/>
            </w:pPr>
            <w:r>
              <w:t>AMYLOBARBITONE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13.</w:t>
            </w:r>
          </w:p>
        </w:tc>
        <w:tc>
          <w:tcPr>
            <w:tcW w:w="5110" w:type="dxa"/>
            <w:gridSpan w:val="2"/>
          </w:tcPr>
          <w:p>
            <w:pPr>
              <w:pStyle w:val="yTable"/>
            </w:pPr>
            <w:r>
              <w:t>ANILERIDINE</w:t>
            </w:r>
          </w:p>
        </w:tc>
        <w:tc>
          <w:tcPr>
            <w:tcW w:w="1200" w:type="dxa"/>
          </w:tcPr>
          <w:p>
            <w:pPr>
              <w:pStyle w:val="yTable"/>
              <w:tabs>
                <w:tab w:val="decimal" w:pos="439"/>
              </w:tabs>
              <w:spacing w:before="40" w:after="40"/>
            </w:pPr>
            <w:r>
              <w:t>75.0</w:t>
            </w:r>
          </w:p>
        </w:tc>
      </w:tr>
      <w:tr>
        <w:tc>
          <w:tcPr>
            <w:tcW w:w="680" w:type="dxa"/>
          </w:tcPr>
          <w:p>
            <w:pPr>
              <w:pStyle w:val="yTable"/>
              <w:spacing w:before="40" w:after="40"/>
            </w:pPr>
            <w:r>
              <w:t>14.</w:t>
            </w:r>
          </w:p>
        </w:tc>
        <w:tc>
          <w:tcPr>
            <w:tcW w:w="5110" w:type="dxa"/>
            <w:gridSpan w:val="2"/>
          </w:tcPr>
          <w:p>
            <w:pPr>
              <w:pStyle w:val="yTable"/>
            </w:pPr>
            <w:r>
              <w:t>APROBARBITONE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15.</w:t>
            </w:r>
          </w:p>
        </w:tc>
        <w:tc>
          <w:tcPr>
            <w:tcW w:w="5110" w:type="dxa"/>
            <w:gridSpan w:val="2"/>
          </w:tcPr>
          <w:p>
            <w:pPr>
              <w:pStyle w:val="yTable"/>
            </w:pPr>
            <w:r>
              <w:t>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16.</w:t>
            </w:r>
          </w:p>
        </w:tc>
        <w:tc>
          <w:tcPr>
            <w:tcW w:w="5110" w:type="dxa"/>
            <w:gridSpan w:val="2"/>
          </w:tcPr>
          <w:p>
            <w:pPr>
              <w:pStyle w:val="yTable"/>
            </w:pPr>
            <w:r>
              <w:t>BENZETHIDINE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17.</w:t>
            </w:r>
          </w:p>
        </w:tc>
        <w:tc>
          <w:tcPr>
            <w:tcW w:w="5110" w:type="dxa"/>
            <w:gridSpan w:val="2"/>
          </w:tcPr>
          <w:p>
            <w:pPr>
              <w:pStyle w:val="yTable"/>
            </w:pPr>
            <w:r>
              <w:t>BENZYLMORPHINE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18.</w:t>
            </w:r>
          </w:p>
        </w:tc>
        <w:tc>
          <w:tcPr>
            <w:tcW w:w="5110" w:type="dxa"/>
            <w:gridSpan w:val="2"/>
          </w:tcPr>
          <w:p>
            <w:pPr>
              <w:pStyle w:val="yTable"/>
            </w:pPr>
            <w:r>
              <w:t>BETACETYLMETHADOL</w:t>
            </w:r>
          </w:p>
        </w:tc>
        <w:tc>
          <w:tcPr>
            <w:tcW w:w="1200" w:type="dxa"/>
          </w:tcPr>
          <w:p>
            <w:pPr>
              <w:pStyle w:val="yTable"/>
              <w:tabs>
                <w:tab w:val="decimal" w:pos="439"/>
              </w:tabs>
              <w:spacing w:before="40" w:after="40"/>
            </w:pPr>
            <w:r>
              <w:t>15.0</w:t>
            </w:r>
          </w:p>
        </w:tc>
      </w:tr>
      <w:tr>
        <w:tc>
          <w:tcPr>
            <w:tcW w:w="680" w:type="dxa"/>
          </w:tcPr>
          <w:p>
            <w:pPr>
              <w:pStyle w:val="yTable"/>
              <w:spacing w:before="40" w:after="40"/>
            </w:pPr>
            <w:r>
              <w:t>19.</w:t>
            </w:r>
          </w:p>
        </w:tc>
        <w:tc>
          <w:tcPr>
            <w:tcW w:w="5110" w:type="dxa"/>
            <w:gridSpan w:val="2"/>
          </w:tcPr>
          <w:p>
            <w:pPr>
              <w:pStyle w:val="yTable"/>
            </w:pPr>
            <w:r>
              <w:t>BETAMEPRODINE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20.</w:t>
            </w:r>
          </w:p>
        </w:tc>
        <w:tc>
          <w:tcPr>
            <w:tcW w:w="5110" w:type="dxa"/>
            <w:gridSpan w:val="2"/>
          </w:tcPr>
          <w:p>
            <w:pPr>
              <w:pStyle w:val="yTable"/>
            </w:pPr>
            <w:r>
              <w:t>BETAMETHADOL</w:t>
            </w:r>
          </w:p>
        </w:tc>
        <w:tc>
          <w:tcPr>
            <w:tcW w:w="1200" w:type="dxa"/>
          </w:tcPr>
          <w:p>
            <w:pPr>
              <w:pStyle w:val="yTable"/>
              <w:tabs>
                <w:tab w:val="decimal" w:pos="439"/>
              </w:tabs>
              <w:spacing w:before="40" w:after="40"/>
            </w:pPr>
            <w:r>
              <w:t>15.0</w:t>
            </w:r>
          </w:p>
        </w:tc>
      </w:tr>
      <w:tr>
        <w:tc>
          <w:tcPr>
            <w:tcW w:w="680" w:type="dxa"/>
          </w:tcPr>
          <w:p>
            <w:pPr>
              <w:pStyle w:val="yTable"/>
              <w:spacing w:before="40" w:after="40"/>
            </w:pPr>
            <w:r>
              <w:t>21.</w:t>
            </w:r>
          </w:p>
        </w:tc>
        <w:tc>
          <w:tcPr>
            <w:tcW w:w="5110" w:type="dxa"/>
            <w:gridSpan w:val="2"/>
          </w:tcPr>
          <w:p>
            <w:pPr>
              <w:pStyle w:val="yTable"/>
            </w:pPr>
            <w:r>
              <w:t>BETAPRODINE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22.</w:t>
            </w:r>
          </w:p>
        </w:tc>
        <w:tc>
          <w:tcPr>
            <w:tcW w:w="5110" w:type="dxa"/>
            <w:gridSpan w:val="2"/>
          </w:tcPr>
          <w:p>
            <w:pPr>
              <w:pStyle w:val="yTable"/>
            </w:pPr>
            <w:r>
              <w:t>BEZITRAMIDE</w:t>
            </w:r>
          </w:p>
        </w:tc>
        <w:tc>
          <w:tcPr>
            <w:tcW w:w="1200" w:type="dxa"/>
          </w:tcPr>
          <w:p>
            <w:pPr>
              <w:pStyle w:val="yTable"/>
              <w:tabs>
                <w:tab w:val="decimal" w:pos="439"/>
              </w:tabs>
              <w:spacing w:before="40" w:after="40"/>
            </w:pPr>
            <w:r>
              <w:t>15.0</w:t>
            </w:r>
          </w:p>
        </w:tc>
      </w:tr>
      <w:tr>
        <w:tc>
          <w:tcPr>
            <w:tcW w:w="680" w:type="dxa"/>
          </w:tcPr>
          <w:p>
            <w:pPr>
              <w:pStyle w:val="yTable"/>
              <w:spacing w:before="40" w:after="40"/>
            </w:pPr>
            <w:r>
              <w:t>23.</w:t>
            </w:r>
          </w:p>
        </w:tc>
        <w:tc>
          <w:tcPr>
            <w:tcW w:w="5110" w:type="dxa"/>
            <w:gridSpan w:val="2"/>
          </w:tcPr>
          <w:p>
            <w:pPr>
              <w:pStyle w:val="yTable"/>
            </w:pPr>
            <w:r>
              <w:t>BUFOTENINE</w:t>
            </w:r>
          </w:p>
        </w:tc>
        <w:tc>
          <w:tcPr>
            <w:tcW w:w="1200" w:type="dxa"/>
          </w:tcPr>
          <w:p>
            <w:pPr>
              <w:pStyle w:val="yTable"/>
              <w:tabs>
                <w:tab w:val="decimal" w:pos="439"/>
              </w:tabs>
              <w:spacing w:before="40" w:after="40"/>
            </w:pPr>
            <w:r>
              <w:t>6.0</w:t>
            </w:r>
          </w:p>
        </w:tc>
      </w:tr>
      <w:tr>
        <w:tc>
          <w:tcPr>
            <w:tcW w:w="680" w:type="dxa"/>
          </w:tcPr>
          <w:p>
            <w:pPr>
              <w:pStyle w:val="yTable"/>
              <w:spacing w:before="40" w:after="40"/>
            </w:pPr>
            <w:r>
              <w:t>24.</w:t>
            </w:r>
          </w:p>
        </w:tc>
        <w:tc>
          <w:tcPr>
            <w:tcW w:w="5110" w:type="dxa"/>
            <w:gridSpan w:val="2"/>
          </w:tcPr>
          <w:p>
            <w:pPr>
              <w:pStyle w:val="yTable"/>
            </w:pPr>
            <w:r>
              <w:t>BUTOBARBITONE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25.</w:t>
            </w:r>
          </w:p>
        </w:tc>
        <w:tc>
          <w:tcPr>
            <w:tcW w:w="5110" w:type="dxa"/>
            <w:gridSpan w:val="2"/>
          </w:tcPr>
          <w:p>
            <w:pPr>
              <w:pStyle w:val="yTable"/>
            </w:pPr>
            <w:r>
              <w:t>CANNABIS</w:t>
            </w:r>
          </w:p>
        </w:tc>
        <w:tc>
          <w:tcPr>
            <w:tcW w:w="1200" w:type="dxa"/>
          </w:tcPr>
          <w:p>
            <w:pPr>
              <w:pStyle w:val="yTable"/>
              <w:tabs>
                <w:tab w:val="decimal" w:pos="439"/>
              </w:tabs>
              <w:spacing w:before="40" w:after="40"/>
            </w:pPr>
            <w:r>
              <w:t>500.0</w:t>
            </w:r>
          </w:p>
        </w:tc>
      </w:tr>
      <w:tr>
        <w:tc>
          <w:tcPr>
            <w:tcW w:w="680" w:type="dxa"/>
          </w:tcPr>
          <w:p>
            <w:pPr>
              <w:pStyle w:val="yTable"/>
              <w:spacing w:before="40" w:after="40"/>
            </w:pPr>
            <w:r>
              <w:t>26.</w:t>
            </w:r>
          </w:p>
        </w:tc>
        <w:tc>
          <w:tcPr>
            <w:tcW w:w="5110" w:type="dxa"/>
            <w:gridSpan w:val="2"/>
          </w:tcPr>
          <w:p>
            <w:pPr>
              <w:pStyle w:val="yTable"/>
            </w:pPr>
            <w:r>
              <w:t>CANNABIS RESIN</w:t>
            </w:r>
          </w:p>
        </w:tc>
        <w:tc>
          <w:tcPr>
            <w:tcW w:w="1200" w:type="dxa"/>
          </w:tcPr>
          <w:p>
            <w:pPr>
              <w:pStyle w:val="yTable"/>
              <w:tabs>
                <w:tab w:val="decimal" w:pos="439"/>
              </w:tabs>
              <w:spacing w:before="40" w:after="40"/>
            </w:pPr>
            <w:r>
              <w:t>40.0</w:t>
            </w:r>
          </w:p>
        </w:tc>
      </w:tr>
      <w:tr>
        <w:tc>
          <w:tcPr>
            <w:tcW w:w="680" w:type="dxa"/>
          </w:tcPr>
          <w:p>
            <w:pPr>
              <w:pStyle w:val="yTable"/>
              <w:spacing w:before="40" w:after="40"/>
            </w:pPr>
            <w:r>
              <w:t>27.</w:t>
            </w:r>
          </w:p>
        </w:tc>
        <w:tc>
          <w:tcPr>
            <w:tcW w:w="5110" w:type="dxa"/>
            <w:gridSpan w:val="2"/>
          </w:tcPr>
          <w:p>
            <w:pPr>
              <w:pStyle w:val="yTable"/>
            </w:pPr>
            <w:r>
              <w:t>CANNABIS (in cigarette form)</w:t>
            </w:r>
          </w:p>
        </w:tc>
        <w:tc>
          <w:tcPr>
            <w:tcW w:w="1200" w:type="dxa"/>
          </w:tcPr>
          <w:p>
            <w:pPr>
              <w:pStyle w:val="yTable"/>
              <w:keepNext/>
              <w:spacing w:before="40" w:after="40"/>
              <w:jc w:val="center"/>
            </w:pPr>
            <w:r>
              <w:t>400 cigarettes</w:t>
            </w:r>
            <w:r>
              <w:br/>
            </w:r>
            <w:r>
              <w:rPr>
                <w:rFonts w:ascii="Times" w:hAnsi="Times"/>
                <w:spacing w:val="-4"/>
              </w:rPr>
              <w:t>each containing</w:t>
            </w:r>
            <w:r>
              <w:rPr>
                <w:rFonts w:ascii="Times" w:hAnsi="Times"/>
                <w:spacing w:val="-4"/>
              </w:rPr>
              <w:br/>
              <w:t>any</w:t>
            </w:r>
            <w:r>
              <w:t xml:space="preserve"> portion of</w:t>
            </w:r>
            <w:r>
              <w:br/>
              <w:t>cannabis</w:t>
            </w:r>
          </w:p>
        </w:tc>
      </w:tr>
      <w:tr>
        <w:tc>
          <w:tcPr>
            <w:tcW w:w="680" w:type="dxa"/>
          </w:tcPr>
          <w:p>
            <w:pPr>
              <w:pStyle w:val="yTable"/>
              <w:spacing w:before="40" w:after="40"/>
            </w:pPr>
            <w:r>
              <w:t>28.</w:t>
            </w:r>
          </w:p>
        </w:tc>
        <w:tc>
          <w:tcPr>
            <w:tcW w:w="5110" w:type="dxa"/>
            <w:gridSpan w:val="2"/>
          </w:tcPr>
          <w:p>
            <w:pPr>
              <w:pStyle w:val="yTable"/>
            </w:pPr>
            <w:r>
              <w:t>CLONITAZENE</w:t>
            </w:r>
          </w:p>
        </w:tc>
        <w:tc>
          <w:tcPr>
            <w:tcW w:w="1200" w:type="dxa"/>
          </w:tcPr>
          <w:p>
            <w:pPr>
              <w:pStyle w:val="yTable"/>
              <w:tabs>
                <w:tab w:val="decimal" w:pos="439"/>
              </w:tabs>
              <w:spacing w:before="40" w:after="40"/>
            </w:pPr>
            <w:r>
              <w:t>15.0</w:t>
            </w:r>
          </w:p>
        </w:tc>
      </w:tr>
      <w:tr>
        <w:tc>
          <w:tcPr>
            <w:tcW w:w="680" w:type="dxa"/>
          </w:tcPr>
          <w:p>
            <w:pPr>
              <w:pStyle w:val="yTable"/>
              <w:spacing w:before="40" w:after="40"/>
            </w:pPr>
            <w:r>
              <w:t>29.</w:t>
            </w:r>
          </w:p>
        </w:tc>
        <w:tc>
          <w:tcPr>
            <w:tcW w:w="5110" w:type="dxa"/>
            <w:gridSpan w:val="2"/>
          </w:tcPr>
          <w:p>
            <w:pPr>
              <w:pStyle w:val="yTable"/>
            </w:pPr>
            <w:r>
              <w:t>COCAINE</w:t>
            </w:r>
          </w:p>
        </w:tc>
        <w:tc>
          <w:tcPr>
            <w:tcW w:w="1200" w:type="dxa"/>
          </w:tcPr>
          <w:p>
            <w:pPr>
              <w:pStyle w:val="yTable"/>
              <w:tabs>
                <w:tab w:val="decimal" w:pos="439"/>
              </w:tabs>
              <w:spacing w:before="40" w:after="40"/>
            </w:pPr>
            <w:r>
              <w:t>4.0</w:t>
            </w:r>
          </w:p>
        </w:tc>
      </w:tr>
      <w:tr>
        <w:tc>
          <w:tcPr>
            <w:tcW w:w="680" w:type="dxa"/>
          </w:tcPr>
          <w:p>
            <w:pPr>
              <w:pStyle w:val="yTable"/>
              <w:spacing w:before="40" w:after="40"/>
            </w:pPr>
            <w:r>
              <w:t>30.</w:t>
            </w:r>
          </w:p>
        </w:tc>
        <w:tc>
          <w:tcPr>
            <w:tcW w:w="5110" w:type="dxa"/>
            <w:gridSpan w:val="2"/>
          </w:tcPr>
          <w:p>
            <w:pPr>
              <w:pStyle w:val="yTable"/>
              <w:ind w:left="548" w:hanging="548"/>
            </w:pPr>
            <w:r>
              <w:t xml:space="preserve">CODEINE (except when included in Schedule 2, 3 or 4 in Appendix A to the </w:t>
            </w:r>
            <w:r>
              <w:rPr>
                <w:i/>
                <w:iCs/>
              </w:rPr>
              <w:t>Poisons Act 1964</w:t>
            </w:r>
            <w:r>
              <w:t>)</w:t>
            </w:r>
          </w:p>
        </w:tc>
        <w:tc>
          <w:tcPr>
            <w:tcW w:w="1200" w:type="dxa"/>
          </w:tcPr>
          <w:p>
            <w:pPr>
              <w:pStyle w:val="yTable"/>
              <w:tabs>
                <w:tab w:val="decimal" w:pos="439"/>
              </w:tabs>
              <w:spacing w:before="40" w:after="40"/>
            </w:pPr>
            <w:r>
              <w:t>30.0</w:t>
            </w:r>
          </w:p>
        </w:tc>
      </w:tr>
      <w:tr>
        <w:tc>
          <w:tcPr>
            <w:tcW w:w="680" w:type="dxa"/>
          </w:tcPr>
          <w:p>
            <w:pPr>
              <w:pStyle w:val="yTable"/>
              <w:spacing w:before="40" w:after="40"/>
            </w:pPr>
            <w:r>
              <w:t>31.</w:t>
            </w:r>
          </w:p>
        </w:tc>
        <w:tc>
          <w:tcPr>
            <w:tcW w:w="5110" w:type="dxa"/>
            <w:gridSpan w:val="2"/>
          </w:tcPr>
          <w:p>
            <w:pPr>
              <w:pStyle w:val="yTable"/>
            </w:pPr>
            <w:r>
              <w:t>CODEINE</w:t>
            </w:r>
            <w:r>
              <w:noBreakHyphen/>
              <w:t>N</w:t>
            </w:r>
            <w:r>
              <w:noBreakHyphen/>
              <w:t>OXIDE</w:t>
            </w:r>
          </w:p>
        </w:tc>
        <w:tc>
          <w:tcPr>
            <w:tcW w:w="1200" w:type="dxa"/>
          </w:tcPr>
          <w:p>
            <w:pPr>
              <w:pStyle w:val="yTable"/>
              <w:tabs>
                <w:tab w:val="decimal" w:pos="439"/>
              </w:tabs>
              <w:spacing w:before="40" w:after="40"/>
            </w:pPr>
            <w:r>
              <w:t>30.0</w:t>
            </w:r>
          </w:p>
        </w:tc>
      </w:tr>
      <w:tr>
        <w:tc>
          <w:tcPr>
            <w:tcW w:w="680" w:type="dxa"/>
          </w:tcPr>
          <w:p>
            <w:pPr>
              <w:pStyle w:val="yTable"/>
              <w:spacing w:before="40" w:after="40"/>
            </w:pPr>
            <w:r>
              <w:t>32.</w:t>
            </w:r>
          </w:p>
        </w:tc>
        <w:tc>
          <w:tcPr>
            <w:tcW w:w="5110" w:type="dxa"/>
            <w:gridSpan w:val="2"/>
          </w:tcPr>
          <w:p>
            <w:pPr>
              <w:pStyle w:val="yTable"/>
            </w:pPr>
            <w:r>
              <w:t>CODOXIME</w:t>
            </w:r>
          </w:p>
        </w:tc>
        <w:tc>
          <w:tcPr>
            <w:tcW w:w="1200" w:type="dxa"/>
          </w:tcPr>
          <w:p>
            <w:pPr>
              <w:pStyle w:val="yTable"/>
              <w:tabs>
                <w:tab w:val="decimal" w:pos="439"/>
              </w:tabs>
              <w:spacing w:before="40" w:after="40"/>
            </w:pPr>
            <w:r>
              <w:t>30.0</w:t>
            </w:r>
          </w:p>
        </w:tc>
      </w:tr>
      <w:tr>
        <w:tc>
          <w:tcPr>
            <w:tcW w:w="680" w:type="dxa"/>
          </w:tcPr>
          <w:p>
            <w:pPr>
              <w:pStyle w:val="yTable"/>
              <w:spacing w:before="40" w:after="40"/>
            </w:pPr>
            <w:r>
              <w:t>33.</w:t>
            </w:r>
          </w:p>
        </w:tc>
        <w:tc>
          <w:tcPr>
            <w:tcW w:w="5110" w:type="dxa"/>
            <w:gridSpan w:val="2"/>
          </w:tcPr>
          <w:p>
            <w:pPr>
              <w:pStyle w:val="yTable"/>
            </w:pPr>
            <w:r>
              <w:t>CYCLOBARBITONE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34.</w:t>
            </w:r>
          </w:p>
        </w:tc>
        <w:tc>
          <w:tcPr>
            <w:tcW w:w="5110" w:type="dxa"/>
            <w:gridSpan w:val="2"/>
          </w:tcPr>
          <w:p>
            <w:pPr>
              <w:pStyle w:val="yTable"/>
            </w:pPr>
            <w:r>
              <w:t>DESOMORPHINE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35.</w:t>
            </w:r>
          </w:p>
        </w:tc>
        <w:tc>
          <w:tcPr>
            <w:tcW w:w="5110" w:type="dxa"/>
            <w:gridSpan w:val="2"/>
          </w:tcPr>
          <w:p>
            <w:pPr>
              <w:pStyle w:val="yTable"/>
            </w:pPr>
            <w:r>
              <w:t>DEXAMPHETAMINE</w:t>
            </w:r>
          </w:p>
        </w:tc>
        <w:tc>
          <w:tcPr>
            <w:tcW w:w="1200" w:type="dxa"/>
          </w:tcPr>
          <w:p>
            <w:pPr>
              <w:pStyle w:val="yTable"/>
              <w:tabs>
                <w:tab w:val="decimal" w:pos="439"/>
              </w:tabs>
              <w:spacing w:before="40" w:after="40"/>
            </w:pPr>
            <w:r>
              <w:t>6.0</w:t>
            </w:r>
          </w:p>
        </w:tc>
      </w:tr>
      <w:tr>
        <w:tc>
          <w:tcPr>
            <w:tcW w:w="680" w:type="dxa"/>
          </w:tcPr>
          <w:p>
            <w:pPr>
              <w:pStyle w:val="yTable"/>
              <w:spacing w:before="40" w:after="40"/>
            </w:pPr>
            <w:r>
              <w:t>36.</w:t>
            </w:r>
          </w:p>
        </w:tc>
        <w:tc>
          <w:tcPr>
            <w:tcW w:w="5110" w:type="dxa"/>
            <w:gridSpan w:val="2"/>
          </w:tcPr>
          <w:p>
            <w:pPr>
              <w:pStyle w:val="yTable"/>
            </w:pPr>
            <w:r>
              <w:t>DEXTROMORAMIDE</w:t>
            </w:r>
          </w:p>
        </w:tc>
        <w:tc>
          <w:tcPr>
            <w:tcW w:w="1200" w:type="dxa"/>
          </w:tcPr>
          <w:p>
            <w:pPr>
              <w:pStyle w:val="yTable"/>
              <w:tabs>
                <w:tab w:val="decimal" w:pos="439"/>
              </w:tabs>
              <w:spacing w:before="40" w:after="40"/>
            </w:pPr>
            <w:r>
              <w:t>3.0</w:t>
            </w:r>
          </w:p>
        </w:tc>
      </w:tr>
      <w:tr>
        <w:tc>
          <w:tcPr>
            <w:tcW w:w="680" w:type="dxa"/>
          </w:tcPr>
          <w:p>
            <w:pPr>
              <w:pStyle w:val="yTable"/>
              <w:spacing w:before="40" w:after="40"/>
            </w:pPr>
            <w:r>
              <w:t>37.</w:t>
            </w:r>
          </w:p>
        </w:tc>
        <w:tc>
          <w:tcPr>
            <w:tcW w:w="5110" w:type="dxa"/>
            <w:gridSpan w:val="2"/>
          </w:tcPr>
          <w:p>
            <w:pPr>
              <w:pStyle w:val="yTable"/>
            </w:pPr>
            <w:r>
              <w:t>DIAMPROMIDE</w:t>
            </w:r>
          </w:p>
        </w:tc>
        <w:tc>
          <w:tcPr>
            <w:tcW w:w="1200" w:type="dxa"/>
          </w:tcPr>
          <w:p>
            <w:pPr>
              <w:pStyle w:val="yTable"/>
              <w:tabs>
                <w:tab w:val="decimal" w:pos="439"/>
              </w:tabs>
              <w:spacing w:before="40" w:after="40"/>
            </w:pPr>
            <w:r>
              <w:t>15.0</w:t>
            </w:r>
          </w:p>
        </w:tc>
      </w:tr>
      <w:tr>
        <w:tc>
          <w:tcPr>
            <w:tcW w:w="680" w:type="dxa"/>
          </w:tcPr>
          <w:p>
            <w:pPr>
              <w:pStyle w:val="yTable"/>
              <w:spacing w:before="40" w:after="40"/>
            </w:pPr>
            <w:r>
              <w:t>38.</w:t>
            </w:r>
          </w:p>
        </w:tc>
        <w:tc>
          <w:tcPr>
            <w:tcW w:w="5110" w:type="dxa"/>
            <w:gridSpan w:val="2"/>
          </w:tcPr>
          <w:p>
            <w:pPr>
              <w:pStyle w:val="yTable"/>
            </w:pPr>
            <w:r>
              <w:t>DIETHYLTHIAMBUTENE</w:t>
            </w:r>
          </w:p>
        </w:tc>
        <w:tc>
          <w:tcPr>
            <w:tcW w:w="1200" w:type="dxa"/>
          </w:tcPr>
          <w:p>
            <w:pPr>
              <w:pStyle w:val="yTable"/>
              <w:tabs>
                <w:tab w:val="decimal" w:pos="439"/>
              </w:tabs>
              <w:spacing w:before="40" w:after="40"/>
            </w:pPr>
            <w:r>
              <w:t>15.0</w:t>
            </w:r>
          </w:p>
        </w:tc>
      </w:tr>
      <w:tr>
        <w:tc>
          <w:tcPr>
            <w:tcW w:w="680" w:type="dxa"/>
          </w:tcPr>
          <w:p>
            <w:pPr>
              <w:pStyle w:val="yTable"/>
              <w:spacing w:before="40" w:after="40"/>
            </w:pPr>
            <w:r>
              <w:t>39.</w:t>
            </w:r>
          </w:p>
        </w:tc>
        <w:tc>
          <w:tcPr>
            <w:tcW w:w="5110" w:type="dxa"/>
            <w:gridSpan w:val="2"/>
          </w:tcPr>
          <w:p>
            <w:pPr>
              <w:pStyle w:val="yTable"/>
              <w:ind w:left="548" w:hanging="548"/>
            </w:pPr>
            <w:r>
              <w:t>DIFENOXIN (excluding preparations containing, per dosage unit, not more than 0.5 mg of difenoxin and a quantity of atropine sulphate equivalent to at least 5% of the dose of difenoxin)</w:t>
            </w:r>
          </w:p>
        </w:tc>
        <w:tc>
          <w:tcPr>
            <w:tcW w:w="1200" w:type="dxa"/>
          </w:tcPr>
          <w:p>
            <w:pPr>
              <w:pStyle w:val="yTable"/>
              <w:tabs>
                <w:tab w:val="decimal" w:pos="439"/>
              </w:tabs>
              <w:spacing w:before="40" w:after="40"/>
            </w:pPr>
            <w:r>
              <w:t>30.0</w:t>
            </w:r>
          </w:p>
        </w:tc>
      </w:tr>
      <w:tr>
        <w:tc>
          <w:tcPr>
            <w:tcW w:w="680" w:type="dxa"/>
          </w:tcPr>
          <w:p>
            <w:pPr>
              <w:pStyle w:val="yTable"/>
              <w:spacing w:before="40" w:after="40"/>
            </w:pPr>
            <w:r>
              <w:t>40.</w:t>
            </w:r>
          </w:p>
        </w:tc>
        <w:tc>
          <w:tcPr>
            <w:tcW w:w="5110" w:type="dxa"/>
            <w:gridSpan w:val="2"/>
          </w:tcPr>
          <w:p>
            <w:pPr>
              <w:pStyle w:val="yTable"/>
              <w:ind w:left="548" w:hanging="548"/>
            </w:pPr>
            <w:r>
              <w:t xml:space="preserve">DIHYDROCODEINE (except when included in Schedule 2 or 4 in Appendix A to the </w:t>
            </w:r>
            <w:r>
              <w:rPr>
                <w:i/>
                <w:iCs/>
              </w:rPr>
              <w:t>Poisons Act 1964</w:t>
            </w:r>
            <w:r>
              <w:t>)</w:t>
            </w:r>
          </w:p>
        </w:tc>
        <w:tc>
          <w:tcPr>
            <w:tcW w:w="1200" w:type="dxa"/>
          </w:tcPr>
          <w:p>
            <w:pPr>
              <w:pStyle w:val="yTable"/>
              <w:tabs>
                <w:tab w:val="decimal" w:pos="439"/>
              </w:tabs>
              <w:spacing w:before="40" w:after="40"/>
            </w:pPr>
            <w:r>
              <w:t>30.0</w:t>
            </w:r>
          </w:p>
        </w:tc>
      </w:tr>
      <w:tr>
        <w:tc>
          <w:tcPr>
            <w:tcW w:w="680" w:type="dxa"/>
          </w:tcPr>
          <w:p>
            <w:pPr>
              <w:pStyle w:val="yTable"/>
              <w:spacing w:before="40" w:after="40"/>
            </w:pPr>
            <w:r>
              <w:t>41.</w:t>
            </w:r>
          </w:p>
        </w:tc>
        <w:tc>
          <w:tcPr>
            <w:tcW w:w="5110" w:type="dxa"/>
            <w:gridSpan w:val="2"/>
          </w:tcPr>
          <w:p>
            <w:pPr>
              <w:pStyle w:val="yTable"/>
            </w:pPr>
            <w:r>
              <w:t>DIHYDROMORPHINE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42.</w:t>
            </w:r>
          </w:p>
        </w:tc>
        <w:tc>
          <w:tcPr>
            <w:tcW w:w="5110" w:type="dxa"/>
            <w:gridSpan w:val="2"/>
          </w:tcPr>
          <w:p>
            <w:pPr>
              <w:pStyle w:val="yTable"/>
            </w:pPr>
            <w:r>
              <w:t>DIMENOXADOL</w:t>
            </w:r>
          </w:p>
        </w:tc>
        <w:tc>
          <w:tcPr>
            <w:tcW w:w="1200" w:type="dxa"/>
          </w:tcPr>
          <w:p>
            <w:pPr>
              <w:pStyle w:val="yTable"/>
              <w:tabs>
                <w:tab w:val="decimal" w:pos="439"/>
              </w:tabs>
              <w:spacing w:before="40" w:after="40"/>
            </w:pPr>
            <w:r>
              <w:t>30.0</w:t>
            </w:r>
          </w:p>
        </w:tc>
      </w:tr>
      <w:tr>
        <w:tc>
          <w:tcPr>
            <w:tcW w:w="680" w:type="dxa"/>
          </w:tcPr>
          <w:p>
            <w:pPr>
              <w:pStyle w:val="yTable"/>
              <w:spacing w:before="40" w:after="40"/>
            </w:pPr>
            <w:r>
              <w:t>43.</w:t>
            </w:r>
          </w:p>
        </w:tc>
        <w:tc>
          <w:tcPr>
            <w:tcW w:w="5110" w:type="dxa"/>
            <w:gridSpan w:val="2"/>
          </w:tcPr>
          <w:p>
            <w:pPr>
              <w:pStyle w:val="yTable"/>
            </w:pPr>
            <w:r>
              <w:t>DIMEPHEPTANOL</w:t>
            </w:r>
          </w:p>
        </w:tc>
        <w:tc>
          <w:tcPr>
            <w:tcW w:w="1200" w:type="dxa"/>
          </w:tcPr>
          <w:p>
            <w:pPr>
              <w:pStyle w:val="yTable"/>
              <w:tabs>
                <w:tab w:val="decimal" w:pos="439"/>
              </w:tabs>
              <w:spacing w:before="40" w:after="40"/>
            </w:pPr>
            <w:r>
              <w:t>30.0</w:t>
            </w:r>
          </w:p>
        </w:tc>
      </w:tr>
      <w:tr>
        <w:tc>
          <w:tcPr>
            <w:tcW w:w="680" w:type="dxa"/>
          </w:tcPr>
          <w:p>
            <w:pPr>
              <w:pStyle w:val="yTable"/>
              <w:spacing w:before="40" w:after="40"/>
            </w:pPr>
            <w:r>
              <w:t>44.</w:t>
            </w:r>
          </w:p>
        </w:tc>
        <w:tc>
          <w:tcPr>
            <w:tcW w:w="5110" w:type="dxa"/>
            <w:gridSpan w:val="2"/>
          </w:tcPr>
          <w:p>
            <w:pPr>
              <w:pStyle w:val="yTable"/>
            </w:pPr>
            <w:r>
              <w:t>2,5</w:t>
            </w:r>
            <w:r>
              <w:noBreakHyphen/>
              <w:t>DIMETHOXY</w:t>
            </w:r>
            <w:r>
              <w:noBreakHyphen/>
              <w:t>4</w:t>
            </w:r>
            <w:r>
              <w:noBreakHyphen/>
              <w:t>BROMOAMPHETAMINE</w:t>
            </w:r>
          </w:p>
        </w:tc>
        <w:tc>
          <w:tcPr>
            <w:tcW w:w="1200" w:type="dxa"/>
          </w:tcPr>
          <w:p>
            <w:pPr>
              <w:pStyle w:val="yTable"/>
              <w:tabs>
                <w:tab w:val="decimal" w:pos="439"/>
              </w:tabs>
              <w:spacing w:before="40" w:after="40"/>
            </w:pPr>
            <w:r>
              <w:t>0.25</w:t>
            </w:r>
          </w:p>
        </w:tc>
      </w:tr>
      <w:tr>
        <w:tc>
          <w:tcPr>
            <w:tcW w:w="680" w:type="dxa"/>
          </w:tcPr>
          <w:p>
            <w:pPr>
              <w:pStyle w:val="yTable"/>
              <w:spacing w:before="40" w:after="40"/>
            </w:pPr>
            <w:r>
              <w:t>45.</w:t>
            </w:r>
          </w:p>
        </w:tc>
        <w:tc>
          <w:tcPr>
            <w:tcW w:w="5110" w:type="dxa"/>
            <w:gridSpan w:val="2"/>
          </w:tcPr>
          <w:p>
            <w:pPr>
              <w:pStyle w:val="yTable"/>
            </w:pPr>
            <w:r>
              <w:t>2,5</w:t>
            </w:r>
            <w:r>
              <w:noBreakHyphen/>
              <w:t>DIMETHOXY</w:t>
            </w:r>
            <w:r>
              <w:noBreakHyphen/>
              <w:t>4</w:t>
            </w:r>
            <w:r>
              <w:noBreakHyphen/>
              <w:t>METHYLAMPHETAMINE</w:t>
            </w:r>
          </w:p>
        </w:tc>
        <w:tc>
          <w:tcPr>
            <w:tcW w:w="1200" w:type="dxa"/>
          </w:tcPr>
          <w:p>
            <w:pPr>
              <w:pStyle w:val="yTable"/>
              <w:tabs>
                <w:tab w:val="decimal" w:pos="439"/>
              </w:tabs>
              <w:spacing w:before="40" w:after="40"/>
            </w:pPr>
            <w:r>
              <w:t>0.25</w:t>
            </w:r>
          </w:p>
        </w:tc>
      </w:tr>
      <w:tr>
        <w:tc>
          <w:tcPr>
            <w:tcW w:w="680" w:type="dxa"/>
          </w:tcPr>
          <w:p>
            <w:pPr>
              <w:pStyle w:val="yTable"/>
              <w:spacing w:before="40" w:after="40"/>
            </w:pPr>
            <w:r>
              <w:t>46.</w:t>
            </w:r>
          </w:p>
        </w:tc>
        <w:tc>
          <w:tcPr>
            <w:tcW w:w="5110" w:type="dxa"/>
            <w:gridSpan w:val="2"/>
          </w:tcPr>
          <w:p>
            <w:pPr>
              <w:pStyle w:val="yTable"/>
            </w:pPr>
            <w:r>
              <w:t>DIMETHYLTHIAMBUTENE</w:t>
            </w:r>
          </w:p>
        </w:tc>
        <w:tc>
          <w:tcPr>
            <w:tcW w:w="1200" w:type="dxa"/>
          </w:tcPr>
          <w:p>
            <w:pPr>
              <w:pStyle w:val="yTable"/>
              <w:tabs>
                <w:tab w:val="decimal" w:pos="439"/>
              </w:tabs>
              <w:spacing w:before="40" w:after="40"/>
            </w:pPr>
            <w:r>
              <w:t>60.0</w:t>
            </w:r>
          </w:p>
        </w:tc>
      </w:tr>
      <w:tr>
        <w:tc>
          <w:tcPr>
            <w:tcW w:w="680" w:type="dxa"/>
          </w:tcPr>
          <w:p>
            <w:pPr>
              <w:pStyle w:val="yTable"/>
              <w:spacing w:before="40" w:after="40"/>
            </w:pPr>
            <w:r>
              <w:t>47.</w:t>
            </w:r>
          </w:p>
        </w:tc>
        <w:tc>
          <w:tcPr>
            <w:tcW w:w="5110" w:type="dxa"/>
            <w:gridSpan w:val="2"/>
          </w:tcPr>
          <w:p>
            <w:pPr>
              <w:pStyle w:val="yTable"/>
            </w:pPr>
            <w:r>
              <w:t>DIMETHYLTRYPTAMINE</w:t>
            </w:r>
          </w:p>
        </w:tc>
        <w:tc>
          <w:tcPr>
            <w:tcW w:w="1200" w:type="dxa"/>
          </w:tcPr>
          <w:p>
            <w:pPr>
              <w:pStyle w:val="yTable"/>
              <w:tabs>
                <w:tab w:val="decimal" w:pos="439"/>
              </w:tabs>
              <w:spacing w:before="40" w:after="40"/>
            </w:pPr>
            <w:r>
              <w:t>6.0</w:t>
            </w:r>
          </w:p>
        </w:tc>
      </w:tr>
      <w:tr>
        <w:tc>
          <w:tcPr>
            <w:tcW w:w="680" w:type="dxa"/>
          </w:tcPr>
          <w:p>
            <w:pPr>
              <w:pStyle w:val="yTable"/>
              <w:spacing w:before="40" w:after="40"/>
            </w:pPr>
            <w:r>
              <w:t>48.</w:t>
            </w:r>
          </w:p>
        </w:tc>
        <w:tc>
          <w:tcPr>
            <w:tcW w:w="5110" w:type="dxa"/>
            <w:gridSpan w:val="2"/>
          </w:tcPr>
          <w:p>
            <w:pPr>
              <w:pStyle w:val="yTable"/>
            </w:pPr>
            <w:r>
              <w:t>DIOXAPHETYL BUTYRATE</w:t>
            </w:r>
          </w:p>
        </w:tc>
        <w:tc>
          <w:tcPr>
            <w:tcW w:w="1200" w:type="dxa"/>
          </w:tcPr>
          <w:p>
            <w:pPr>
              <w:pStyle w:val="yTable"/>
              <w:tabs>
                <w:tab w:val="decimal" w:pos="439"/>
              </w:tabs>
              <w:spacing w:before="40" w:after="40"/>
            </w:pPr>
            <w:r>
              <w:t>6.0</w:t>
            </w:r>
          </w:p>
        </w:tc>
      </w:tr>
      <w:tr>
        <w:tc>
          <w:tcPr>
            <w:tcW w:w="680" w:type="dxa"/>
          </w:tcPr>
          <w:p>
            <w:pPr>
              <w:pStyle w:val="yTable"/>
              <w:spacing w:before="40" w:after="40"/>
            </w:pPr>
            <w:r>
              <w:t>49.</w:t>
            </w:r>
          </w:p>
        </w:tc>
        <w:tc>
          <w:tcPr>
            <w:tcW w:w="5110" w:type="dxa"/>
            <w:gridSpan w:val="2"/>
          </w:tcPr>
          <w:p>
            <w:pPr>
              <w:pStyle w:val="yTable"/>
              <w:ind w:left="548" w:hanging="548"/>
            </w:pPr>
            <w:r>
              <w:t>DIPHENOXYLATE (excluding preparations containing, per dosage unit, not more than 2.5 mg of diphenoxylate calculated as base, and a quantity of atropine sulphate equivalent to at least 1% of the dose of diphenoxylate)</w:t>
            </w:r>
          </w:p>
        </w:tc>
        <w:tc>
          <w:tcPr>
            <w:tcW w:w="1200" w:type="dxa"/>
          </w:tcPr>
          <w:p>
            <w:pPr>
              <w:pStyle w:val="yTable"/>
              <w:keepNext/>
              <w:tabs>
                <w:tab w:val="decimal" w:pos="439"/>
              </w:tabs>
              <w:spacing w:before="40" w:after="40"/>
            </w:pPr>
            <w:r>
              <w:t>6.0</w:t>
            </w:r>
          </w:p>
        </w:tc>
      </w:tr>
      <w:tr>
        <w:tc>
          <w:tcPr>
            <w:tcW w:w="680" w:type="dxa"/>
          </w:tcPr>
          <w:p>
            <w:pPr>
              <w:pStyle w:val="yTable"/>
              <w:spacing w:before="40" w:after="40"/>
            </w:pPr>
            <w:r>
              <w:t>50.</w:t>
            </w:r>
          </w:p>
        </w:tc>
        <w:tc>
          <w:tcPr>
            <w:tcW w:w="5110" w:type="dxa"/>
            <w:gridSpan w:val="2"/>
          </w:tcPr>
          <w:p>
            <w:pPr>
              <w:pStyle w:val="yTable"/>
            </w:pPr>
            <w:r>
              <w:t>DIPIPANONE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51.</w:t>
            </w:r>
          </w:p>
        </w:tc>
        <w:tc>
          <w:tcPr>
            <w:tcW w:w="5110" w:type="dxa"/>
            <w:gridSpan w:val="2"/>
          </w:tcPr>
          <w:p>
            <w:pPr>
              <w:pStyle w:val="yTable"/>
            </w:pPr>
            <w:r>
              <w:t>DROTEBANOL</w:t>
            </w:r>
          </w:p>
        </w:tc>
        <w:tc>
          <w:tcPr>
            <w:tcW w:w="1200" w:type="dxa"/>
          </w:tcPr>
          <w:p>
            <w:pPr>
              <w:pStyle w:val="yTable"/>
              <w:tabs>
                <w:tab w:val="decimal" w:pos="439"/>
              </w:tabs>
              <w:spacing w:before="40" w:after="40"/>
            </w:pPr>
            <w:r>
              <w:t>0.3</w:t>
            </w:r>
          </w:p>
        </w:tc>
      </w:tr>
      <w:tr>
        <w:tc>
          <w:tcPr>
            <w:tcW w:w="680" w:type="dxa"/>
          </w:tcPr>
          <w:p>
            <w:pPr>
              <w:pStyle w:val="yTable"/>
              <w:spacing w:before="40" w:after="40"/>
            </w:pPr>
            <w:r>
              <w:t>52.</w:t>
            </w:r>
          </w:p>
        </w:tc>
        <w:tc>
          <w:tcPr>
            <w:tcW w:w="5110" w:type="dxa"/>
            <w:gridSpan w:val="2"/>
          </w:tcPr>
          <w:p>
            <w:pPr>
              <w:pStyle w:val="yTable"/>
              <w:ind w:left="548" w:hanging="548"/>
            </w:pPr>
            <w:r>
              <w:t>ECGONINE, ITS ESTERS AND DERIVATIVES which are convertible to ECGONINE AND COCAINE</w:t>
            </w:r>
          </w:p>
        </w:tc>
        <w:tc>
          <w:tcPr>
            <w:tcW w:w="1200" w:type="dxa"/>
          </w:tcPr>
          <w:p>
            <w:pPr>
              <w:pStyle w:val="yTable"/>
              <w:tabs>
                <w:tab w:val="decimal" w:pos="439"/>
              </w:tabs>
              <w:spacing w:before="40" w:after="40"/>
            </w:pPr>
            <w:r>
              <w:t>30.0</w:t>
            </w:r>
          </w:p>
        </w:tc>
      </w:tr>
      <w:tr>
        <w:trPr>
          <w:cantSplit/>
        </w:trPr>
        <w:tc>
          <w:tcPr>
            <w:tcW w:w="692" w:type="dxa"/>
            <w:gridSpan w:val="2"/>
          </w:tcPr>
          <w:p>
            <w:pPr>
              <w:pStyle w:val="yTable"/>
            </w:pPr>
            <w:r>
              <w:rPr>
                <w:spacing w:val="-8"/>
              </w:rPr>
              <w:t>52A</w:t>
            </w:r>
            <w:r>
              <w:rPr>
                <w:spacing w:val="-12"/>
              </w:rPr>
              <w:t>.</w:t>
            </w:r>
          </w:p>
        </w:tc>
        <w:tc>
          <w:tcPr>
            <w:tcW w:w="5098" w:type="dxa"/>
          </w:tcPr>
          <w:p>
            <w:pPr>
              <w:pStyle w:val="yTable"/>
            </w:pPr>
            <w:r>
              <w:t>EPHEDRINE</w:t>
            </w:r>
          </w:p>
        </w:tc>
        <w:tc>
          <w:tcPr>
            <w:tcW w:w="1200" w:type="dxa"/>
          </w:tcPr>
          <w:p>
            <w:pPr>
              <w:pStyle w:val="yTable"/>
              <w:tabs>
                <w:tab w:val="decimal" w:pos="439"/>
              </w:tabs>
              <w:spacing w:before="40" w:after="40"/>
            </w:pPr>
            <w:r>
              <w:t>4.0</w:t>
            </w:r>
          </w:p>
        </w:tc>
      </w:tr>
      <w:tr>
        <w:tc>
          <w:tcPr>
            <w:tcW w:w="680" w:type="dxa"/>
          </w:tcPr>
          <w:p>
            <w:pPr>
              <w:pStyle w:val="yTable"/>
              <w:spacing w:before="40" w:after="40"/>
            </w:pPr>
            <w:r>
              <w:t>53.</w:t>
            </w:r>
          </w:p>
        </w:tc>
        <w:tc>
          <w:tcPr>
            <w:tcW w:w="5110" w:type="dxa"/>
            <w:gridSpan w:val="2"/>
          </w:tcPr>
          <w:p>
            <w:pPr>
              <w:pStyle w:val="yTable"/>
            </w:pPr>
            <w:r>
              <w:t>ETHYLMETHYLTHIAMBUTENE</w:t>
            </w:r>
          </w:p>
        </w:tc>
        <w:tc>
          <w:tcPr>
            <w:tcW w:w="1200" w:type="dxa"/>
          </w:tcPr>
          <w:p>
            <w:pPr>
              <w:pStyle w:val="yTable"/>
              <w:tabs>
                <w:tab w:val="decimal" w:pos="439"/>
              </w:tabs>
              <w:spacing w:before="40" w:after="40"/>
            </w:pPr>
            <w:r>
              <w:t>30.0</w:t>
            </w:r>
          </w:p>
        </w:tc>
      </w:tr>
      <w:tr>
        <w:tc>
          <w:tcPr>
            <w:tcW w:w="680" w:type="dxa"/>
          </w:tcPr>
          <w:p>
            <w:pPr>
              <w:pStyle w:val="yTable"/>
              <w:spacing w:before="40" w:after="40"/>
            </w:pPr>
            <w:r>
              <w:t>54.</w:t>
            </w:r>
          </w:p>
        </w:tc>
        <w:tc>
          <w:tcPr>
            <w:tcW w:w="5110" w:type="dxa"/>
            <w:gridSpan w:val="2"/>
          </w:tcPr>
          <w:p>
            <w:pPr>
              <w:pStyle w:val="yTable"/>
              <w:ind w:left="539" w:hanging="539"/>
            </w:pPr>
            <w:r>
              <w:t>ETHYLMORPHINE (and substances containing more than 2.5% of ethylmorphine)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55.</w:t>
            </w:r>
          </w:p>
        </w:tc>
        <w:tc>
          <w:tcPr>
            <w:tcW w:w="5110" w:type="dxa"/>
            <w:gridSpan w:val="2"/>
          </w:tcPr>
          <w:p>
            <w:pPr>
              <w:pStyle w:val="yTable"/>
            </w:pPr>
            <w:r>
              <w:t>ETONITAZENE</w:t>
            </w:r>
          </w:p>
        </w:tc>
        <w:tc>
          <w:tcPr>
            <w:tcW w:w="1200" w:type="dxa"/>
          </w:tcPr>
          <w:p>
            <w:pPr>
              <w:pStyle w:val="yTable"/>
              <w:tabs>
                <w:tab w:val="decimal" w:pos="439"/>
              </w:tabs>
              <w:spacing w:before="40" w:after="40"/>
            </w:pPr>
            <w:r>
              <w:t>15.0</w:t>
            </w:r>
          </w:p>
        </w:tc>
      </w:tr>
      <w:tr>
        <w:tc>
          <w:tcPr>
            <w:tcW w:w="680" w:type="dxa"/>
          </w:tcPr>
          <w:p>
            <w:pPr>
              <w:pStyle w:val="yTable"/>
              <w:spacing w:before="40" w:after="40"/>
            </w:pPr>
            <w:r>
              <w:t>56.</w:t>
            </w:r>
          </w:p>
        </w:tc>
        <w:tc>
          <w:tcPr>
            <w:tcW w:w="5110" w:type="dxa"/>
            <w:gridSpan w:val="2"/>
          </w:tcPr>
          <w:p>
            <w:pPr>
              <w:pStyle w:val="yTable"/>
            </w:pPr>
            <w:r>
              <w:t>ETORPHINE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57.</w:t>
            </w:r>
          </w:p>
        </w:tc>
        <w:tc>
          <w:tcPr>
            <w:tcW w:w="5110" w:type="dxa"/>
            <w:gridSpan w:val="2"/>
          </w:tcPr>
          <w:p>
            <w:pPr>
              <w:pStyle w:val="yTable"/>
            </w:pPr>
            <w:r>
              <w:t>ETOXERIDINE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58.</w:t>
            </w:r>
          </w:p>
        </w:tc>
        <w:tc>
          <w:tcPr>
            <w:tcW w:w="5110" w:type="dxa"/>
            <w:gridSpan w:val="2"/>
          </w:tcPr>
          <w:p>
            <w:pPr>
              <w:pStyle w:val="yTable"/>
            </w:pPr>
            <w:r>
              <w:t>FENTANYL</w:t>
            </w:r>
          </w:p>
        </w:tc>
        <w:tc>
          <w:tcPr>
            <w:tcW w:w="1200" w:type="dxa"/>
          </w:tcPr>
          <w:p>
            <w:pPr>
              <w:pStyle w:val="yTable"/>
              <w:tabs>
                <w:tab w:val="decimal" w:pos="439"/>
              </w:tabs>
              <w:spacing w:before="40" w:after="40"/>
            </w:pPr>
            <w:r>
              <w:t>0.015</w:t>
            </w:r>
          </w:p>
        </w:tc>
      </w:tr>
      <w:tr>
        <w:tc>
          <w:tcPr>
            <w:tcW w:w="680" w:type="dxa"/>
          </w:tcPr>
          <w:p>
            <w:pPr>
              <w:pStyle w:val="yTable"/>
              <w:spacing w:before="40" w:after="40"/>
            </w:pPr>
            <w:r>
              <w:t>59.</w:t>
            </w:r>
          </w:p>
        </w:tc>
        <w:tc>
          <w:tcPr>
            <w:tcW w:w="5110" w:type="dxa"/>
            <w:gridSpan w:val="2"/>
          </w:tcPr>
          <w:p>
            <w:pPr>
              <w:pStyle w:val="yTable"/>
            </w:pPr>
            <w:r>
              <w:t>FURETHIDINE</w:t>
            </w:r>
          </w:p>
        </w:tc>
        <w:tc>
          <w:tcPr>
            <w:tcW w:w="1200" w:type="dxa"/>
          </w:tcPr>
          <w:p>
            <w:pPr>
              <w:pStyle w:val="yTable"/>
              <w:tabs>
                <w:tab w:val="decimal" w:pos="439"/>
              </w:tabs>
              <w:spacing w:before="40" w:after="40"/>
            </w:pPr>
            <w:r>
              <w:t>3.0</w:t>
            </w:r>
          </w:p>
        </w:tc>
      </w:tr>
      <w:tr>
        <w:tc>
          <w:tcPr>
            <w:tcW w:w="680" w:type="dxa"/>
          </w:tcPr>
          <w:p>
            <w:pPr>
              <w:pStyle w:val="yTable"/>
              <w:spacing w:before="40" w:after="40"/>
            </w:pPr>
            <w:r>
              <w:t>60.</w:t>
            </w:r>
          </w:p>
        </w:tc>
        <w:tc>
          <w:tcPr>
            <w:tcW w:w="5110" w:type="dxa"/>
            <w:gridSpan w:val="2"/>
          </w:tcPr>
          <w:p>
            <w:pPr>
              <w:pStyle w:val="yTable"/>
              <w:ind w:left="548" w:hanging="548"/>
            </w:pPr>
            <w:r>
              <w:t>HALLUCINOGENIC SUBSTANCES (structurally derived from methoxyphenethylamine)</w:t>
            </w:r>
          </w:p>
        </w:tc>
        <w:tc>
          <w:tcPr>
            <w:tcW w:w="1200" w:type="dxa"/>
          </w:tcPr>
          <w:p>
            <w:pPr>
              <w:pStyle w:val="yTable"/>
              <w:tabs>
                <w:tab w:val="decimal" w:pos="439"/>
              </w:tabs>
              <w:spacing w:before="40" w:after="40"/>
            </w:pPr>
            <w:r>
              <w:t>0.25</w:t>
            </w:r>
          </w:p>
        </w:tc>
      </w:tr>
      <w:tr>
        <w:tc>
          <w:tcPr>
            <w:tcW w:w="680" w:type="dxa"/>
          </w:tcPr>
          <w:p>
            <w:pPr>
              <w:pStyle w:val="yTable"/>
              <w:spacing w:before="40" w:after="40"/>
            </w:pPr>
            <w:r>
              <w:t>61.</w:t>
            </w:r>
          </w:p>
        </w:tc>
        <w:tc>
          <w:tcPr>
            <w:tcW w:w="5110" w:type="dxa"/>
            <w:gridSpan w:val="2"/>
          </w:tcPr>
          <w:p>
            <w:pPr>
              <w:pStyle w:val="yTable"/>
            </w:pPr>
            <w:r>
              <w:t>HEPTABARBITONE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62.</w:t>
            </w:r>
          </w:p>
        </w:tc>
        <w:tc>
          <w:tcPr>
            <w:tcW w:w="5110" w:type="dxa"/>
            <w:gridSpan w:val="2"/>
          </w:tcPr>
          <w:p>
            <w:pPr>
              <w:pStyle w:val="yTable"/>
            </w:pPr>
            <w:r>
              <w:t>HEXOBARBITONE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63.</w:t>
            </w:r>
          </w:p>
        </w:tc>
        <w:tc>
          <w:tcPr>
            <w:tcW w:w="5110" w:type="dxa"/>
            <w:gridSpan w:val="2"/>
          </w:tcPr>
          <w:p>
            <w:pPr>
              <w:pStyle w:val="yTable"/>
            </w:pPr>
            <w:r>
              <w:t>HYDROCODONE</w:t>
            </w:r>
          </w:p>
        </w:tc>
        <w:tc>
          <w:tcPr>
            <w:tcW w:w="1200" w:type="dxa"/>
          </w:tcPr>
          <w:p>
            <w:pPr>
              <w:pStyle w:val="yTable"/>
              <w:tabs>
                <w:tab w:val="decimal" w:pos="439"/>
              </w:tabs>
              <w:spacing w:before="40" w:after="40"/>
            </w:pPr>
            <w:r>
              <w:t>6.0</w:t>
            </w:r>
          </w:p>
        </w:tc>
      </w:tr>
      <w:tr>
        <w:tc>
          <w:tcPr>
            <w:tcW w:w="680" w:type="dxa"/>
          </w:tcPr>
          <w:p>
            <w:pPr>
              <w:pStyle w:val="yTable"/>
              <w:spacing w:before="40" w:after="40"/>
            </w:pPr>
            <w:r>
              <w:t>64.</w:t>
            </w:r>
          </w:p>
        </w:tc>
        <w:tc>
          <w:tcPr>
            <w:tcW w:w="5110" w:type="dxa"/>
            <w:gridSpan w:val="2"/>
          </w:tcPr>
          <w:p>
            <w:pPr>
              <w:pStyle w:val="yTable"/>
            </w:pPr>
            <w:r>
              <w:t>HYDROMORPHINOL</w:t>
            </w:r>
          </w:p>
        </w:tc>
        <w:tc>
          <w:tcPr>
            <w:tcW w:w="1200" w:type="dxa"/>
          </w:tcPr>
          <w:p>
            <w:pPr>
              <w:pStyle w:val="yTable"/>
              <w:tabs>
                <w:tab w:val="decimal" w:pos="439"/>
              </w:tabs>
              <w:spacing w:before="40" w:after="40"/>
            </w:pPr>
            <w:r>
              <w:t>6.0</w:t>
            </w:r>
          </w:p>
        </w:tc>
      </w:tr>
      <w:tr>
        <w:tc>
          <w:tcPr>
            <w:tcW w:w="680" w:type="dxa"/>
          </w:tcPr>
          <w:p>
            <w:pPr>
              <w:pStyle w:val="yTable"/>
              <w:spacing w:before="40" w:after="40"/>
            </w:pPr>
            <w:r>
              <w:t>65.</w:t>
            </w:r>
          </w:p>
        </w:tc>
        <w:tc>
          <w:tcPr>
            <w:tcW w:w="5110" w:type="dxa"/>
            <w:gridSpan w:val="2"/>
          </w:tcPr>
          <w:p>
            <w:pPr>
              <w:pStyle w:val="yTable"/>
            </w:pPr>
            <w:r>
              <w:t>HYDROMORPHONE</w:t>
            </w:r>
          </w:p>
        </w:tc>
        <w:tc>
          <w:tcPr>
            <w:tcW w:w="1200" w:type="dxa"/>
          </w:tcPr>
          <w:p>
            <w:pPr>
              <w:pStyle w:val="yTable"/>
              <w:tabs>
                <w:tab w:val="decimal" w:pos="439"/>
              </w:tabs>
              <w:spacing w:before="40" w:after="40"/>
            </w:pPr>
            <w:r>
              <w:t>6.0</w:t>
            </w:r>
          </w:p>
        </w:tc>
      </w:tr>
      <w:tr>
        <w:tc>
          <w:tcPr>
            <w:tcW w:w="680" w:type="dxa"/>
          </w:tcPr>
          <w:p>
            <w:pPr>
              <w:pStyle w:val="yTable"/>
              <w:spacing w:before="40" w:after="40"/>
            </w:pPr>
            <w:r>
              <w:t>66.</w:t>
            </w:r>
          </w:p>
        </w:tc>
        <w:tc>
          <w:tcPr>
            <w:tcW w:w="5110" w:type="dxa"/>
            <w:gridSpan w:val="2"/>
          </w:tcPr>
          <w:p>
            <w:pPr>
              <w:pStyle w:val="yTable"/>
            </w:pPr>
            <w:r>
              <w:t>HYDROXYPETHIDINE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67.</w:t>
            </w:r>
          </w:p>
        </w:tc>
        <w:tc>
          <w:tcPr>
            <w:tcW w:w="5110" w:type="dxa"/>
            <w:gridSpan w:val="2"/>
          </w:tcPr>
          <w:p>
            <w:pPr>
              <w:pStyle w:val="yTable"/>
            </w:pPr>
            <w:r>
              <w:t>ISOMETHADONE</w:t>
            </w:r>
          </w:p>
        </w:tc>
        <w:tc>
          <w:tcPr>
            <w:tcW w:w="1200" w:type="dxa"/>
          </w:tcPr>
          <w:p>
            <w:pPr>
              <w:pStyle w:val="yTable"/>
              <w:tabs>
                <w:tab w:val="decimal" w:pos="439"/>
              </w:tabs>
              <w:spacing w:before="40" w:after="40"/>
            </w:pPr>
            <w:r>
              <w:t>0.6</w:t>
            </w:r>
          </w:p>
        </w:tc>
      </w:tr>
      <w:tr>
        <w:tc>
          <w:tcPr>
            <w:tcW w:w="680" w:type="dxa"/>
          </w:tcPr>
          <w:p>
            <w:pPr>
              <w:pStyle w:val="yTable"/>
              <w:spacing w:before="40" w:after="40"/>
            </w:pPr>
            <w:r>
              <w:t>68.</w:t>
            </w:r>
          </w:p>
        </w:tc>
        <w:tc>
          <w:tcPr>
            <w:tcW w:w="5110" w:type="dxa"/>
            <w:gridSpan w:val="2"/>
          </w:tcPr>
          <w:p>
            <w:pPr>
              <w:pStyle w:val="yTable"/>
            </w:pPr>
            <w:r>
              <w:t>KETOBEMIDONE</w:t>
            </w:r>
          </w:p>
        </w:tc>
        <w:tc>
          <w:tcPr>
            <w:tcW w:w="1200" w:type="dxa"/>
          </w:tcPr>
          <w:p>
            <w:pPr>
              <w:pStyle w:val="yTable"/>
              <w:tabs>
                <w:tab w:val="decimal" w:pos="439"/>
              </w:tabs>
              <w:spacing w:before="40" w:after="40"/>
            </w:pPr>
            <w:r>
              <w:t>0.6</w:t>
            </w:r>
          </w:p>
        </w:tc>
      </w:tr>
      <w:tr>
        <w:tc>
          <w:tcPr>
            <w:tcW w:w="680" w:type="dxa"/>
          </w:tcPr>
          <w:p>
            <w:pPr>
              <w:pStyle w:val="yTable"/>
              <w:spacing w:before="40" w:after="40"/>
            </w:pPr>
            <w:r>
              <w:t>69.</w:t>
            </w:r>
          </w:p>
        </w:tc>
        <w:tc>
          <w:tcPr>
            <w:tcW w:w="5110" w:type="dxa"/>
            <w:gridSpan w:val="2"/>
          </w:tcPr>
          <w:p>
            <w:pPr>
              <w:pStyle w:val="yTable"/>
            </w:pPr>
            <w:r>
              <w:t>LEVOMETHORPHAN</w:t>
            </w:r>
          </w:p>
        </w:tc>
        <w:tc>
          <w:tcPr>
            <w:tcW w:w="1200" w:type="dxa"/>
          </w:tcPr>
          <w:p>
            <w:pPr>
              <w:pStyle w:val="yTable"/>
              <w:tabs>
                <w:tab w:val="decimal" w:pos="439"/>
              </w:tabs>
              <w:spacing w:before="40" w:after="40"/>
            </w:pPr>
            <w:r>
              <w:t>3.0</w:t>
            </w:r>
          </w:p>
        </w:tc>
      </w:tr>
      <w:tr>
        <w:tc>
          <w:tcPr>
            <w:tcW w:w="680" w:type="dxa"/>
          </w:tcPr>
          <w:p>
            <w:pPr>
              <w:pStyle w:val="yTable"/>
              <w:spacing w:before="40" w:after="40"/>
            </w:pPr>
            <w:r>
              <w:t>70.</w:t>
            </w:r>
          </w:p>
        </w:tc>
        <w:tc>
          <w:tcPr>
            <w:tcW w:w="5110" w:type="dxa"/>
            <w:gridSpan w:val="2"/>
          </w:tcPr>
          <w:p>
            <w:pPr>
              <w:pStyle w:val="yTable"/>
            </w:pPr>
            <w:r>
              <w:t>LEVOMORAMIDE</w:t>
            </w:r>
          </w:p>
        </w:tc>
        <w:tc>
          <w:tcPr>
            <w:tcW w:w="1200" w:type="dxa"/>
          </w:tcPr>
          <w:p>
            <w:pPr>
              <w:pStyle w:val="yTable"/>
              <w:tabs>
                <w:tab w:val="decimal" w:pos="439"/>
              </w:tabs>
              <w:spacing w:before="40" w:after="40"/>
            </w:pPr>
            <w:r>
              <w:t>6.0</w:t>
            </w:r>
          </w:p>
        </w:tc>
      </w:tr>
      <w:tr>
        <w:tc>
          <w:tcPr>
            <w:tcW w:w="680" w:type="dxa"/>
          </w:tcPr>
          <w:p>
            <w:pPr>
              <w:pStyle w:val="yTable"/>
              <w:spacing w:before="40" w:after="40"/>
            </w:pPr>
            <w:r>
              <w:t>71.</w:t>
            </w:r>
          </w:p>
        </w:tc>
        <w:tc>
          <w:tcPr>
            <w:tcW w:w="5110" w:type="dxa"/>
            <w:gridSpan w:val="2"/>
          </w:tcPr>
          <w:p>
            <w:pPr>
              <w:pStyle w:val="yTable"/>
            </w:pPr>
            <w:r>
              <w:t>LEVOPHENACYLMORPHAN</w:t>
            </w:r>
          </w:p>
        </w:tc>
        <w:tc>
          <w:tcPr>
            <w:tcW w:w="1200" w:type="dxa"/>
          </w:tcPr>
          <w:p>
            <w:pPr>
              <w:pStyle w:val="yTable"/>
              <w:tabs>
                <w:tab w:val="decimal" w:pos="439"/>
              </w:tabs>
              <w:spacing w:before="40" w:after="40"/>
            </w:pPr>
            <w:r>
              <w:t>6.0</w:t>
            </w:r>
          </w:p>
        </w:tc>
      </w:tr>
      <w:tr>
        <w:tc>
          <w:tcPr>
            <w:tcW w:w="680" w:type="dxa"/>
          </w:tcPr>
          <w:p>
            <w:pPr>
              <w:pStyle w:val="yTable"/>
              <w:spacing w:before="40" w:after="40"/>
            </w:pPr>
            <w:r>
              <w:t>72.</w:t>
            </w:r>
          </w:p>
        </w:tc>
        <w:tc>
          <w:tcPr>
            <w:tcW w:w="5110" w:type="dxa"/>
            <w:gridSpan w:val="2"/>
          </w:tcPr>
          <w:p>
            <w:pPr>
              <w:pStyle w:val="yTable"/>
            </w:pPr>
            <w:r>
              <w:t>LEVORPHANOL</w:t>
            </w:r>
          </w:p>
        </w:tc>
        <w:tc>
          <w:tcPr>
            <w:tcW w:w="1200" w:type="dxa"/>
          </w:tcPr>
          <w:p>
            <w:pPr>
              <w:pStyle w:val="yTable"/>
              <w:tabs>
                <w:tab w:val="decimal" w:pos="439"/>
              </w:tabs>
              <w:spacing w:before="40" w:after="40"/>
            </w:pPr>
            <w:r>
              <w:t>3.0</w:t>
            </w:r>
          </w:p>
        </w:tc>
      </w:tr>
      <w:tr>
        <w:tc>
          <w:tcPr>
            <w:tcW w:w="680" w:type="dxa"/>
          </w:tcPr>
          <w:p>
            <w:pPr>
              <w:pStyle w:val="yTable"/>
              <w:spacing w:before="40" w:after="40"/>
            </w:pPr>
            <w:r>
              <w:t>73.</w:t>
            </w:r>
          </w:p>
        </w:tc>
        <w:tc>
          <w:tcPr>
            <w:tcW w:w="5110" w:type="dxa"/>
            <w:gridSpan w:val="2"/>
          </w:tcPr>
          <w:p>
            <w:pPr>
              <w:pStyle w:val="yTable"/>
            </w:pPr>
            <w:r>
              <w:t>LYSERGIC ACID DIETHYLAMIDE (LSD)</w:t>
            </w:r>
          </w:p>
        </w:tc>
        <w:tc>
          <w:tcPr>
            <w:tcW w:w="1200" w:type="dxa"/>
          </w:tcPr>
          <w:p>
            <w:pPr>
              <w:pStyle w:val="yTable"/>
              <w:tabs>
                <w:tab w:val="decimal" w:pos="439"/>
              </w:tabs>
              <w:spacing w:before="40" w:after="40"/>
            </w:pPr>
            <w:r>
              <w:t>0.004</w:t>
            </w:r>
          </w:p>
        </w:tc>
      </w:tr>
      <w:tr>
        <w:tc>
          <w:tcPr>
            <w:tcW w:w="680" w:type="dxa"/>
          </w:tcPr>
          <w:p>
            <w:pPr>
              <w:pStyle w:val="yTable"/>
              <w:spacing w:before="40" w:after="40"/>
            </w:pPr>
            <w:r>
              <w:t>74.</w:t>
            </w:r>
          </w:p>
        </w:tc>
        <w:tc>
          <w:tcPr>
            <w:tcW w:w="5110" w:type="dxa"/>
            <w:gridSpan w:val="2"/>
          </w:tcPr>
          <w:p>
            <w:pPr>
              <w:pStyle w:val="yTable"/>
            </w:pPr>
            <w:r>
              <w:t>MESCALINE</w:t>
            </w:r>
          </w:p>
        </w:tc>
        <w:tc>
          <w:tcPr>
            <w:tcW w:w="1200" w:type="dxa"/>
          </w:tcPr>
          <w:p>
            <w:pPr>
              <w:pStyle w:val="yTable"/>
              <w:tabs>
                <w:tab w:val="decimal" w:pos="439"/>
              </w:tabs>
              <w:spacing w:before="40" w:after="40"/>
            </w:pPr>
            <w:r>
              <w:t>22.5</w:t>
            </w:r>
          </w:p>
        </w:tc>
      </w:tr>
      <w:tr>
        <w:tc>
          <w:tcPr>
            <w:tcW w:w="680" w:type="dxa"/>
          </w:tcPr>
          <w:p>
            <w:pPr>
              <w:pStyle w:val="yTable"/>
              <w:spacing w:before="40" w:after="40"/>
            </w:pPr>
            <w:r>
              <w:t>75.</w:t>
            </w:r>
          </w:p>
        </w:tc>
        <w:tc>
          <w:tcPr>
            <w:tcW w:w="5110" w:type="dxa"/>
            <w:gridSpan w:val="2"/>
          </w:tcPr>
          <w:p>
            <w:pPr>
              <w:pStyle w:val="yTable"/>
            </w:pPr>
            <w:r>
              <w:t>METAZOCINE</w:t>
            </w:r>
          </w:p>
        </w:tc>
        <w:tc>
          <w:tcPr>
            <w:tcW w:w="1200" w:type="dxa"/>
          </w:tcPr>
          <w:p>
            <w:pPr>
              <w:pStyle w:val="yTable"/>
              <w:tabs>
                <w:tab w:val="decimal" w:pos="439"/>
              </w:tabs>
              <w:spacing w:before="40" w:after="40"/>
            </w:pPr>
            <w:r>
              <w:t>21.0</w:t>
            </w:r>
          </w:p>
        </w:tc>
      </w:tr>
      <w:tr>
        <w:tc>
          <w:tcPr>
            <w:tcW w:w="680" w:type="dxa"/>
          </w:tcPr>
          <w:p>
            <w:pPr>
              <w:pStyle w:val="yTable"/>
              <w:spacing w:before="40" w:after="40"/>
            </w:pPr>
            <w:r>
              <w:t>76.</w:t>
            </w:r>
          </w:p>
        </w:tc>
        <w:tc>
          <w:tcPr>
            <w:tcW w:w="5110" w:type="dxa"/>
            <w:gridSpan w:val="2"/>
          </w:tcPr>
          <w:p>
            <w:pPr>
              <w:pStyle w:val="yTable"/>
            </w:pPr>
            <w:r>
              <w:t>METHADONE</w:t>
            </w:r>
          </w:p>
        </w:tc>
        <w:tc>
          <w:tcPr>
            <w:tcW w:w="1200" w:type="dxa"/>
          </w:tcPr>
          <w:p>
            <w:pPr>
              <w:pStyle w:val="yTable"/>
              <w:tabs>
                <w:tab w:val="decimal" w:pos="439"/>
              </w:tabs>
              <w:spacing w:before="40" w:after="40"/>
            </w:pPr>
            <w:r>
              <w:t>0.6</w:t>
            </w:r>
          </w:p>
        </w:tc>
      </w:tr>
      <w:tr>
        <w:tc>
          <w:tcPr>
            <w:tcW w:w="680" w:type="dxa"/>
          </w:tcPr>
          <w:p>
            <w:pPr>
              <w:pStyle w:val="yTable"/>
              <w:spacing w:before="40" w:after="40"/>
            </w:pPr>
            <w:r>
              <w:t>77.</w:t>
            </w:r>
          </w:p>
        </w:tc>
        <w:tc>
          <w:tcPr>
            <w:tcW w:w="5110" w:type="dxa"/>
            <w:gridSpan w:val="2"/>
          </w:tcPr>
          <w:p>
            <w:pPr>
              <w:pStyle w:val="yTable"/>
            </w:pPr>
            <w:r>
              <w:t>METHADONE</w:t>
            </w:r>
            <w:r>
              <w:noBreakHyphen/>
              <w:t>INTERMEDIATE</w:t>
            </w:r>
          </w:p>
        </w:tc>
        <w:tc>
          <w:tcPr>
            <w:tcW w:w="1200" w:type="dxa"/>
          </w:tcPr>
          <w:p>
            <w:pPr>
              <w:pStyle w:val="yTable"/>
              <w:tabs>
                <w:tab w:val="decimal" w:pos="439"/>
              </w:tabs>
              <w:spacing w:before="40" w:after="40"/>
            </w:pPr>
            <w:r>
              <w:t>0.6</w:t>
            </w:r>
          </w:p>
        </w:tc>
      </w:tr>
      <w:tr>
        <w:tc>
          <w:tcPr>
            <w:tcW w:w="680" w:type="dxa"/>
          </w:tcPr>
          <w:p>
            <w:pPr>
              <w:pStyle w:val="yTable"/>
              <w:spacing w:before="40" w:after="40"/>
            </w:pPr>
            <w:r>
              <w:t>78.</w:t>
            </w:r>
          </w:p>
        </w:tc>
        <w:tc>
          <w:tcPr>
            <w:tcW w:w="5110" w:type="dxa"/>
            <w:gridSpan w:val="2"/>
          </w:tcPr>
          <w:p>
            <w:pPr>
              <w:pStyle w:val="yTable"/>
            </w:pPr>
            <w:r>
              <w:t>METHAQUALONE</w:t>
            </w:r>
          </w:p>
        </w:tc>
        <w:tc>
          <w:tcPr>
            <w:tcW w:w="1200" w:type="dxa"/>
          </w:tcPr>
          <w:p>
            <w:pPr>
              <w:pStyle w:val="yTable"/>
              <w:tabs>
                <w:tab w:val="decimal" w:pos="439"/>
              </w:tabs>
              <w:spacing w:before="40" w:after="40"/>
            </w:pPr>
            <w:r>
              <w:t>150.0</w:t>
            </w:r>
          </w:p>
        </w:tc>
      </w:tr>
      <w:tr>
        <w:tc>
          <w:tcPr>
            <w:tcW w:w="680" w:type="dxa"/>
          </w:tcPr>
          <w:p>
            <w:pPr>
              <w:pStyle w:val="yTable"/>
              <w:spacing w:before="40" w:after="40"/>
            </w:pPr>
            <w:r>
              <w:t>79.</w:t>
            </w:r>
          </w:p>
        </w:tc>
        <w:tc>
          <w:tcPr>
            <w:tcW w:w="5110" w:type="dxa"/>
            <w:gridSpan w:val="2"/>
          </w:tcPr>
          <w:p>
            <w:pPr>
              <w:pStyle w:val="yTable"/>
            </w:pPr>
            <w:r>
              <w:t>METHARBITONE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80.</w:t>
            </w:r>
          </w:p>
        </w:tc>
        <w:tc>
          <w:tcPr>
            <w:tcW w:w="5110" w:type="dxa"/>
            <w:gridSpan w:val="2"/>
          </w:tcPr>
          <w:p>
            <w:pPr>
              <w:pStyle w:val="yTable"/>
            </w:pPr>
            <w:r>
              <w:t>METHYLAMPHETAMINE</w:t>
            </w:r>
          </w:p>
        </w:tc>
        <w:tc>
          <w:tcPr>
            <w:tcW w:w="1200" w:type="dxa"/>
          </w:tcPr>
          <w:p>
            <w:pPr>
              <w:pStyle w:val="yTable"/>
              <w:tabs>
                <w:tab w:val="decimal" w:pos="439"/>
              </w:tabs>
              <w:spacing w:before="40" w:after="40"/>
            </w:pPr>
            <w:r>
              <w:t>4.0</w:t>
            </w:r>
          </w:p>
        </w:tc>
      </w:tr>
      <w:tr>
        <w:tc>
          <w:tcPr>
            <w:tcW w:w="680" w:type="dxa"/>
          </w:tcPr>
          <w:p>
            <w:pPr>
              <w:pStyle w:val="yTable"/>
              <w:spacing w:before="40" w:after="40"/>
            </w:pPr>
            <w:r>
              <w:t>81.</w:t>
            </w:r>
          </w:p>
        </w:tc>
        <w:tc>
          <w:tcPr>
            <w:tcW w:w="5110" w:type="dxa"/>
            <w:gridSpan w:val="2"/>
          </w:tcPr>
          <w:p>
            <w:pPr>
              <w:pStyle w:val="yTable"/>
            </w:pPr>
            <w:r>
              <w:t>METHYLDESORPHINE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82.</w:t>
            </w:r>
          </w:p>
        </w:tc>
        <w:tc>
          <w:tcPr>
            <w:tcW w:w="5110" w:type="dxa"/>
            <w:gridSpan w:val="2"/>
          </w:tcPr>
          <w:p>
            <w:pPr>
              <w:pStyle w:val="yTable"/>
            </w:pPr>
            <w:r>
              <w:t>METHYLDIHYDROMORPHINE</w:t>
            </w:r>
          </w:p>
        </w:tc>
        <w:tc>
          <w:tcPr>
            <w:tcW w:w="1200" w:type="dxa"/>
          </w:tcPr>
          <w:p>
            <w:pPr>
              <w:pStyle w:val="yTable"/>
              <w:tabs>
                <w:tab w:val="decimal" w:pos="439"/>
              </w:tabs>
              <w:spacing w:before="40" w:after="40"/>
            </w:pPr>
            <w:r>
              <w:t>6.0</w:t>
            </w:r>
          </w:p>
        </w:tc>
      </w:tr>
      <w:tr>
        <w:tc>
          <w:tcPr>
            <w:tcW w:w="680" w:type="dxa"/>
          </w:tcPr>
          <w:p>
            <w:pPr>
              <w:pStyle w:val="yTable"/>
              <w:spacing w:before="40" w:after="40"/>
              <w:rPr>
                <w:rFonts w:ascii="Times" w:hAnsi="Times"/>
                <w:spacing w:val="-10"/>
              </w:rPr>
            </w:pPr>
            <w:r>
              <w:rPr>
                <w:rFonts w:ascii="Times" w:hAnsi="Times"/>
                <w:spacing w:val="-10"/>
              </w:rPr>
              <w:t>82A.</w:t>
            </w:r>
          </w:p>
        </w:tc>
        <w:tc>
          <w:tcPr>
            <w:tcW w:w="5110" w:type="dxa"/>
            <w:gridSpan w:val="2"/>
          </w:tcPr>
          <w:p>
            <w:pPr>
              <w:pStyle w:val="yTable"/>
            </w:pPr>
            <w:r>
              <w:t>3, 4</w:t>
            </w:r>
            <w:r>
              <w:noBreakHyphen/>
              <w:t>METHYLENEDIOXYAMPHETAMINE (MDA)</w:t>
            </w:r>
          </w:p>
        </w:tc>
        <w:tc>
          <w:tcPr>
            <w:tcW w:w="1200" w:type="dxa"/>
          </w:tcPr>
          <w:p>
            <w:pPr>
              <w:pStyle w:val="yTable"/>
              <w:tabs>
                <w:tab w:val="decimal" w:pos="439"/>
              </w:tabs>
              <w:spacing w:before="40" w:after="40"/>
            </w:pPr>
            <w:r>
              <w:t>4.0</w:t>
            </w:r>
          </w:p>
        </w:tc>
      </w:tr>
      <w:tr>
        <w:tc>
          <w:tcPr>
            <w:tcW w:w="680" w:type="dxa"/>
          </w:tcPr>
          <w:p>
            <w:pPr>
              <w:pStyle w:val="yTable"/>
              <w:spacing w:before="40" w:after="40"/>
              <w:rPr>
                <w:rFonts w:ascii="Times" w:hAnsi="Times"/>
                <w:spacing w:val="-8"/>
              </w:rPr>
            </w:pPr>
            <w:r>
              <w:rPr>
                <w:rFonts w:ascii="Times" w:hAnsi="Times"/>
                <w:spacing w:val="-8"/>
              </w:rPr>
              <w:t>82B.</w:t>
            </w:r>
          </w:p>
        </w:tc>
        <w:tc>
          <w:tcPr>
            <w:tcW w:w="5110" w:type="dxa"/>
            <w:gridSpan w:val="2"/>
          </w:tcPr>
          <w:p>
            <w:pPr>
              <w:pStyle w:val="yTable"/>
              <w:ind w:left="548" w:hanging="548"/>
            </w:pPr>
            <w:r>
              <w:t>3, 4</w:t>
            </w:r>
            <w:r>
              <w:noBreakHyphen/>
              <w:t>METHYLENEDIOXY</w:t>
            </w:r>
            <w:r>
              <w:noBreakHyphen/>
              <w:t>N, ALPHA</w:t>
            </w:r>
            <w:r>
              <w:noBreakHyphen/>
              <w:t>DIMETHYLPHENYLETHYLAMINE (MDMA)</w:t>
            </w:r>
          </w:p>
        </w:tc>
        <w:tc>
          <w:tcPr>
            <w:tcW w:w="1200" w:type="dxa"/>
          </w:tcPr>
          <w:p>
            <w:pPr>
              <w:pStyle w:val="yTable"/>
              <w:tabs>
                <w:tab w:val="decimal" w:pos="439"/>
              </w:tabs>
              <w:spacing w:before="40" w:after="40"/>
            </w:pPr>
            <w:r>
              <w:t>4.0</w:t>
            </w:r>
          </w:p>
        </w:tc>
      </w:tr>
      <w:tr>
        <w:tc>
          <w:tcPr>
            <w:tcW w:w="680" w:type="dxa"/>
          </w:tcPr>
          <w:p>
            <w:pPr>
              <w:pStyle w:val="yTable"/>
              <w:spacing w:before="40" w:after="40"/>
            </w:pPr>
            <w:r>
              <w:t>83.</w:t>
            </w:r>
          </w:p>
        </w:tc>
        <w:tc>
          <w:tcPr>
            <w:tcW w:w="5110" w:type="dxa"/>
            <w:gridSpan w:val="2"/>
          </w:tcPr>
          <w:p>
            <w:pPr>
              <w:pStyle w:val="yTable"/>
            </w:pPr>
            <w:r>
              <w:t>METHYLPHENIDATE</w:t>
            </w:r>
          </w:p>
        </w:tc>
        <w:tc>
          <w:tcPr>
            <w:tcW w:w="1200" w:type="dxa"/>
          </w:tcPr>
          <w:p>
            <w:pPr>
              <w:pStyle w:val="yTable"/>
              <w:tabs>
                <w:tab w:val="decimal" w:pos="439"/>
              </w:tabs>
              <w:spacing w:before="40" w:after="40"/>
            </w:pPr>
            <w:r>
              <w:t>6.0</w:t>
            </w:r>
          </w:p>
        </w:tc>
      </w:tr>
      <w:tr>
        <w:trPr>
          <w:cantSplit/>
        </w:trPr>
        <w:tc>
          <w:tcPr>
            <w:tcW w:w="680" w:type="dxa"/>
          </w:tcPr>
          <w:p>
            <w:pPr>
              <w:pStyle w:val="yTable"/>
              <w:spacing w:before="40" w:after="40"/>
            </w:pPr>
            <w:r>
              <w:t>84.</w:t>
            </w:r>
          </w:p>
        </w:tc>
        <w:tc>
          <w:tcPr>
            <w:tcW w:w="5110" w:type="dxa"/>
            <w:gridSpan w:val="2"/>
          </w:tcPr>
          <w:p>
            <w:pPr>
              <w:pStyle w:val="yTable"/>
            </w:pPr>
            <w:r>
              <w:t>METHYLPHENOBARBITONE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85.</w:t>
            </w:r>
          </w:p>
        </w:tc>
        <w:tc>
          <w:tcPr>
            <w:tcW w:w="5110" w:type="dxa"/>
            <w:gridSpan w:val="2"/>
          </w:tcPr>
          <w:p>
            <w:pPr>
              <w:pStyle w:val="yTable"/>
              <w:ind w:left="548" w:hanging="548"/>
            </w:pPr>
            <w:r>
              <w:t>1</w:t>
            </w:r>
            <w:r>
              <w:noBreakHyphen/>
              <w:t>METHYL</w:t>
            </w:r>
            <w:r>
              <w:noBreakHyphen/>
              <w:t>4</w:t>
            </w:r>
            <w:r>
              <w:noBreakHyphen/>
              <w:t>PHENYLPIPERIDINE</w:t>
            </w:r>
            <w:r>
              <w:noBreakHyphen/>
              <w:t xml:space="preserve"> 4</w:t>
            </w:r>
            <w:r>
              <w:noBreakHyphen/>
              <w:t>CARBOXYLIC ACID ESTERS</w:t>
            </w:r>
          </w:p>
        </w:tc>
        <w:tc>
          <w:tcPr>
            <w:tcW w:w="1200" w:type="dxa"/>
          </w:tcPr>
          <w:p>
            <w:pPr>
              <w:pStyle w:val="yTable"/>
              <w:tabs>
                <w:tab w:val="decimal" w:pos="439"/>
              </w:tabs>
              <w:spacing w:before="40" w:after="40"/>
            </w:pPr>
            <w:r>
              <w:t>6.0</w:t>
            </w:r>
          </w:p>
        </w:tc>
      </w:tr>
      <w:tr>
        <w:tc>
          <w:tcPr>
            <w:tcW w:w="680" w:type="dxa"/>
          </w:tcPr>
          <w:p>
            <w:pPr>
              <w:pStyle w:val="yTable"/>
              <w:spacing w:before="40" w:after="40"/>
            </w:pPr>
            <w:r>
              <w:t>86.</w:t>
            </w:r>
          </w:p>
        </w:tc>
        <w:tc>
          <w:tcPr>
            <w:tcW w:w="5110" w:type="dxa"/>
            <w:gridSpan w:val="2"/>
          </w:tcPr>
          <w:p>
            <w:pPr>
              <w:pStyle w:val="yTable"/>
            </w:pPr>
            <w:r>
              <w:t>METOPON</w:t>
            </w:r>
          </w:p>
        </w:tc>
        <w:tc>
          <w:tcPr>
            <w:tcW w:w="1200" w:type="dxa"/>
          </w:tcPr>
          <w:p>
            <w:pPr>
              <w:pStyle w:val="yTable"/>
              <w:tabs>
                <w:tab w:val="decimal" w:pos="439"/>
              </w:tabs>
              <w:spacing w:before="40" w:after="40"/>
            </w:pPr>
            <w:r>
              <w:t>6.0</w:t>
            </w:r>
          </w:p>
        </w:tc>
      </w:tr>
      <w:tr>
        <w:tc>
          <w:tcPr>
            <w:tcW w:w="680" w:type="dxa"/>
          </w:tcPr>
          <w:p>
            <w:pPr>
              <w:pStyle w:val="yTable"/>
              <w:spacing w:before="40" w:after="40"/>
            </w:pPr>
            <w:r>
              <w:t>87.</w:t>
            </w:r>
          </w:p>
        </w:tc>
        <w:tc>
          <w:tcPr>
            <w:tcW w:w="5110" w:type="dxa"/>
            <w:gridSpan w:val="2"/>
          </w:tcPr>
          <w:p>
            <w:pPr>
              <w:pStyle w:val="yTable"/>
            </w:pPr>
            <w:r>
              <w:t>MORAMIDE</w:t>
            </w:r>
            <w:r>
              <w:noBreakHyphen/>
              <w:t>INTERMEDIATE</w:t>
            </w:r>
          </w:p>
        </w:tc>
        <w:tc>
          <w:tcPr>
            <w:tcW w:w="1200" w:type="dxa"/>
          </w:tcPr>
          <w:p>
            <w:pPr>
              <w:pStyle w:val="yTable"/>
              <w:tabs>
                <w:tab w:val="decimal" w:pos="439"/>
              </w:tabs>
              <w:spacing w:before="40" w:after="40"/>
            </w:pPr>
            <w:r>
              <w:t>3.0</w:t>
            </w:r>
          </w:p>
        </w:tc>
      </w:tr>
      <w:tr>
        <w:tc>
          <w:tcPr>
            <w:tcW w:w="680" w:type="dxa"/>
          </w:tcPr>
          <w:p>
            <w:pPr>
              <w:pStyle w:val="yTable"/>
              <w:spacing w:before="40" w:after="40"/>
            </w:pPr>
            <w:r>
              <w:t>88.</w:t>
            </w:r>
          </w:p>
        </w:tc>
        <w:tc>
          <w:tcPr>
            <w:tcW w:w="5110" w:type="dxa"/>
            <w:gridSpan w:val="2"/>
          </w:tcPr>
          <w:p>
            <w:pPr>
              <w:pStyle w:val="yTable"/>
            </w:pPr>
            <w:r>
              <w:t>MORPHERIDINE</w:t>
            </w:r>
          </w:p>
        </w:tc>
        <w:tc>
          <w:tcPr>
            <w:tcW w:w="1200" w:type="dxa"/>
          </w:tcPr>
          <w:p>
            <w:pPr>
              <w:pStyle w:val="yTable"/>
              <w:tabs>
                <w:tab w:val="decimal" w:pos="439"/>
              </w:tabs>
              <w:spacing w:before="40" w:after="40"/>
            </w:pPr>
            <w:r>
              <w:t>6.0</w:t>
            </w:r>
          </w:p>
        </w:tc>
      </w:tr>
      <w:tr>
        <w:tc>
          <w:tcPr>
            <w:tcW w:w="680" w:type="dxa"/>
          </w:tcPr>
          <w:p>
            <w:pPr>
              <w:pStyle w:val="yTable"/>
              <w:spacing w:before="40" w:after="40"/>
            </w:pPr>
            <w:r>
              <w:t>89.</w:t>
            </w:r>
          </w:p>
        </w:tc>
        <w:tc>
          <w:tcPr>
            <w:tcW w:w="5110" w:type="dxa"/>
            <w:gridSpan w:val="2"/>
          </w:tcPr>
          <w:p>
            <w:pPr>
              <w:pStyle w:val="yTable"/>
            </w:pPr>
            <w:r>
              <w:t>MORPHINE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90.</w:t>
            </w:r>
          </w:p>
        </w:tc>
        <w:tc>
          <w:tcPr>
            <w:tcW w:w="5110" w:type="dxa"/>
            <w:gridSpan w:val="2"/>
          </w:tcPr>
          <w:p>
            <w:pPr>
              <w:pStyle w:val="yTable"/>
              <w:ind w:left="548" w:hanging="548"/>
            </w:pPr>
            <w:r>
              <w:t xml:space="preserve">MORPHINE DERIVATIVES (not specifically included elsewhere in this Schedule or in any Schedule in Appendix A to the </w:t>
            </w:r>
            <w:r>
              <w:rPr>
                <w:i/>
                <w:iCs/>
              </w:rPr>
              <w:t>Poisons Act 1964</w:t>
            </w:r>
            <w:r>
              <w:t>)</w:t>
            </w:r>
          </w:p>
        </w:tc>
        <w:tc>
          <w:tcPr>
            <w:tcW w:w="1200" w:type="dxa"/>
          </w:tcPr>
          <w:p>
            <w:pPr>
              <w:pStyle w:val="yTable"/>
              <w:tabs>
                <w:tab w:val="decimal" w:pos="439"/>
              </w:tabs>
              <w:spacing w:before="40" w:after="40"/>
            </w:pPr>
            <w:r>
              <w:t>6.0</w:t>
            </w:r>
          </w:p>
        </w:tc>
      </w:tr>
      <w:tr>
        <w:tc>
          <w:tcPr>
            <w:tcW w:w="680" w:type="dxa"/>
          </w:tcPr>
          <w:p>
            <w:pPr>
              <w:pStyle w:val="yTable"/>
              <w:spacing w:before="40" w:after="40"/>
            </w:pPr>
            <w:r>
              <w:t>91.</w:t>
            </w:r>
          </w:p>
        </w:tc>
        <w:tc>
          <w:tcPr>
            <w:tcW w:w="5110" w:type="dxa"/>
            <w:gridSpan w:val="2"/>
          </w:tcPr>
          <w:p>
            <w:pPr>
              <w:pStyle w:val="yTable"/>
              <w:ind w:left="548" w:hanging="548"/>
            </w:pPr>
            <w:r>
              <w:t>MORPHINE METHOBROMIDE AND OTHER PENTAVALENT NITROGEN MORPHINE DERIVATIVES</w:t>
            </w:r>
          </w:p>
        </w:tc>
        <w:tc>
          <w:tcPr>
            <w:tcW w:w="1200" w:type="dxa"/>
          </w:tcPr>
          <w:p>
            <w:pPr>
              <w:pStyle w:val="yTable"/>
              <w:tabs>
                <w:tab w:val="decimal" w:pos="439"/>
              </w:tabs>
              <w:spacing w:before="40" w:after="40"/>
            </w:pPr>
            <w:r>
              <w:t>6.0</w:t>
            </w:r>
          </w:p>
        </w:tc>
      </w:tr>
      <w:tr>
        <w:tc>
          <w:tcPr>
            <w:tcW w:w="680" w:type="dxa"/>
          </w:tcPr>
          <w:p>
            <w:pPr>
              <w:pStyle w:val="yTable"/>
              <w:spacing w:before="40" w:after="40"/>
            </w:pPr>
            <w:r>
              <w:t>92.</w:t>
            </w:r>
          </w:p>
        </w:tc>
        <w:tc>
          <w:tcPr>
            <w:tcW w:w="5110" w:type="dxa"/>
            <w:gridSpan w:val="2"/>
          </w:tcPr>
          <w:p>
            <w:pPr>
              <w:pStyle w:val="yTable"/>
            </w:pPr>
            <w:r>
              <w:t>MORPHINE</w:t>
            </w:r>
            <w:r>
              <w:noBreakHyphen/>
              <w:t>N</w:t>
            </w:r>
            <w:r>
              <w:noBreakHyphen/>
              <w:t>OXIDE</w:t>
            </w:r>
          </w:p>
        </w:tc>
        <w:tc>
          <w:tcPr>
            <w:tcW w:w="1200" w:type="dxa"/>
          </w:tcPr>
          <w:p>
            <w:pPr>
              <w:pStyle w:val="yTable"/>
              <w:tabs>
                <w:tab w:val="decimal" w:pos="439"/>
              </w:tabs>
              <w:spacing w:before="40" w:after="40"/>
            </w:pPr>
            <w:r>
              <w:t>6.0</w:t>
            </w:r>
          </w:p>
        </w:tc>
      </w:tr>
      <w:tr>
        <w:tc>
          <w:tcPr>
            <w:tcW w:w="680" w:type="dxa"/>
          </w:tcPr>
          <w:p>
            <w:pPr>
              <w:pStyle w:val="yTable"/>
              <w:spacing w:before="40" w:after="40"/>
            </w:pPr>
            <w:r>
              <w:t>93.</w:t>
            </w:r>
          </w:p>
        </w:tc>
        <w:tc>
          <w:tcPr>
            <w:tcW w:w="5110" w:type="dxa"/>
            <w:gridSpan w:val="2"/>
          </w:tcPr>
          <w:p>
            <w:pPr>
              <w:pStyle w:val="yTable"/>
              <w:ind w:left="548" w:hanging="548"/>
            </w:pPr>
            <w:r>
              <w:t>MORPHINE SUBSTITUTES (not specifically included elsewhere in this Schedule)</w:t>
            </w:r>
          </w:p>
        </w:tc>
        <w:tc>
          <w:tcPr>
            <w:tcW w:w="1200" w:type="dxa"/>
          </w:tcPr>
          <w:p>
            <w:pPr>
              <w:pStyle w:val="yTable"/>
              <w:tabs>
                <w:tab w:val="decimal" w:pos="439"/>
              </w:tabs>
              <w:spacing w:before="40" w:after="40"/>
            </w:pPr>
            <w:r>
              <w:t>6.0</w:t>
            </w:r>
          </w:p>
        </w:tc>
      </w:tr>
      <w:tr>
        <w:tc>
          <w:tcPr>
            <w:tcW w:w="680" w:type="dxa"/>
          </w:tcPr>
          <w:p>
            <w:pPr>
              <w:pStyle w:val="yTable"/>
              <w:spacing w:before="40" w:after="40"/>
            </w:pPr>
            <w:r>
              <w:t>94.</w:t>
            </w:r>
          </w:p>
        </w:tc>
        <w:tc>
          <w:tcPr>
            <w:tcW w:w="5110" w:type="dxa"/>
            <w:gridSpan w:val="2"/>
          </w:tcPr>
          <w:p>
            <w:pPr>
              <w:pStyle w:val="yTable"/>
            </w:pPr>
            <w:r>
              <w:t>MYROPHINE</w:t>
            </w:r>
          </w:p>
        </w:tc>
        <w:tc>
          <w:tcPr>
            <w:tcW w:w="1200" w:type="dxa"/>
          </w:tcPr>
          <w:p>
            <w:pPr>
              <w:pStyle w:val="yTable"/>
              <w:tabs>
                <w:tab w:val="decimal" w:pos="439"/>
              </w:tabs>
              <w:spacing w:before="40" w:after="40"/>
            </w:pPr>
            <w:r>
              <w:t>60.0</w:t>
            </w:r>
          </w:p>
        </w:tc>
      </w:tr>
      <w:tr>
        <w:tc>
          <w:tcPr>
            <w:tcW w:w="680" w:type="dxa"/>
          </w:tcPr>
          <w:p>
            <w:pPr>
              <w:pStyle w:val="yTable"/>
              <w:spacing w:before="40" w:after="40"/>
            </w:pPr>
            <w:r>
              <w:t>95.</w:t>
            </w:r>
          </w:p>
        </w:tc>
        <w:tc>
          <w:tcPr>
            <w:tcW w:w="5110" w:type="dxa"/>
            <w:gridSpan w:val="2"/>
          </w:tcPr>
          <w:p>
            <w:pPr>
              <w:pStyle w:val="yTable"/>
            </w:pPr>
            <w:r>
              <w:t>NEALBARBITONE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96.</w:t>
            </w:r>
          </w:p>
        </w:tc>
        <w:tc>
          <w:tcPr>
            <w:tcW w:w="5110" w:type="dxa"/>
            <w:gridSpan w:val="2"/>
          </w:tcPr>
          <w:p>
            <w:pPr>
              <w:pStyle w:val="yTable"/>
              <w:ind w:left="548" w:hanging="548"/>
            </w:pPr>
            <w:r>
              <w:t xml:space="preserve">NICOCODINE (except when included in Schedule 2 or 4 in Appendix A to the </w:t>
            </w:r>
            <w:r>
              <w:rPr>
                <w:i/>
                <w:iCs/>
              </w:rPr>
              <w:t>Poisons Act 1964</w:t>
            </w:r>
            <w:r>
              <w:t>)</w:t>
            </w:r>
          </w:p>
        </w:tc>
        <w:tc>
          <w:tcPr>
            <w:tcW w:w="1200" w:type="dxa"/>
          </w:tcPr>
          <w:p>
            <w:pPr>
              <w:pStyle w:val="yTable"/>
              <w:tabs>
                <w:tab w:val="decimal" w:pos="439"/>
              </w:tabs>
              <w:spacing w:before="40" w:after="40"/>
            </w:pPr>
            <w:r>
              <w:t>6.0</w:t>
            </w:r>
          </w:p>
        </w:tc>
      </w:tr>
      <w:tr>
        <w:tc>
          <w:tcPr>
            <w:tcW w:w="680" w:type="dxa"/>
          </w:tcPr>
          <w:p>
            <w:pPr>
              <w:pStyle w:val="yTable"/>
              <w:spacing w:before="40" w:after="40"/>
            </w:pPr>
            <w:r>
              <w:t>97.</w:t>
            </w:r>
          </w:p>
        </w:tc>
        <w:tc>
          <w:tcPr>
            <w:tcW w:w="5110" w:type="dxa"/>
            <w:gridSpan w:val="2"/>
          </w:tcPr>
          <w:p>
            <w:pPr>
              <w:pStyle w:val="yTable"/>
              <w:ind w:left="548" w:hanging="548"/>
            </w:pPr>
            <w:r>
              <w:t xml:space="preserve">NICODICODINE (except when included in Schedule 2 or 4 in Appendix A to the </w:t>
            </w:r>
            <w:r>
              <w:rPr>
                <w:i/>
                <w:iCs/>
              </w:rPr>
              <w:t>Poisons Act 1964</w:t>
            </w:r>
            <w:r>
              <w:t>)</w:t>
            </w:r>
          </w:p>
        </w:tc>
        <w:tc>
          <w:tcPr>
            <w:tcW w:w="1200" w:type="dxa"/>
          </w:tcPr>
          <w:p>
            <w:pPr>
              <w:pStyle w:val="yTable"/>
              <w:tabs>
                <w:tab w:val="decimal" w:pos="439"/>
              </w:tabs>
              <w:spacing w:before="40" w:after="40"/>
            </w:pPr>
            <w:r>
              <w:t>6.0</w:t>
            </w:r>
          </w:p>
        </w:tc>
      </w:tr>
      <w:tr>
        <w:tc>
          <w:tcPr>
            <w:tcW w:w="680" w:type="dxa"/>
          </w:tcPr>
          <w:p>
            <w:pPr>
              <w:pStyle w:val="yTable"/>
              <w:spacing w:before="40" w:after="40"/>
            </w:pPr>
            <w:r>
              <w:t>98.</w:t>
            </w:r>
          </w:p>
        </w:tc>
        <w:tc>
          <w:tcPr>
            <w:tcW w:w="5110" w:type="dxa"/>
            <w:gridSpan w:val="2"/>
          </w:tcPr>
          <w:p>
            <w:pPr>
              <w:pStyle w:val="yTable"/>
            </w:pPr>
            <w:r>
              <w:t>NICOMORPHINE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99.</w:t>
            </w:r>
          </w:p>
        </w:tc>
        <w:tc>
          <w:tcPr>
            <w:tcW w:w="5110" w:type="dxa"/>
            <w:gridSpan w:val="2"/>
          </w:tcPr>
          <w:p>
            <w:pPr>
              <w:pStyle w:val="yTable"/>
            </w:pPr>
            <w:r>
              <w:t>NORACYMETHADOL</w:t>
            </w:r>
          </w:p>
        </w:tc>
        <w:tc>
          <w:tcPr>
            <w:tcW w:w="1200" w:type="dxa"/>
          </w:tcPr>
          <w:p>
            <w:pPr>
              <w:pStyle w:val="yTable"/>
              <w:tabs>
                <w:tab w:val="decimal" w:pos="439"/>
              </w:tabs>
              <w:spacing w:before="40" w:after="40"/>
            </w:pPr>
            <w:r>
              <w:t>6.0</w:t>
            </w:r>
          </w:p>
        </w:tc>
      </w:tr>
      <w:tr>
        <w:tc>
          <w:tcPr>
            <w:tcW w:w="680" w:type="dxa"/>
          </w:tcPr>
          <w:p>
            <w:pPr>
              <w:pStyle w:val="yTable"/>
              <w:spacing w:before="40" w:after="40"/>
            </w:pPr>
            <w:r>
              <w:t>100.</w:t>
            </w:r>
          </w:p>
        </w:tc>
        <w:tc>
          <w:tcPr>
            <w:tcW w:w="5110" w:type="dxa"/>
            <w:gridSpan w:val="2"/>
          </w:tcPr>
          <w:p>
            <w:pPr>
              <w:pStyle w:val="yTable"/>
              <w:ind w:left="548" w:hanging="548"/>
            </w:pPr>
            <w:r>
              <w:t xml:space="preserve">NORCODEINE (except when included in Schedule 2 or 4 in Appendix A to the </w:t>
            </w:r>
            <w:r>
              <w:rPr>
                <w:i/>
                <w:iCs/>
              </w:rPr>
              <w:t>Poisons Act 1964)</w:t>
            </w:r>
          </w:p>
        </w:tc>
        <w:tc>
          <w:tcPr>
            <w:tcW w:w="1200" w:type="dxa"/>
          </w:tcPr>
          <w:p>
            <w:pPr>
              <w:pStyle w:val="yTable"/>
              <w:tabs>
                <w:tab w:val="decimal" w:pos="439"/>
              </w:tabs>
              <w:spacing w:before="40" w:after="40"/>
            </w:pPr>
            <w:r>
              <w:t>6.0</w:t>
            </w:r>
          </w:p>
        </w:tc>
      </w:tr>
      <w:tr>
        <w:tc>
          <w:tcPr>
            <w:tcW w:w="680" w:type="dxa"/>
          </w:tcPr>
          <w:p>
            <w:pPr>
              <w:pStyle w:val="yTable"/>
              <w:spacing w:before="40" w:after="40"/>
            </w:pPr>
            <w:r>
              <w:t>101.</w:t>
            </w:r>
          </w:p>
        </w:tc>
        <w:tc>
          <w:tcPr>
            <w:tcW w:w="5110" w:type="dxa"/>
            <w:gridSpan w:val="2"/>
          </w:tcPr>
          <w:p>
            <w:pPr>
              <w:pStyle w:val="yTable"/>
            </w:pPr>
            <w:r>
              <w:t>NORLEVORPHANOL</w:t>
            </w:r>
          </w:p>
        </w:tc>
        <w:tc>
          <w:tcPr>
            <w:tcW w:w="1200" w:type="dxa"/>
          </w:tcPr>
          <w:p>
            <w:pPr>
              <w:pStyle w:val="yTable"/>
              <w:tabs>
                <w:tab w:val="decimal" w:pos="439"/>
              </w:tabs>
              <w:spacing w:before="40" w:after="40"/>
            </w:pPr>
            <w:r>
              <w:t>6.0</w:t>
            </w:r>
          </w:p>
        </w:tc>
      </w:tr>
      <w:tr>
        <w:tc>
          <w:tcPr>
            <w:tcW w:w="680" w:type="dxa"/>
          </w:tcPr>
          <w:p>
            <w:pPr>
              <w:pStyle w:val="yTable"/>
              <w:spacing w:before="40" w:after="40"/>
            </w:pPr>
            <w:r>
              <w:t>102.</w:t>
            </w:r>
          </w:p>
        </w:tc>
        <w:tc>
          <w:tcPr>
            <w:tcW w:w="5110" w:type="dxa"/>
            <w:gridSpan w:val="2"/>
          </w:tcPr>
          <w:p>
            <w:pPr>
              <w:pStyle w:val="yTable"/>
            </w:pPr>
            <w:r>
              <w:t>NORMETHADONE</w:t>
            </w:r>
          </w:p>
        </w:tc>
        <w:tc>
          <w:tcPr>
            <w:tcW w:w="1200" w:type="dxa"/>
          </w:tcPr>
          <w:p>
            <w:pPr>
              <w:pStyle w:val="yTable"/>
              <w:tabs>
                <w:tab w:val="decimal" w:pos="439"/>
              </w:tabs>
              <w:spacing w:before="40" w:after="40"/>
            </w:pPr>
            <w:r>
              <w:t>1.5</w:t>
            </w:r>
          </w:p>
        </w:tc>
      </w:tr>
      <w:tr>
        <w:tc>
          <w:tcPr>
            <w:tcW w:w="680" w:type="dxa"/>
          </w:tcPr>
          <w:p>
            <w:pPr>
              <w:pStyle w:val="yTable"/>
              <w:spacing w:before="40" w:after="40"/>
            </w:pPr>
            <w:r>
              <w:t>103.</w:t>
            </w:r>
          </w:p>
        </w:tc>
        <w:tc>
          <w:tcPr>
            <w:tcW w:w="5110" w:type="dxa"/>
            <w:gridSpan w:val="2"/>
          </w:tcPr>
          <w:p>
            <w:pPr>
              <w:pStyle w:val="yTable"/>
            </w:pPr>
            <w:r>
              <w:t>NORMORPHINE</w:t>
            </w:r>
          </w:p>
        </w:tc>
        <w:tc>
          <w:tcPr>
            <w:tcW w:w="1200" w:type="dxa"/>
          </w:tcPr>
          <w:p>
            <w:pPr>
              <w:pStyle w:val="yTable"/>
              <w:tabs>
                <w:tab w:val="decimal" w:pos="439"/>
              </w:tabs>
              <w:spacing w:before="40" w:after="40"/>
            </w:pPr>
            <w:r>
              <w:t>60.0</w:t>
            </w:r>
          </w:p>
        </w:tc>
      </w:tr>
      <w:tr>
        <w:tc>
          <w:tcPr>
            <w:tcW w:w="680" w:type="dxa"/>
          </w:tcPr>
          <w:p>
            <w:pPr>
              <w:pStyle w:val="yTable"/>
              <w:spacing w:before="40" w:after="40"/>
            </w:pPr>
            <w:r>
              <w:t>104.</w:t>
            </w:r>
          </w:p>
        </w:tc>
        <w:tc>
          <w:tcPr>
            <w:tcW w:w="5110" w:type="dxa"/>
            <w:gridSpan w:val="2"/>
          </w:tcPr>
          <w:p>
            <w:pPr>
              <w:pStyle w:val="yTable"/>
            </w:pPr>
            <w:r>
              <w:t>NORPIPANONE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105.</w:t>
            </w:r>
          </w:p>
        </w:tc>
        <w:tc>
          <w:tcPr>
            <w:tcW w:w="5110" w:type="dxa"/>
            <w:gridSpan w:val="2"/>
          </w:tcPr>
          <w:p>
            <w:pPr>
              <w:pStyle w:val="yTable"/>
            </w:pPr>
            <w:r>
              <w:t>OPIUM</w:t>
            </w:r>
          </w:p>
        </w:tc>
        <w:tc>
          <w:tcPr>
            <w:tcW w:w="1200" w:type="dxa"/>
          </w:tcPr>
          <w:p>
            <w:pPr>
              <w:pStyle w:val="yTable"/>
              <w:tabs>
                <w:tab w:val="decimal" w:pos="439"/>
              </w:tabs>
              <w:spacing w:before="40" w:after="40"/>
            </w:pPr>
            <w:r>
              <w:t>40.0</w:t>
            </w:r>
          </w:p>
        </w:tc>
      </w:tr>
      <w:tr>
        <w:tc>
          <w:tcPr>
            <w:tcW w:w="680" w:type="dxa"/>
          </w:tcPr>
          <w:p>
            <w:pPr>
              <w:pStyle w:val="yTable"/>
              <w:spacing w:before="40" w:after="40"/>
            </w:pPr>
            <w:r>
              <w:t>106.</w:t>
            </w:r>
          </w:p>
        </w:tc>
        <w:tc>
          <w:tcPr>
            <w:tcW w:w="5110" w:type="dxa"/>
            <w:gridSpan w:val="2"/>
          </w:tcPr>
          <w:p>
            <w:pPr>
              <w:pStyle w:val="yTable"/>
            </w:pPr>
            <w:r>
              <w:t>OXYCODONE</w:t>
            </w:r>
          </w:p>
        </w:tc>
        <w:tc>
          <w:tcPr>
            <w:tcW w:w="1200" w:type="dxa"/>
          </w:tcPr>
          <w:p>
            <w:pPr>
              <w:pStyle w:val="yTable"/>
              <w:tabs>
                <w:tab w:val="decimal" w:pos="439"/>
              </w:tabs>
              <w:spacing w:before="40" w:after="40"/>
            </w:pPr>
            <w:r>
              <w:t>15.0</w:t>
            </w:r>
          </w:p>
        </w:tc>
      </w:tr>
      <w:tr>
        <w:tc>
          <w:tcPr>
            <w:tcW w:w="680" w:type="dxa"/>
          </w:tcPr>
          <w:p>
            <w:pPr>
              <w:pStyle w:val="yTable"/>
              <w:spacing w:before="40" w:after="40"/>
            </w:pPr>
            <w:r>
              <w:t>107.</w:t>
            </w:r>
          </w:p>
        </w:tc>
        <w:tc>
          <w:tcPr>
            <w:tcW w:w="5110" w:type="dxa"/>
            <w:gridSpan w:val="2"/>
          </w:tcPr>
          <w:p>
            <w:pPr>
              <w:pStyle w:val="yTable"/>
            </w:pPr>
            <w:r>
              <w:t>OXYMORPHONE</w:t>
            </w:r>
          </w:p>
        </w:tc>
        <w:tc>
          <w:tcPr>
            <w:tcW w:w="1200" w:type="dxa"/>
          </w:tcPr>
          <w:p>
            <w:pPr>
              <w:pStyle w:val="yTable"/>
              <w:tabs>
                <w:tab w:val="decimal" w:pos="439"/>
              </w:tabs>
              <w:spacing w:before="40" w:after="40"/>
            </w:pPr>
            <w:r>
              <w:t>6.0</w:t>
            </w:r>
          </w:p>
        </w:tc>
      </w:tr>
      <w:tr>
        <w:tc>
          <w:tcPr>
            <w:tcW w:w="680" w:type="dxa"/>
          </w:tcPr>
          <w:p>
            <w:pPr>
              <w:pStyle w:val="yTable"/>
              <w:spacing w:before="40" w:after="40"/>
            </w:pPr>
            <w:r>
              <w:t>108.</w:t>
            </w:r>
          </w:p>
        </w:tc>
        <w:tc>
          <w:tcPr>
            <w:tcW w:w="5110" w:type="dxa"/>
            <w:gridSpan w:val="2"/>
          </w:tcPr>
          <w:p>
            <w:pPr>
              <w:pStyle w:val="yTable"/>
            </w:pPr>
            <w:r>
              <w:t>PENTAZOCINE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109.</w:t>
            </w:r>
          </w:p>
        </w:tc>
        <w:tc>
          <w:tcPr>
            <w:tcW w:w="5110" w:type="dxa"/>
            <w:gridSpan w:val="2"/>
          </w:tcPr>
          <w:p>
            <w:pPr>
              <w:pStyle w:val="yTable"/>
            </w:pPr>
            <w:r>
              <w:t>PENTOBARBITONE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110.</w:t>
            </w:r>
          </w:p>
        </w:tc>
        <w:tc>
          <w:tcPr>
            <w:tcW w:w="5110" w:type="dxa"/>
            <w:gridSpan w:val="2"/>
          </w:tcPr>
          <w:p>
            <w:pPr>
              <w:pStyle w:val="yTable"/>
            </w:pPr>
            <w:r>
              <w:t>PETHIDINE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111.</w:t>
            </w:r>
          </w:p>
        </w:tc>
        <w:tc>
          <w:tcPr>
            <w:tcW w:w="5110" w:type="dxa"/>
            <w:gridSpan w:val="2"/>
          </w:tcPr>
          <w:p>
            <w:pPr>
              <w:pStyle w:val="yTable"/>
            </w:pPr>
            <w:r>
              <w:t>PETHIDINE</w:t>
            </w:r>
            <w:r>
              <w:noBreakHyphen/>
              <w:t>INTERMEDIATE A</w:t>
            </w:r>
          </w:p>
        </w:tc>
        <w:tc>
          <w:tcPr>
            <w:tcW w:w="1200" w:type="dxa"/>
          </w:tcPr>
          <w:p>
            <w:pPr>
              <w:pStyle w:val="yTable"/>
              <w:tabs>
                <w:tab w:val="decimal" w:pos="439"/>
              </w:tabs>
              <w:spacing w:before="40" w:after="40"/>
            </w:pPr>
            <w:r>
              <w:t>15.0</w:t>
            </w:r>
          </w:p>
        </w:tc>
      </w:tr>
      <w:tr>
        <w:tc>
          <w:tcPr>
            <w:tcW w:w="680" w:type="dxa"/>
          </w:tcPr>
          <w:p>
            <w:pPr>
              <w:pStyle w:val="yTable"/>
              <w:spacing w:before="40" w:after="40"/>
            </w:pPr>
            <w:r>
              <w:t>112.</w:t>
            </w:r>
          </w:p>
        </w:tc>
        <w:tc>
          <w:tcPr>
            <w:tcW w:w="5110" w:type="dxa"/>
            <w:gridSpan w:val="2"/>
          </w:tcPr>
          <w:p>
            <w:pPr>
              <w:pStyle w:val="yTable"/>
            </w:pPr>
            <w:r>
              <w:t>PETHIDINE</w:t>
            </w:r>
            <w:r>
              <w:noBreakHyphen/>
              <w:t>INTERMEDIATE B</w:t>
            </w:r>
          </w:p>
        </w:tc>
        <w:tc>
          <w:tcPr>
            <w:tcW w:w="1200" w:type="dxa"/>
          </w:tcPr>
          <w:p>
            <w:pPr>
              <w:pStyle w:val="yTable"/>
              <w:tabs>
                <w:tab w:val="decimal" w:pos="439"/>
              </w:tabs>
              <w:spacing w:before="40" w:after="40"/>
            </w:pPr>
            <w:r>
              <w:t>15.0</w:t>
            </w:r>
          </w:p>
        </w:tc>
      </w:tr>
      <w:tr>
        <w:tc>
          <w:tcPr>
            <w:tcW w:w="680" w:type="dxa"/>
          </w:tcPr>
          <w:p>
            <w:pPr>
              <w:pStyle w:val="yTable"/>
              <w:spacing w:before="40" w:after="40"/>
            </w:pPr>
            <w:r>
              <w:t>113.</w:t>
            </w:r>
          </w:p>
        </w:tc>
        <w:tc>
          <w:tcPr>
            <w:tcW w:w="5110" w:type="dxa"/>
            <w:gridSpan w:val="2"/>
          </w:tcPr>
          <w:p>
            <w:pPr>
              <w:pStyle w:val="yTable"/>
            </w:pPr>
            <w:r>
              <w:t>PETHIDINE</w:t>
            </w:r>
            <w:r>
              <w:noBreakHyphen/>
              <w:t>INTERMEDIATE C</w:t>
            </w:r>
          </w:p>
        </w:tc>
        <w:tc>
          <w:tcPr>
            <w:tcW w:w="1200" w:type="dxa"/>
          </w:tcPr>
          <w:p>
            <w:pPr>
              <w:pStyle w:val="yTable"/>
              <w:tabs>
                <w:tab w:val="decimal" w:pos="439"/>
              </w:tabs>
              <w:spacing w:before="40" w:after="40"/>
            </w:pPr>
            <w:r>
              <w:t>15.0</w:t>
            </w:r>
          </w:p>
        </w:tc>
      </w:tr>
      <w:tr>
        <w:tc>
          <w:tcPr>
            <w:tcW w:w="680" w:type="dxa"/>
          </w:tcPr>
          <w:p>
            <w:pPr>
              <w:pStyle w:val="yTable"/>
              <w:spacing w:before="40" w:after="40"/>
            </w:pPr>
            <w:r>
              <w:t>114.</w:t>
            </w:r>
          </w:p>
        </w:tc>
        <w:tc>
          <w:tcPr>
            <w:tcW w:w="5110" w:type="dxa"/>
            <w:gridSpan w:val="2"/>
          </w:tcPr>
          <w:p>
            <w:pPr>
              <w:pStyle w:val="yTable"/>
            </w:pPr>
            <w:r>
              <w:t>PHENADOXONE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115.</w:t>
            </w:r>
          </w:p>
        </w:tc>
        <w:tc>
          <w:tcPr>
            <w:tcW w:w="5110" w:type="dxa"/>
            <w:gridSpan w:val="2"/>
          </w:tcPr>
          <w:p>
            <w:pPr>
              <w:pStyle w:val="yTable"/>
            </w:pPr>
            <w:r>
              <w:t>PHENAMPROMIDE</w:t>
            </w:r>
          </w:p>
        </w:tc>
        <w:tc>
          <w:tcPr>
            <w:tcW w:w="1200" w:type="dxa"/>
          </w:tcPr>
          <w:p>
            <w:pPr>
              <w:pStyle w:val="yTable"/>
              <w:tabs>
                <w:tab w:val="decimal" w:pos="439"/>
              </w:tabs>
              <w:spacing w:before="40" w:after="40"/>
            </w:pPr>
            <w:r>
              <w:t>30.0</w:t>
            </w:r>
          </w:p>
        </w:tc>
      </w:tr>
      <w:tr>
        <w:tc>
          <w:tcPr>
            <w:tcW w:w="680" w:type="dxa"/>
          </w:tcPr>
          <w:p>
            <w:pPr>
              <w:pStyle w:val="yTable"/>
              <w:spacing w:before="40" w:after="40"/>
            </w:pPr>
            <w:r>
              <w:t>116.</w:t>
            </w:r>
          </w:p>
        </w:tc>
        <w:tc>
          <w:tcPr>
            <w:tcW w:w="5110" w:type="dxa"/>
            <w:gridSpan w:val="2"/>
          </w:tcPr>
          <w:p>
            <w:pPr>
              <w:pStyle w:val="yTable"/>
            </w:pPr>
            <w:r>
              <w:t>PHENAZOCINE</w:t>
            </w:r>
          </w:p>
        </w:tc>
        <w:tc>
          <w:tcPr>
            <w:tcW w:w="1200" w:type="dxa"/>
          </w:tcPr>
          <w:p>
            <w:pPr>
              <w:pStyle w:val="yTable"/>
              <w:tabs>
                <w:tab w:val="decimal" w:pos="439"/>
              </w:tabs>
              <w:spacing w:before="40" w:after="40"/>
            </w:pPr>
            <w:r>
              <w:t>3.0</w:t>
            </w:r>
          </w:p>
        </w:tc>
      </w:tr>
      <w:tr>
        <w:tc>
          <w:tcPr>
            <w:tcW w:w="680" w:type="dxa"/>
          </w:tcPr>
          <w:p>
            <w:pPr>
              <w:pStyle w:val="yTable"/>
              <w:spacing w:before="40" w:after="40"/>
            </w:pPr>
            <w:r>
              <w:t>117.</w:t>
            </w:r>
          </w:p>
        </w:tc>
        <w:tc>
          <w:tcPr>
            <w:tcW w:w="5110" w:type="dxa"/>
            <w:gridSpan w:val="2"/>
          </w:tcPr>
          <w:p>
            <w:pPr>
              <w:pStyle w:val="yTable"/>
            </w:pPr>
            <w:r>
              <w:t>PHENCYCLIDINE</w:t>
            </w:r>
          </w:p>
        </w:tc>
        <w:tc>
          <w:tcPr>
            <w:tcW w:w="1200" w:type="dxa"/>
          </w:tcPr>
          <w:p>
            <w:pPr>
              <w:pStyle w:val="yTable"/>
              <w:tabs>
                <w:tab w:val="decimal" w:pos="439"/>
              </w:tabs>
              <w:spacing w:before="40" w:after="40"/>
            </w:pPr>
            <w:r>
              <w:t>0.004</w:t>
            </w:r>
          </w:p>
        </w:tc>
      </w:tr>
      <w:tr>
        <w:tc>
          <w:tcPr>
            <w:tcW w:w="680" w:type="dxa"/>
          </w:tcPr>
          <w:p>
            <w:pPr>
              <w:pStyle w:val="yTable"/>
              <w:spacing w:before="40" w:after="40"/>
            </w:pPr>
            <w:r>
              <w:t>118.</w:t>
            </w:r>
          </w:p>
        </w:tc>
        <w:tc>
          <w:tcPr>
            <w:tcW w:w="5110" w:type="dxa"/>
            <w:gridSpan w:val="2"/>
          </w:tcPr>
          <w:p>
            <w:pPr>
              <w:pStyle w:val="yTable"/>
            </w:pPr>
            <w:r>
              <w:t>PHENMETRAZINE</w:t>
            </w:r>
          </w:p>
        </w:tc>
        <w:tc>
          <w:tcPr>
            <w:tcW w:w="1200" w:type="dxa"/>
          </w:tcPr>
          <w:p>
            <w:pPr>
              <w:pStyle w:val="yTable"/>
              <w:tabs>
                <w:tab w:val="decimal" w:pos="439"/>
              </w:tabs>
              <w:spacing w:before="40" w:after="40"/>
            </w:pPr>
            <w:r>
              <w:t>6.0</w:t>
            </w:r>
          </w:p>
        </w:tc>
      </w:tr>
      <w:tr>
        <w:tc>
          <w:tcPr>
            <w:tcW w:w="680" w:type="dxa"/>
          </w:tcPr>
          <w:p>
            <w:pPr>
              <w:pStyle w:val="yTable"/>
              <w:spacing w:before="40" w:after="40"/>
            </w:pPr>
            <w:r>
              <w:t>119.</w:t>
            </w:r>
          </w:p>
        </w:tc>
        <w:tc>
          <w:tcPr>
            <w:tcW w:w="5110" w:type="dxa"/>
            <w:gridSpan w:val="2"/>
          </w:tcPr>
          <w:p>
            <w:pPr>
              <w:pStyle w:val="yTable"/>
            </w:pPr>
            <w:r>
              <w:t>PHENOBARBITONE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120.</w:t>
            </w:r>
          </w:p>
        </w:tc>
        <w:tc>
          <w:tcPr>
            <w:tcW w:w="5110" w:type="dxa"/>
            <w:gridSpan w:val="2"/>
          </w:tcPr>
          <w:p>
            <w:pPr>
              <w:pStyle w:val="yTable"/>
            </w:pPr>
            <w:r>
              <w:t>PHENOMORPHAN</w:t>
            </w:r>
          </w:p>
        </w:tc>
        <w:tc>
          <w:tcPr>
            <w:tcW w:w="1200" w:type="dxa"/>
          </w:tcPr>
          <w:p>
            <w:pPr>
              <w:pStyle w:val="yTable"/>
              <w:tabs>
                <w:tab w:val="decimal" w:pos="439"/>
              </w:tabs>
              <w:spacing w:before="40" w:after="40"/>
            </w:pPr>
            <w:r>
              <w:t>15.0</w:t>
            </w:r>
          </w:p>
        </w:tc>
      </w:tr>
      <w:tr>
        <w:tc>
          <w:tcPr>
            <w:tcW w:w="680" w:type="dxa"/>
          </w:tcPr>
          <w:p>
            <w:pPr>
              <w:pStyle w:val="yTable"/>
              <w:spacing w:before="40" w:after="40"/>
            </w:pPr>
            <w:r>
              <w:t>121.</w:t>
            </w:r>
          </w:p>
        </w:tc>
        <w:tc>
          <w:tcPr>
            <w:tcW w:w="5110" w:type="dxa"/>
            <w:gridSpan w:val="2"/>
          </w:tcPr>
          <w:p>
            <w:pPr>
              <w:pStyle w:val="yTable"/>
            </w:pPr>
            <w:r>
              <w:t>PHENOPERIDINE</w:t>
            </w:r>
          </w:p>
        </w:tc>
        <w:tc>
          <w:tcPr>
            <w:tcW w:w="1200" w:type="dxa"/>
          </w:tcPr>
          <w:p>
            <w:pPr>
              <w:pStyle w:val="yTable"/>
              <w:tabs>
                <w:tab w:val="decimal" w:pos="439"/>
              </w:tabs>
              <w:spacing w:before="40" w:after="40"/>
            </w:pPr>
            <w:r>
              <w:t>3.0</w:t>
            </w:r>
          </w:p>
        </w:tc>
      </w:tr>
      <w:tr>
        <w:tc>
          <w:tcPr>
            <w:tcW w:w="680" w:type="dxa"/>
          </w:tcPr>
          <w:p>
            <w:pPr>
              <w:pStyle w:val="yTable"/>
              <w:spacing w:before="40" w:after="40"/>
            </w:pPr>
            <w:r>
              <w:t>122.</w:t>
            </w:r>
          </w:p>
        </w:tc>
        <w:tc>
          <w:tcPr>
            <w:tcW w:w="5110" w:type="dxa"/>
            <w:gridSpan w:val="2"/>
          </w:tcPr>
          <w:p>
            <w:pPr>
              <w:pStyle w:val="yTable"/>
            </w:pPr>
            <w:r>
              <w:t>PHENYLMETHYLBARBITURIC ACID</w:t>
            </w:r>
          </w:p>
        </w:tc>
        <w:tc>
          <w:tcPr>
            <w:tcW w:w="1200" w:type="dxa"/>
          </w:tcPr>
          <w:p>
            <w:pPr>
              <w:pStyle w:val="yTable"/>
              <w:tabs>
                <w:tab w:val="decimal" w:pos="439"/>
              </w:tabs>
              <w:spacing w:before="40" w:after="40"/>
            </w:pPr>
            <w:r>
              <w:t>30.0</w:t>
            </w:r>
          </w:p>
        </w:tc>
      </w:tr>
      <w:tr>
        <w:tc>
          <w:tcPr>
            <w:tcW w:w="680" w:type="dxa"/>
          </w:tcPr>
          <w:p>
            <w:pPr>
              <w:pStyle w:val="yTable"/>
              <w:keepNext/>
              <w:keepLines/>
              <w:spacing w:before="40" w:after="40"/>
            </w:pPr>
            <w:r>
              <w:t>123.</w:t>
            </w:r>
          </w:p>
        </w:tc>
        <w:tc>
          <w:tcPr>
            <w:tcW w:w="5110" w:type="dxa"/>
            <w:gridSpan w:val="2"/>
          </w:tcPr>
          <w:p>
            <w:pPr>
              <w:pStyle w:val="yTable"/>
              <w:ind w:left="548" w:hanging="548"/>
            </w:pPr>
            <w:r>
              <w:t xml:space="preserve">PHOLCODINE (except when included in Schedule 2 or 4 in Appendix A to the </w:t>
            </w:r>
            <w:r>
              <w:rPr>
                <w:i/>
                <w:iCs/>
              </w:rPr>
              <w:t>Poisons Act 1964</w:t>
            </w:r>
            <w:r>
              <w:t>)</w:t>
            </w:r>
          </w:p>
        </w:tc>
        <w:tc>
          <w:tcPr>
            <w:tcW w:w="1200" w:type="dxa"/>
          </w:tcPr>
          <w:p>
            <w:pPr>
              <w:pStyle w:val="yTable"/>
              <w:keepNext/>
              <w:keepLines/>
              <w:tabs>
                <w:tab w:val="decimal" w:pos="439"/>
              </w:tabs>
              <w:spacing w:before="40" w:after="40"/>
            </w:pPr>
            <w:r>
              <w:t>15.0</w:t>
            </w:r>
          </w:p>
        </w:tc>
      </w:tr>
      <w:tr>
        <w:tc>
          <w:tcPr>
            <w:tcW w:w="680" w:type="dxa"/>
          </w:tcPr>
          <w:p>
            <w:pPr>
              <w:pStyle w:val="yTable"/>
              <w:spacing w:before="40" w:after="40"/>
            </w:pPr>
            <w:r>
              <w:t>124.</w:t>
            </w:r>
          </w:p>
        </w:tc>
        <w:tc>
          <w:tcPr>
            <w:tcW w:w="5110" w:type="dxa"/>
            <w:gridSpan w:val="2"/>
          </w:tcPr>
          <w:p>
            <w:pPr>
              <w:pStyle w:val="yTable"/>
            </w:pPr>
            <w:r>
              <w:t>PIMINODINE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125.</w:t>
            </w:r>
          </w:p>
        </w:tc>
        <w:tc>
          <w:tcPr>
            <w:tcW w:w="5110" w:type="dxa"/>
            <w:gridSpan w:val="2"/>
          </w:tcPr>
          <w:p>
            <w:pPr>
              <w:pStyle w:val="yTable"/>
            </w:pPr>
            <w:r>
              <w:t>PIRITRAMIDE</w:t>
            </w:r>
          </w:p>
        </w:tc>
        <w:tc>
          <w:tcPr>
            <w:tcW w:w="1200" w:type="dxa"/>
          </w:tcPr>
          <w:p>
            <w:pPr>
              <w:pStyle w:val="yTable"/>
              <w:tabs>
                <w:tab w:val="decimal" w:pos="439"/>
              </w:tabs>
              <w:spacing w:before="40" w:after="40"/>
            </w:pPr>
            <w:r>
              <w:t>3.0</w:t>
            </w:r>
          </w:p>
        </w:tc>
      </w:tr>
      <w:tr>
        <w:tc>
          <w:tcPr>
            <w:tcW w:w="680" w:type="dxa"/>
          </w:tcPr>
          <w:p>
            <w:pPr>
              <w:pStyle w:val="yTable"/>
              <w:spacing w:before="40" w:after="40"/>
            </w:pPr>
            <w:r>
              <w:t>126.</w:t>
            </w:r>
          </w:p>
        </w:tc>
        <w:tc>
          <w:tcPr>
            <w:tcW w:w="5110" w:type="dxa"/>
            <w:gridSpan w:val="2"/>
          </w:tcPr>
          <w:p>
            <w:pPr>
              <w:pStyle w:val="yTable"/>
            </w:pPr>
            <w:r>
              <w:t>PROHEPTAZINE</w:t>
            </w:r>
          </w:p>
        </w:tc>
        <w:tc>
          <w:tcPr>
            <w:tcW w:w="1200" w:type="dxa"/>
          </w:tcPr>
          <w:p>
            <w:pPr>
              <w:pStyle w:val="yTable"/>
              <w:tabs>
                <w:tab w:val="decimal" w:pos="439"/>
              </w:tabs>
              <w:spacing w:before="40" w:after="40"/>
            </w:pPr>
            <w:r>
              <w:t>3.0</w:t>
            </w:r>
          </w:p>
        </w:tc>
      </w:tr>
      <w:tr>
        <w:tc>
          <w:tcPr>
            <w:tcW w:w="680" w:type="dxa"/>
          </w:tcPr>
          <w:p>
            <w:pPr>
              <w:pStyle w:val="yTable"/>
              <w:spacing w:before="40" w:after="40"/>
            </w:pPr>
            <w:r>
              <w:t>127.</w:t>
            </w:r>
          </w:p>
        </w:tc>
        <w:tc>
          <w:tcPr>
            <w:tcW w:w="5110" w:type="dxa"/>
            <w:gridSpan w:val="2"/>
          </w:tcPr>
          <w:p>
            <w:pPr>
              <w:pStyle w:val="yTable"/>
            </w:pPr>
            <w:r>
              <w:t>PROPERIDINE</w:t>
            </w:r>
          </w:p>
        </w:tc>
        <w:tc>
          <w:tcPr>
            <w:tcW w:w="1200" w:type="dxa"/>
          </w:tcPr>
          <w:p>
            <w:pPr>
              <w:pStyle w:val="yTable"/>
              <w:tabs>
                <w:tab w:val="decimal" w:pos="439"/>
              </w:tabs>
              <w:spacing w:before="40" w:after="40"/>
            </w:pPr>
            <w:r>
              <w:t>75.0</w:t>
            </w:r>
          </w:p>
        </w:tc>
      </w:tr>
      <w:tr>
        <w:tc>
          <w:tcPr>
            <w:tcW w:w="680" w:type="dxa"/>
          </w:tcPr>
          <w:p>
            <w:pPr>
              <w:pStyle w:val="yTable"/>
              <w:spacing w:before="40" w:after="40"/>
            </w:pPr>
            <w:r>
              <w:t>128.</w:t>
            </w:r>
          </w:p>
        </w:tc>
        <w:tc>
          <w:tcPr>
            <w:tcW w:w="5110" w:type="dxa"/>
            <w:gridSpan w:val="2"/>
          </w:tcPr>
          <w:p>
            <w:pPr>
              <w:pStyle w:val="yTable"/>
            </w:pPr>
            <w:r>
              <w:t>PROPIRAM</w:t>
            </w:r>
          </w:p>
        </w:tc>
        <w:tc>
          <w:tcPr>
            <w:tcW w:w="1200" w:type="dxa"/>
          </w:tcPr>
          <w:p>
            <w:pPr>
              <w:pStyle w:val="yTable"/>
              <w:tabs>
                <w:tab w:val="decimal" w:pos="439"/>
              </w:tabs>
              <w:spacing w:before="40" w:after="40"/>
            </w:pPr>
            <w:r>
              <w:t>12.0</w:t>
            </w:r>
          </w:p>
        </w:tc>
      </w:tr>
      <w:tr>
        <w:tc>
          <w:tcPr>
            <w:tcW w:w="680" w:type="dxa"/>
          </w:tcPr>
          <w:p>
            <w:pPr>
              <w:pStyle w:val="yTable"/>
              <w:spacing w:before="40" w:after="40"/>
            </w:pPr>
            <w:r>
              <w:t>129.</w:t>
            </w:r>
          </w:p>
        </w:tc>
        <w:tc>
          <w:tcPr>
            <w:tcW w:w="5110" w:type="dxa"/>
            <w:gridSpan w:val="2"/>
          </w:tcPr>
          <w:p>
            <w:pPr>
              <w:pStyle w:val="yTable"/>
            </w:pPr>
            <w:r>
              <w:t>PSILOCIN</w:t>
            </w:r>
          </w:p>
        </w:tc>
        <w:tc>
          <w:tcPr>
            <w:tcW w:w="1200" w:type="dxa"/>
          </w:tcPr>
          <w:p>
            <w:pPr>
              <w:pStyle w:val="yTable"/>
              <w:tabs>
                <w:tab w:val="decimal" w:pos="439"/>
              </w:tabs>
              <w:spacing w:before="40" w:after="40"/>
            </w:pPr>
            <w:r>
              <w:t>0.3</w:t>
            </w:r>
          </w:p>
        </w:tc>
      </w:tr>
      <w:tr>
        <w:tc>
          <w:tcPr>
            <w:tcW w:w="680" w:type="dxa"/>
          </w:tcPr>
          <w:p>
            <w:pPr>
              <w:pStyle w:val="yTable"/>
              <w:spacing w:before="40" w:after="40"/>
            </w:pPr>
            <w:r>
              <w:t>130.</w:t>
            </w:r>
          </w:p>
        </w:tc>
        <w:tc>
          <w:tcPr>
            <w:tcW w:w="5110" w:type="dxa"/>
            <w:gridSpan w:val="2"/>
          </w:tcPr>
          <w:p>
            <w:pPr>
              <w:pStyle w:val="yTable"/>
            </w:pPr>
            <w:r>
              <w:t>PSILOCYBIN</w:t>
            </w:r>
          </w:p>
        </w:tc>
        <w:tc>
          <w:tcPr>
            <w:tcW w:w="1200" w:type="dxa"/>
          </w:tcPr>
          <w:p>
            <w:pPr>
              <w:pStyle w:val="yTable"/>
              <w:tabs>
                <w:tab w:val="decimal" w:pos="439"/>
              </w:tabs>
              <w:spacing w:before="40" w:after="40"/>
            </w:pPr>
            <w:r>
              <w:t>0.3</w:t>
            </w:r>
          </w:p>
        </w:tc>
      </w:tr>
      <w:tr>
        <w:tc>
          <w:tcPr>
            <w:tcW w:w="680" w:type="dxa"/>
          </w:tcPr>
          <w:p>
            <w:pPr>
              <w:pStyle w:val="yTable"/>
              <w:spacing w:before="40" w:after="40"/>
            </w:pPr>
            <w:r>
              <w:t>131.</w:t>
            </w:r>
          </w:p>
        </w:tc>
        <w:tc>
          <w:tcPr>
            <w:tcW w:w="5110" w:type="dxa"/>
            <w:gridSpan w:val="2"/>
          </w:tcPr>
          <w:p>
            <w:pPr>
              <w:pStyle w:val="yTable"/>
              <w:ind w:left="548" w:hanging="548"/>
            </w:pPr>
            <w:r>
              <w:t>PSYCHOTOMIMETIC SUBSTANCES (structurally derived from methoxyphenethylamine)</w:t>
            </w:r>
          </w:p>
        </w:tc>
        <w:tc>
          <w:tcPr>
            <w:tcW w:w="1200" w:type="dxa"/>
          </w:tcPr>
          <w:p>
            <w:pPr>
              <w:pStyle w:val="yTable"/>
              <w:tabs>
                <w:tab w:val="decimal" w:pos="439"/>
              </w:tabs>
              <w:spacing w:before="40" w:after="40"/>
            </w:pPr>
            <w:r>
              <w:t>0.25</w:t>
            </w:r>
          </w:p>
        </w:tc>
      </w:tr>
      <w:tr>
        <w:tc>
          <w:tcPr>
            <w:tcW w:w="680" w:type="dxa"/>
          </w:tcPr>
          <w:p>
            <w:pPr>
              <w:pStyle w:val="yTable"/>
              <w:spacing w:before="40" w:after="40"/>
            </w:pPr>
            <w:r>
              <w:t>132.</w:t>
            </w:r>
          </w:p>
        </w:tc>
        <w:tc>
          <w:tcPr>
            <w:tcW w:w="5110" w:type="dxa"/>
            <w:gridSpan w:val="2"/>
          </w:tcPr>
          <w:p>
            <w:pPr>
              <w:pStyle w:val="yTable"/>
            </w:pPr>
            <w:r>
              <w:t>QUINALBARBITONE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133.</w:t>
            </w:r>
          </w:p>
        </w:tc>
        <w:tc>
          <w:tcPr>
            <w:tcW w:w="5110" w:type="dxa"/>
            <w:gridSpan w:val="2"/>
          </w:tcPr>
          <w:p>
            <w:pPr>
              <w:pStyle w:val="yTable"/>
            </w:pPr>
            <w:r>
              <w:t>RACEMETHORPHAN</w:t>
            </w:r>
          </w:p>
        </w:tc>
        <w:tc>
          <w:tcPr>
            <w:tcW w:w="1200" w:type="dxa"/>
          </w:tcPr>
          <w:p>
            <w:pPr>
              <w:pStyle w:val="yTable"/>
              <w:tabs>
                <w:tab w:val="decimal" w:pos="439"/>
              </w:tabs>
              <w:spacing w:before="40" w:after="40"/>
            </w:pPr>
            <w:r>
              <w:t>6.0</w:t>
            </w:r>
          </w:p>
        </w:tc>
      </w:tr>
      <w:tr>
        <w:tc>
          <w:tcPr>
            <w:tcW w:w="680" w:type="dxa"/>
          </w:tcPr>
          <w:p>
            <w:pPr>
              <w:pStyle w:val="yTable"/>
              <w:spacing w:before="40" w:after="40"/>
            </w:pPr>
            <w:r>
              <w:t>134.</w:t>
            </w:r>
          </w:p>
        </w:tc>
        <w:tc>
          <w:tcPr>
            <w:tcW w:w="5110" w:type="dxa"/>
            <w:gridSpan w:val="2"/>
          </w:tcPr>
          <w:p>
            <w:pPr>
              <w:pStyle w:val="yTable"/>
            </w:pPr>
            <w:r>
              <w:t>RACEMORAMIDE</w:t>
            </w:r>
          </w:p>
        </w:tc>
        <w:tc>
          <w:tcPr>
            <w:tcW w:w="1200" w:type="dxa"/>
          </w:tcPr>
          <w:p>
            <w:pPr>
              <w:pStyle w:val="yTable"/>
              <w:tabs>
                <w:tab w:val="decimal" w:pos="439"/>
              </w:tabs>
              <w:spacing w:before="40" w:after="40"/>
            </w:pPr>
            <w:r>
              <w:t>3.0</w:t>
            </w:r>
          </w:p>
        </w:tc>
      </w:tr>
      <w:tr>
        <w:tc>
          <w:tcPr>
            <w:tcW w:w="680" w:type="dxa"/>
          </w:tcPr>
          <w:p>
            <w:pPr>
              <w:pStyle w:val="yTable"/>
              <w:spacing w:before="40" w:after="40"/>
            </w:pPr>
            <w:r>
              <w:t>135.</w:t>
            </w:r>
          </w:p>
        </w:tc>
        <w:tc>
          <w:tcPr>
            <w:tcW w:w="5110" w:type="dxa"/>
            <w:gridSpan w:val="2"/>
          </w:tcPr>
          <w:p>
            <w:pPr>
              <w:pStyle w:val="yTable"/>
            </w:pPr>
            <w:r>
              <w:t>RACEMORPHAN</w:t>
            </w:r>
          </w:p>
        </w:tc>
        <w:tc>
          <w:tcPr>
            <w:tcW w:w="1200" w:type="dxa"/>
          </w:tcPr>
          <w:p>
            <w:pPr>
              <w:pStyle w:val="yTable"/>
              <w:tabs>
                <w:tab w:val="decimal" w:pos="439"/>
              </w:tabs>
              <w:spacing w:before="40" w:after="40"/>
            </w:pPr>
            <w:r>
              <w:t>6.0</w:t>
            </w:r>
          </w:p>
        </w:tc>
      </w:tr>
      <w:tr>
        <w:tc>
          <w:tcPr>
            <w:tcW w:w="680" w:type="dxa"/>
          </w:tcPr>
          <w:p>
            <w:pPr>
              <w:pStyle w:val="yTable"/>
              <w:spacing w:before="40" w:after="40"/>
            </w:pPr>
            <w:r>
              <w:t>136.</w:t>
            </w:r>
          </w:p>
        </w:tc>
        <w:tc>
          <w:tcPr>
            <w:tcW w:w="5110" w:type="dxa"/>
            <w:gridSpan w:val="2"/>
          </w:tcPr>
          <w:p>
            <w:pPr>
              <w:pStyle w:val="yTable"/>
            </w:pPr>
            <w:r>
              <w:t>SECBUTOBARBITONE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137.</w:t>
            </w:r>
          </w:p>
        </w:tc>
        <w:tc>
          <w:tcPr>
            <w:tcW w:w="5110" w:type="dxa"/>
            <w:gridSpan w:val="2"/>
          </w:tcPr>
          <w:p>
            <w:pPr>
              <w:pStyle w:val="yTable"/>
            </w:pPr>
            <w:r>
              <w:t>TALBUTAL</w:t>
            </w:r>
          </w:p>
        </w:tc>
        <w:tc>
          <w:tcPr>
            <w:tcW w:w="1200" w:type="dxa"/>
          </w:tcPr>
          <w:p>
            <w:pPr>
              <w:pStyle w:val="yTable"/>
              <w:tabs>
                <w:tab w:val="decimal" w:pos="439"/>
              </w:tabs>
              <w:spacing w:before="40" w:after="40"/>
            </w:pPr>
            <w:r>
              <w:t>30.0</w:t>
            </w:r>
          </w:p>
        </w:tc>
      </w:tr>
      <w:tr>
        <w:tc>
          <w:tcPr>
            <w:tcW w:w="680" w:type="dxa"/>
          </w:tcPr>
          <w:p>
            <w:pPr>
              <w:pStyle w:val="yTable"/>
              <w:spacing w:before="40" w:after="40"/>
            </w:pPr>
            <w:r>
              <w:t>138.</w:t>
            </w:r>
          </w:p>
        </w:tc>
        <w:tc>
          <w:tcPr>
            <w:tcW w:w="5110" w:type="dxa"/>
            <w:gridSpan w:val="2"/>
          </w:tcPr>
          <w:p>
            <w:pPr>
              <w:pStyle w:val="yTable"/>
            </w:pPr>
            <w:r>
              <w:t>TETRAHYDROCANNABINOLS</w:t>
            </w:r>
          </w:p>
        </w:tc>
        <w:tc>
          <w:tcPr>
            <w:tcW w:w="1200" w:type="dxa"/>
          </w:tcPr>
          <w:p>
            <w:pPr>
              <w:pStyle w:val="yTable"/>
              <w:tabs>
                <w:tab w:val="decimal" w:pos="439"/>
              </w:tabs>
              <w:spacing w:before="40" w:after="40"/>
            </w:pPr>
            <w:r>
              <w:t>4.0</w:t>
            </w:r>
          </w:p>
        </w:tc>
      </w:tr>
      <w:tr>
        <w:tc>
          <w:tcPr>
            <w:tcW w:w="680" w:type="dxa"/>
          </w:tcPr>
          <w:p>
            <w:pPr>
              <w:pStyle w:val="yTable"/>
              <w:spacing w:before="40" w:after="40"/>
            </w:pPr>
            <w:r>
              <w:t>139.</w:t>
            </w:r>
          </w:p>
        </w:tc>
        <w:tc>
          <w:tcPr>
            <w:tcW w:w="5110" w:type="dxa"/>
            <w:gridSpan w:val="2"/>
          </w:tcPr>
          <w:p>
            <w:pPr>
              <w:pStyle w:val="yTable"/>
            </w:pPr>
            <w:r>
              <w:t>THEBACON</w:t>
            </w:r>
          </w:p>
        </w:tc>
        <w:tc>
          <w:tcPr>
            <w:tcW w:w="1200" w:type="dxa"/>
          </w:tcPr>
          <w:p>
            <w:pPr>
              <w:pStyle w:val="yTable"/>
              <w:tabs>
                <w:tab w:val="decimal" w:pos="439"/>
              </w:tabs>
              <w:spacing w:before="40" w:after="40"/>
            </w:pPr>
            <w:r>
              <w:t>6.0</w:t>
            </w:r>
          </w:p>
        </w:tc>
      </w:tr>
      <w:tr>
        <w:tc>
          <w:tcPr>
            <w:tcW w:w="680" w:type="dxa"/>
          </w:tcPr>
          <w:p>
            <w:pPr>
              <w:pStyle w:val="yTable"/>
              <w:spacing w:before="40" w:after="40"/>
            </w:pPr>
            <w:r>
              <w:t>140.</w:t>
            </w:r>
          </w:p>
        </w:tc>
        <w:tc>
          <w:tcPr>
            <w:tcW w:w="5110" w:type="dxa"/>
            <w:gridSpan w:val="2"/>
          </w:tcPr>
          <w:p>
            <w:pPr>
              <w:pStyle w:val="yTable"/>
            </w:pPr>
            <w:r>
              <w:t>THEBAINE</w:t>
            </w:r>
          </w:p>
        </w:tc>
        <w:tc>
          <w:tcPr>
            <w:tcW w:w="1200" w:type="dxa"/>
          </w:tcPr>
          <w:p>
            <w:pPr>
              <w:pStyle w:val="yTable"/>
              <w:tabs>
                <w:tab w:val="decimal" w:pos="439"/>
              </w:tabs>
              <w:spacing w:before="40" w:after="40"/>
            </w:pPr>
            <w:r>
              <w:t>6.0</w:t>
            </w:r>
          </w:p>
        </w:tc>
      </w:tr>
      <w:tr>
        <w:tc>
          <w:tcPr>
            <w:tcW w:w="680" w:type="dxa"/>
          </w:tcPr>
          <w:p>
            <w:pPr>
              <w:pStyle w:val="yTable"/>
              <w:spacing w:before="40" w:after="40"/>
            </w:pPr>
            <w:r>
              <w:t>141.</w:t>
            </w:r>
          </w:p>
        </w:tc>
        <w:tc>
          <w:tcPr>
            <w:tcW w:w="5110" w:type="dxa"/>
            <w:gridSpan w:val="2"/>
          </w:tcPr>
          <w:p>
            <w:pPr>
              <w:pStyle w:val="yTable"/>
            </w:pPr>
            <w:r>
              <w:t>TRIMEPERIDINE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142.</w:t>
            </w:r>
          </w:p>
        </w:tc>
        <w:tc>
          <w:tcPr>
            <w:tcW w:w="5110" w:type="dxa"/>
            <w:gridSpan w:val="2"/>
          </w:tcPr>
          <w:p>
            <w:pPr>
              <w:pStyle w:val="yTable"/>
            </w:pPr>
            <w:r>
              <w:t>VINBARBITONE</w:t>
            </w:r>
          </w:p>
        </w:tc>
        <w:tc>
          <w:tcPr>
            <w:tcW w:w="1200" w:type="dxa"/>
          </w:tcPr>
          <w:p>
            <w:pPr>
              <w:pStyle w:val="yTable"/>
              <w:tabs>
                <w:tab w:val="decimal" w:pos="439"/>
              </w:tabs>
              <w:spacing w:before="40" w:after="40"/>
            </w:pPr>
            <w:r>
              <w:t>30.0</w:t>
            </w:r>
          </w:p>
        </w:tc>
      </w:tr>
    </w:tbl>
    <w:p>
      <w:pPr>
        <w:pStyle w:val="yFootnotesection"/>
      </w:pPr>
      <w:r>
        <w:tab/>
        <w:t>[Schedule III amended by No. 48 of 1995 s. 43; amended in Gazette 30 Nov 1990 p. 5937; 29 Nov 1991 p. 6041; 7 Dec 2007 p. 5985.]</w:t>
      </w:r>
    </w:p>
    <w:p>
      <w:pPr>
        <w:pStyle w:val="yScheduleHeading"/>
      </w:pPr>
      <w:bookmarkStart w:id="620" w:name="_Toc535053912"/>
      <w:bookmarkStart w:id="621" w:name="_Toc109615286"/>
      <w:bookmarkStart w:id="622" w:name="_Toc139344580"/>
      <w:bookmarkStart w:id="623" w:name="_Toc139699344"/>
      <w:bookmarkStart w:id="624" w:name="_Toc147051377"/>
      <w:bookmarkStart w:id="625" w:name="_Toc147118832"/>
      <w:bookmarkStart w:id="626" w:name="_Toc148236153"/>
      <w:bookmarkStart w:id="627" w:name="_Toc158705027"/>
      <w:bookmarkStart w:id="628" w:name="_Toc165369990"/>
      <w:bookmarkStart w:id="629" w:name="_Toc177873332"/>
      <w:bookmarkStart w:id="630" w:name="_Toc177873457"/>
      <w:bookmarkStart w:id="631" w:name="_Toc184707414"/>
      <w:bookmarkStart w:id="632" w:name="_Toc189464745"/>
      <w:bookmarkStart w:id="633" w:name="_Toc190249309"/>
      <w:bookmarkStart w:id="634" w:name="_Toc191703203"/>
      <w:bookmarkStart w:id="635" w:name="_Toc193692120"/>
      <w:bookmarkStart w:id="636" w:name="_Toc199817302"/>
      <w:bookmarkStart w:id="637" w:name="_Toc215543775"/>
      <w:bookmarkStart w:id="638" w:name="_Toc215544035"/>
      <w:bookmarkStart w:id="639" w:name="_Toc248029072"/>
      <w:bookmarkStart w:id="640" w:name="_Toc256085121"/>
      <w:bookmarkStart w:id="641" w:name="_Toc256092186"/>
      <w:bookmarkStart w:id="642" w:name="_Toc268600369"/>
      <w:bookmarkStart w:id="643" w:name="_Toc272237498"/>
      <w:bookmarkStart w:id="644" w:name="_Toc275253577"/>
      <w:bookmarkStart w:id="645" w:name="_Toc283287502"/>
      <w:bookmarkStart w:id="646" w:name="_Toc290558488"/>
      <w:bookmarkStart w:id="647" w:name="_Toc290558564"/>
      <w:r>
        <w:rPr>
          <w:rStyle w:val="CharSchNo"/>
        </w:rPr>
        <w:t>Schedule IV</w:t>
      </w:r>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r>
        <w:rPr>
          <w:rStyle w:val="CharSDivNo"/>
        </w:rPr>
        <w:t> </w:t>
      </w:r>
      <w:r>
        <w:t>—</w:t>
      </w:r>
      <w:r>
        <w:rPr>
          <w:rStyle w:val="CharSDivText"/>
        </w:rPr>
        <w:t> </w:t>
      </w:r>
      <w:r>
        <w:rPr>
          <w:rStyle w:val="CharSchText"/>
        </w:rPr>
        <w:t>Numbers of prohibited plants determining court of trial</w:t>
      </w:r>
      <w:bookmarkEnd w:id="642"/>
      <w:bookmarkEnd w:id="643"/>
      <w:bookmarkEnd w:id="644"/>
      <w:bookmarkEnd w:id="645"/>
      <w:bookmarkEnd w:id="646"/>
      <w:bookmarkEnd w:id="647"/>
    </w:p>
    <w:p>
      <w:pPr>
        <w:pStyle w:val="yShoulderClause"/>
        <w:rPr>
          <w:snapToGrid w:val="0"/>
        </w:rPr>
      </w:pPr>
      <w:r>
        <w:rPr>
          <w:snapToGrid w:val="0"/>
        </w:rPr>
        <w:t>[s. 9]</w:t>
      </w:r>
    </w:p>
    <w:p>
      <w:pPr>
        <w:pStyle w:val="yFootnoteheading"/>
        <w:rPr>
          <w:bCs/>
        </w:rPr>
      </w:pPr>
      <w:r>
        <w:tab/>
        <w:t>[Heading amended by No. 19 of 2010 s. 4.]</w:t>
      </w:r>
    </w:p>
    <w:tbl>
      <w:tblPr>
        <w:tblW w:w="7200" w:type="dxa"/>
        <w:tblInd w:w="232" w:type="dxa"/>
        <w:tblLayout w:type="fixed"/>
        <w:tblCellMar>
          <w:left w:w="142" w:type="dxa"/>
          <w:right w:w="142" w:type="dxa"/>
        </w:tblCellMar>
        <w:tblLook w:val="0000" w:firstRow="0" w:lastRow="0" w:firstColumn="0" w:lastColumn="0" w:noHBand="0" w:noVBand="0"/>
      </w:tblPr>
      <w:tblGrid>
        <w:gridCol w:w="1469"/>
        <w:gridCol w:w="4381"/>
        <w:gridCol w:w="1350"/>
      </w:tblGrid>
      <w:tr>
        <w:tc>
          <w:tcPr>
            <w:tcW w:w="1469" w:type="dxa"/>
          </w:tcPr>
          <w:p>
            <w:pPr>
              <w:pStyle w:val="yTableNAm"/>
              <w:jc w:val="center"/>
              <w:rPr>
                <w:i/>
                <w:iCs/>
              </w:rPr>
            </w:pPr>
            <w:r>
              <w:rPr>
                <w:i/>
                <w:iCs/>
              </w:rPr>
              <w:t>Item</w:t>
            </w:r>
          </w:p>
        </w:tc>
        <w:tc>
          <w:tcPr>
            <w:tcW w:w="4381"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1469" w:type="dxa"/>
          </w:tcPr>
          <w:p>
            <w:pPr>
              <w:pStyle w:val="yTableNAm"/>
              <w:jc w:val="center"/>
            </w:pPr>
            <w:r>
              <w:t>1.</w:t>
            </w:r>
          </w:p>
        </w:tc>
        <w:tc>
          <w:tcPr>
            <w:tcW w:w="4381" w:type="dxa"/>
          </w:tcPr>
          <w:p>
            <w:pPr>
              <w:pStyle w:val="yTableNAm"/>
            </w:pPr>
            <w:r>
              <w:t>Papaver somniferum</w:t>
            </w:r>
          </w:p>
        </w:tc>
        <w:tc>
          <w:tcPr>
            <w:tcW w:w="1350" w:type="dxa"/>
          </w:tcPr>
          <w:p>
            <w:pPr>
              <w:pStyle w:val="yTableNAm"/>
              <w:jc w:val="center"/>
            </w:pPr>
            <w:r>
              <w:t>100</w:t>
            </w:r>
          </w:p>
        </w:tc>
      </w:tr>
      <w:tr>
        <w:tc>
          <w:tcPr>
            <w:tcW w:w="1469" w:type="dxa"/>
          </w:tcPr>
          <w:p>
            <w:pPr>
              <w:pStyle w:val="yTableNAm"/>
              <w:jc w:val="center"/>
            </w:pPr>
            <w:r>
              <w:t>2.</w:t>
            </w:r>
          </w:p>
        </w:tc>
        <w:tc>
          <w:tcPr>
            <w:tcW w:w="4381" w:type="dxa"/>
          </w:tcPr>
          <w:p>
            <w:pPr>
              <w:pStyle w:val="yTableNAm"/>
            </w:pPr>
            <w:r>
              <w:t>Papaver bracteatum</w:t>
            </w:r>
          </w:p>
        </w:tc>
        <w:tc>
          <w:tcPr>
            <w:tcW w:w="1350" w:type="dxa"/>
          </w:tcPr>
          <w:p>
            <w:pPr>
              <w:pStyle w:val="yTableNAm"/>
              <w:jc w:val="center"/>
            </w:pPr>
            <w:r>
              <w:t>100</w:t>
            </w:r>
          </w:p>
        </w:tc>
      </w:tr>
      <w:tr>
        <w:tc>
          <w:tcPr>
            <w:tcW w:w="1469" w:type="dxa"/>
          </w:tcPr>
          <w:p>
            <w:pPr>
              <w:pStyle w:val="yTableNAm"/>
              <w:jc w:val="center"/>
            </w:pPr>
            <w:r>
              <w:t>3.</w:t>
            </w:r>
          </w:p>
        </w:tc>
        <w:tc>
          <w:tcPr>
            <w:tcW w:w="4381" w:type="dxa"/>
          </w:tcPr>
          <w:p>
            <w:pPr>
              <w:pStyle w:val="yTableNAm"/>
            </w:pPr>
            <w:r>
              <w:t>Cannabis</w:t>
            </w:r>
          </w:p>
        </w:tc>
        <w:tc>
          <w:tcPr>
            <w:tcW w:w="1350" w:type="dxa"/>
          </w:tcPr>
          <w:p>
            <w:pPr>
              <w:pStyle w:val="yTableNAm"/>
              <w:jc w:val="center"/>
            </w:pPr>
            <w:r>
              <w:t>20</w:t>
            </w:r>
          </w:p>
        </w:tc>
      </w:tr>
    </w:tbl>
    <w:p>
      <w:pPr>
        <w:pStyle w:val="yFootnotesection"/>
      </w:pPr>
      <w:bookmarkStart w:id="648" w:name="_Toc535053913"/>
      <w:bookmarkStart w:id="649" w:name="_Toc109615287"/>
      <w:bookmarkStart w:id="650" w:name="_Toc139344581"/>
      <w:bookmarkStart w:id="651" w:name="_Toc139699345"/>
      <w:bookmarkStart w:id="652" w:name="_Toc147051378"/>
      <w:bookmarkStart w:id="653" w:name="_Toc147118833"/>
      <w:bookmarkStart w:id="654" w:name="_Toc148236154"/>
      <w:bookmarkStart w:id="655" w:name="_Toc158705028"/>
      <w:bookmarkStart w:id="656" w:name="_Toc165369991"/>
      <w:bookmarkStart w:id="657" w:name="_Toc177873333"/>
      <w:bookmarkStart w:id="658" w:name="_Toc177873459"/>
      <w:bookmarkStart w:id="659" w:name="_Toc184707416"/>
      <w:bookmarkStart w:id="660" w:name="_Toc189464747"/>
      <w:bookmarkStart w:id="661" w:name="_Toc190249311"/>
      <w:bookmarkStart w:id="662" w:name="_Toc191703205"/>
      <w:bookmarkStart w:id="663" w:name="_Toc193692122"/>
      <w:bookmarkStart w:id="664" w:name="_Toc199817304"/>
      <w:bookmarkStart w:id="665" w:name="_Toc215543777"/>
      <w:bookmarkStart w:id="666" w:name="_Toc215544037"/>
      <w:bookmarkStart w:id="667" w:name="_Toc248029074"/>
      <w:bookmarkStart w:id="668" w:name="_Toc256085123"/>
      <w:bookmarkStart w:id="669" w:name="_Toc256092188"/>
      <w:bookmarkStart w:id="670" w:name="_Toc268600370"/>
      <w:bookmarkStart w:id="671" w:name="_Toc272237499"/>
      <w:bookmarkStart w:id="672" w:name="_Toc275253578"/>
      <w:bookmarkStart w:id="673" w:name="_Toc283287503"/>
      <w:r>
        <w:tab/>
        <w:t>[Schedule IV amended in Gazette 15 Apr 2011 p. 1426.]</w:t>
      </w:r>
    </w:p>
    <w:p>
      <w:pPr>
        <w:pStyle w:val="yScheduleHeading"/>
      </w:pPr>
      <w:bookmarkStart w:id="674" w:name="_Toc290558489"/>
      <w:bookmarkStart w:id="675" w:name="_Toc290558565"/>
      <w:r>
        <w:rPr>
          <w:rStyle w:val="CharSchNo"/>
        </w:rPr>
        <w:t>Schedule V</w:t>
      </w:r>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r>
        <w:rPr>
          <w:rStyle w:val="CharSDivNo"/>
        </w:rPr>
        <w:t> </w:t>
      </w:r>
      <w:r>
        <w:t>—</w:t>
      </w:r>
      <w:r>
        <w:rPr>
          <w:rStyle w:val="CharSDivText"/>
        </w:rPr>
        <w:t> </w:t>
      </w:r>
      <w:r>
        <w:rPr>
          <w:rStyle w:val="CharSchText"/>
        </w:rPr>
        <w:t>Amounts of prohibited drugs giving rise to presumption of intention to sell or supply same</w:t>
      </w:r>
      <w:bookmarkEnd w:id="670"/>
      <w:bookmarkEnd w:id="671"/>
      <w:bookmarkEnd w:id="672"/>
      <w:bookmarkEnd w:id="673"/>
      <w:bookmarkEnd w:id="674"/>
      <w:bookmarkEnd w:id="675"/>
    </w:p>
    <w:p>
      <w:pPr>
        <w:pStyle w:val="yShoulderClause"/>
        <w:rPr>
          <w:snapToGrid w:val="0"/>
        </w:rPr>
      </w:pPr>
      <w:r>
        <w:rPr>
          <w:snapToGrid w:val="0"/>
        </w:rPr>
        <w:t>[s. 11(a)]</w:t>
      </w:r>
    </w:p>
    <w:p>
      <w:pPr>
        <w:pStyle w:val="yFootnoteheading"/>
      </w:pPr>
      <w:r>
        <w:tab/>
        <w:t>[Heading amended by No. 19 of 2010 s. 4.]</w:t>
      </w: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219"/>
      </w:tblGrid>
      <w:tr>
        <w:trPr>
          <w:tblHeader/>
        </w:trPr>
        <w:tc>
          <w:tcPr>
            <w:tcW w:w="737" w:type="dxa"/>
          </w:tcPr>
          <w:p>
            <w:pPr>
              <w:spacing w:before="40" w:after="40"/>
              <w:rPr>
                <w:i/>
                <w:sz w:val="22"/>
              </w:rPr>
            </w:pPr>
            <w:r>
              <w:rPr>
                <w:i/>
                <w:sz w:val="22"/>
              </w:rPr>
              <w:t>Item</w:t>
            </w:r>
          </w:p>
        </w:tc>
        <w:tc>
          <w:tcPr>
            <w:tcW w:w="5173" w:type="dxa"/>
          </w:tcPr>
          <w:p>
            <w:pPr>
              <w:pStyle w:val="yTable"/>
              <w:jc w:val="center"/>
              <w:rPr>
                <w:i/>
              </w:rPr>
            </w:pPr>
            <w:r>
              <w:rPr>
                <w:i/>
              </w:rPr>
              <w:t>Prohibited drug</w:t>
            </w:r>
          </w:p>
        </w:tc>
        <w:tc>
          <w:tcPr>
            <w:tcW w:w="1219" w:type="dxa"/>
          </w:tcPr>
          <w:p>
            <w:pPr>
              <w:spacing w:before="40" w:after="40"/>
              <w:jc w:val="center"/>
              <w:rPr>
                <w:i/>
                <w:sz w:val="22"/>
              </w:rPr>
            </w:pPr>
            <w:r>
              <w:rPr>
                <w:i/>
                <w:sz w:val="22"/>
              </w:rPr>
              <w:t>Amount</w:t>
            </w:r>
            <w:r>
              <w:rPr>
                <w:i/>
                <w:sz w:val="22"/>
              </w:rPr>
              <w:br/>
            </w:r>
            <w:r>
              <w:rPr>
                <w:sz w:val="22"/>
              </w:rPr>
              <w:t>(in grams</w:t>
            </w:r>
            <w:r>
              <w:rPr>
                <w:sz w:val="22"/>
              </w:rPr>
              <w:br/>
              <w:t>unless</w:t>
            </w:r>
            <w:r>
              <w:rPr>
                <w:sz w:val="22"/>
              </w:rPr>
              <w:br/>
              <w:t>otherwise</w:t>
            </w:r>
            <w:r>
              <w:rPr>
                <w:sz w:val="22"/>
              </w:rPr>
              <w:br/>
              <w:t>stated)</w:t>
            </w:r>
          </w:p>
        </w:tc>
      </w:tr>
      <w:tr>
        <w:tc>
          <w:tcPr>
            <w:tcW w:w="737" w:type="dxa"/>
          </w:tcPr>
          <w:p>
            <w:pPr>
              <w:spacing w:before="40" w:after="40"/>
              <w:rPr>
                <w:sz w:val="22"/>
              </w:rPr>
            </w:pPr>
            <w:r>
              <w:rPr>
                <w:sz w:val="22"/>
              </w:rPr>
              <w:t>1.</w:t>
            </w:r>
          </w:p>
        </w:tc>
        <w:tc>
          <w:tcPr>
            <w:tcW w:w="5173" w:type="dxa"/>
          </w:tcPr>
          <w:p>
            <w:pPr>
              <w:pStyle w:val="yTable"/>
            </w:pPr>
            <w:r>
              <w:t>ACETORPHINE</w:t>
            </w:r>
          </w:p>
        </w:tc>
        <w:tc>
          <w:tcPr>
            <w:tcW w:w="1219"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2.</w:t>
            </w:r>
          </w:p>
        </w:tc>
        <w:tc>
          <w:tcPr>
            <w:tcW w:w="5173" w:type="dxa"/>
          </w:tcPr>
          <w:p>
            <w:pPr>
              <w:pStyle w:val="yTable"/>
              <w:ind w:left="548" w:hanging="548"/>
            </w:pPr>
            <w:r>
              <w:t>ACETYLDIHYDROCODEINE (except when included in Schedule 2 or 4 in Appendix A to the </w:t>
            </w:r>
            <w:r>
              <w:rPr>
                <w:i/>
                <w:iCs/>
              </w:rPr>
              <w:t>Poisons Act 1964</w:t>
            </w:r>
            <w:r>
              <w:t>)</w:t>
            </w:r>
          </w:p>
        </w:tc>
        <w:tc>
          <w:tcPr>
            <w:tcW w:w="1219"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w:t>
            </w:r>
          </w:p>
        </w:tc>
        <w:tc>
          <w:tcPr>
            <w:tcW w:w="5173" w:type="dxa"/>
          </w:tcPr>
          <w:p>
            <w:pPr>
              <w:pStyle w:val="yTable"/>
            </w:pPr>
            <w:r>
              <w:t>ACETYLMETHADOL</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4.</w:t>
            </w:r>
          </w:p>
        </w:tc>
        <w:tc>
          <w:tcPr>
            <w:tcW w:w="5173" w:type="dxa"/>
          </w:tcPr>
          <w:p>
            <w:pPr>
              <w:pStyle w:val="yTable"/>
            </w:pPr>
            <w:r>
              <w:t>ALLOBARBITONE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5.</w:t>
            </w:r>
          </w:p>
        </w:tc>
        <w:tc>
          <w:tcPr>
            <w:tcW w:w="5173" w:type="dxa"/>
          </w:tcPr>
          <w:p>
            <w:pPr>
              <w:pStyle w:val="yTable"/>
            </w:pPr>
            <w:r>
              <w:t>ALLYLBARBITURIC ACID</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6.</w:t>
            </w:r>
          </w:p>
        </w:tc>
        <w:tc>
          <w:tcPr>
            <w:tcW w:w="5173" w:type="dxa"/>
          </w:tcPr>
          <w:p>
            <w:pPr>
              <w:pStyle w:val="yTable"/>
            </w:pPr>
            <w:r>
              <w:t>ALLYLPRODINE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7.</w:t>
            </w:r>
          </w:p>
        </w:tc>
        <w:tc>
          <w:tcPr>
            <w:tcW w:w="5173" w:type="dxa"/>
          </w:tcPr>
          <w:p>
            <w:pPr>
              <w:pStyle w:val="yTable"/>
            </w:pPr>
            <w:r>
              <w:t>ALPHACETYLMETHADOL</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8.</w:t>
            </w:r>
          </w:p>
        </w:tc>
        <w:tc>
          <w:tcPr>
            <w:tcW w:w="5173" w:type="dxa"/>
          </w:tcPr>
          <w:p>
            <w:pPr>
              <w:pStyle w:val="yTable"/>
            </w:pPr>
            <w:r>
              <w:t>ALPHAMEPRODINE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9.</w:t>
            </w:r>
          </w:p>
        </w:tc>
        <w:tc>
          <w:tcPr>
            <w:tcW w:w="5173" w:type="dxa"/>
          </w:tcPr>
          <w:p>
            <w:pPr>
              <w:pStyle w:val="yTable"/>
            </w:pPr>
            <w:r>
              <w:t>ALPHAMETHADOL</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10.</w:t>
            </w:r>
          </w:p>
        </w:tc>
        <w:tc>
          <w:tcPr>
            <w:tcW w:w="5173" w:type="dxa"/>
          </w:tcPr>
          <w:p>
            <w:pPr>
              <w:pStyle w:val="yTable"/>
            </w:pPr>
            <w:r>
              <w:t>ALPHAPRODINE</w:t>
            </w:r>
          </w:p>
        </w:tc>
        <w:tc>
          <w:tcPr>
            <w:tcW w:w="1080" w:type="dxa"/>
          </w:tcPr>
          <w:p>
            <w:pPr>
              <w:tabs>
                <w:tab w:val="decimal" w:pos="439"/>
              </w:tabs>
              <w:spacing w:before="40" w:after="40"/>
              <w:rPr>
                <w:sz w:val="22"/>
              </w:rPr>
            </w:pPr>
            <w:r>
              <w:rPr>
                <w:sz w:val="22"/>
              </w:rPr>
              <w:t>25.0</w:t>
            </w:r>
          </w:p>
        </w:tc>
      </w:tr>
      <w:tr>
        <w:tc>
          <w:tcPr>
            <w:tcW w:w="737" w:type="dxa"/>
          </w:tcPr>
          <w:p>
            <w:pPr>
              <w:spacing w:before="40" w:after="40"/>
              <w:rPr>
                <w:sz w:val="22"/>
              </w:rPr>
            </w:pPr>
            <w:r>
              <w:rPr>
                <w:sz w:val="22"/>
              </w:rPr>
              <w:t>11.</w:t>
            </w:r>
          </w:p>
        </w:tc>
        <w:tc>
          <w:tcPr>
            <w:tcW w:w="5173" w:type="dxa"/>
          </w:tcPr>
          <w:p>
            <w:pPr>
              <w:pStyle w:val="yTable"/>
            </w:pPr>
            <w:r>
              <w:t>AMPHETAMINE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12.</w:t>
            </w:r>
          </w:p>
        </w:tc>
        <w:tc>
          <w:tcPr>
            <w:tcW w:w="5173" w:type="dxa"/>
          </w:tcPr>
          <w:p>
            <w:pPr>
              <w:pStyle w:val="yTable"/>
            </w:pPr>
            <w:r>
              <w:t>AMYLOBARBITONE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13.</w:t>
            </w:r>
          </w:p>
        </w:tc>
        <w:tc>
          <w:tcPr>
            <w:tcW w:w="5173" w:type="dxa"/>
          </w:tcPr>
          <w:p>
            <w:pPr>
              <w:pStyle w:val="yTable"/>
            </w:pPr>
            <w:r>
              <w:t>ANILERIDINE</w:t>
            </w:r>
          </w:p>
        </w:tc>
        <w:tc>
          <w:tcPr>
            <w:tcW w:w="1080" w:type="dxa"/>
          </w:tcPr>
          <w:p>
            <w:pPr>
              <w:tabs>
                <w:tab w:val="decimal" w:pos="439"/>
              </w:tabs>
              <w:spacing w:before="40" w:after="40"/>
              <w:rPr>
                <w:sz w:val="22"/>
              </w:rPr>
            </w:pPr>
            <w:r>
              <w:rPr>
                <w:sz w:val="22"/>
              </w:rPr>
              <w:t>25.0</w:t>
            </w:r>
          </w:p>
        </w:tc>
      </w:tr>
      <w:tr>
        <w:tc>
          <w:tcPr>
            <w:tcW w:w="737" w:type="dxa"/>
          </w:tcPr>
          <w:p>
            <w:pPr>
              <w:spacing w:before="40" w:after="40"/>
              <w:rPr>
                <w:sz w:val="22"/>
              </w:rPr>
            </w:pPr>
            <w:r>
              <w:rPr>
                <w:sz w:val="22"/>
              </w:rPr>
              <w:t>14.</w:t>
            </w:r>
          </w:p>
        </w:tc>
        <w:tc>
          <w:tcPr>
            <w:tcW w:w="5173" w:type="dxa"/>
          </w:tcPr>
          <w:p>
            <w:pPr>
              <w:pStyle w:val="yTable"/>
            </w:pPr>
            <w:r>
              <w:t>APROBARBITONE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15.</w:t>
            </w:r>
          </w:p>
        </w:tc>
        <w:tc>
          <w:tcPr>
            <w:tcW w:w="5173" w:type="dxa"/>
          </w:tcPr>
          <w:p>
            <w:pPr>
              <w:pStyle w:val="yTable"/>
            </w:pPr>
            <w:r>
              <w:t>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16.</w:t>
            </w:r>
          </w:p>
        </w:tc>
        <w:tc>
          <w:tcPr>
            <w:tcW w:w="5173" w:type="dxa"/>
          </w:tcPr>
          <w:p>
            <w:pPr>
              <w:pStyle w:val="yTable"/>
            </w:pPr>
            <w:r>
              <w:t>BENZETHIDINE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17.</w:t>
            </w:r>
          </w:p>
        </w:tc>
        <w:tc>
          <w:tcPr>
            <w:tcW w:w="5173" w:type="dxa"/>
          </w:tcPr>
          <w:p>
            <w:pPr>
              <w:pStyle w:val="yTable"/>
            </w:pPr>
            <w:r>
              <w:t>BENZYLMORPHINE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18.</w:t>
            </w:r>
          </w:p>
        </w:tc>
        <w:tc>
          <w:tcPr>
            <w:tcW w:w="5173" w:type="dxa"/>
          </w:tcPr>
          <w:p>
            <w:pPr>
              <w:pStyle w:val="yTable"/>
            </w:pPr>
            <w:r>
              <w:t>BETACETYLMETHADOL</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19.</w:t>
            </w:r>
          </w:p>
        </w:tc>
        <w:tc>
          <w:tcPr>
            <w:tcW w:w="5173" w:type="dxa"/>
          </w:tcPr>
          <w:p>
            <w:pPr>
              <w:pStyle w:val="yTable"/>
            </w:pPr>
            <w:r>
              <w:t>BETAMEPRODINE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20.</w:t>
            </w:r>
          </w:p>
        </w:tc>
        <w:tc>
          <w:tcPr>
            <w:tcW w:w="5173" w:type="dxa"/>
          </w:tcPr>
          <w:p>
            <w:pPr>
              <w:pStyle w:val="yTable"/>
            </w:pPr>
            <w:r>
              <w:t>BETAMETHADOL</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21.</w:t>
            </w:r>
          </w:p>
        </w:tc>
        <w:tc>
          <w:tcPr>
            <w:tcW w:w="5173" w:type="dxa"/>
          </w:tcPr>
          <w:p>
            <w:pPr>
              <w:pStyle w:val="yTable"/>
            </w:pPr>
            <w:r>
              <w:t>BETAPRODINE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22.</w:t>
            </w:r>
          </w:p>
        </w:tc>
        <w:tc>
          <w:tcPr>
            <w:tcW w:w="5173" w:type="dxa"/>
          </w:tcPr>
          <w:p>
            <w:pPr>
              <w:pStyle w:val="yTable"/>
            </w:pPr>
            <w:r>
              <w:t>BEZITRAMIDE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23.</w:t>
            </w:r>
          </w:p>
        </w:tc>
        <w:tc>
          <w:tcPr>
            <w:tcW w:w="5173" w:type="dxa"/>
          </w:tcPr>
          <w:p>
            <w:pPr>
              <w:pStyle w:val="yTable"/>
            </w:pPr>
            <w:r>
              <w:t>BUFOTENINE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24.</w:t>
            </w:r>
          </w:p>
        </w:tc>
        <w:tc>
          <w:tcPr>
            <w:tcW w:w="5173" w:type="dxa"/>
          </w:tcPr>
          <w:p>
            <w:pPr>
              <w:pStyle w:val="yTable"/>
            </w:pPr>
            <w:r>
              <w:t>BUTOBARBITONE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25.</w:t>
            </w:r>
          </w:p>
        </w:tc>
        <w:tc>
          <w:tcPr>
            <w:tcW w:w="5173" w:type="dxa"/>
          </w:tcPr>
          <w:p>
            <w:pPr>
              <w:pStyle w:val="yTable"/>
            </w:pPr>
            <w:r>
              <w:t>CANNABIS</w:t>
            </w:r>
          </w:p>
        </w:tc>
        <w:tc>
          <w:tcPr>
            <w:tcW w:w="1080" w:type="dxa"/>
          </w:tcPr>
          <w:p>
            <w:pPr>
              <w:tabs>
                <w:tab w:val="decimal" w:pos="439"/>
              </w:tabs>
              <w:spacing w:before="40" w:after="40"/>
              <w:rPr>
                <w:sz w:val="22"/>
              </w:rPr>
            </w:pPr>
            <w:r>
              <w:rPr>
                <w:sz w:val="22"/>
              </w:rPr>
              <w:t>100.0</w:t>
            </w:r>
          </w:p>
        </w:tc>
      </w:tr>
      <w:tr>
        <w:tc>
          <w:tcPr>
            <w:tcW w:w="737" w:type="dxa"/>
          </w:tcPr>
          <w:p>
            <w:pPr>
              <w:spacing w:before="40" w:after="40"/>
              <w:rPr>
                <w:sz w:val="22"/>
              </w:rPr>
            </w:pPr>
            <w:r>
              <w:rPr>
                <w:sz w:val="22"/>
              </w:rPr>
              <w:t>26.</w:t>
            </w:r>
          </w:p>
        </w:tc>
        <w:tc>
          <w:tcPr>
            <w:tcW w:w="5173" w:type="dxa"/>
          </w:tcPr>
          <w:p>
            <w:pPr>
              <w:pStyle w:val="yTable"/>
            </w:pPr>
            <w:r>
              <w:t>CANNABIS RESIN</w:t>
            </w:r>
          </w:p>
        </w:tc>
        <w:tc>
          <w:tcPr>
            <w:tcW w:w="1080" w:type="dxa"/>
          </w:tcPr>
          <w:p>
            <w:pPr>
              <w:tabs>
                <w:tab w:val="decimal" w:pos="439"/>
              </w:tabs>
              <w:spacing w:before="40" w:after="40"/>
              <w:rPr>
                <w:sz w:val="22"/>
              </w:rPr>
            </w:pPr>
            <w:r>
              <w:rPr>
                <w:sz w:val="22"/>
              </w:rPr>
              <w:t>20.0</w:t>
            </w:r>
          </w:p>
        </w:tc>
      </w:tr>
      <w:tr>
        <w:tc>
          <w:tcPr>
            <w:tcW w:w="737" w:type="dxa"/>
          </w:tcPr>
          <w:p>
            <w:pPr>
              <w:keepNext/>
              <w:spacing w:before="40" w:after="40"/>
              <w:rPr>
                <w:sz w:val="22"/>
              </w:rPr>
            </w:pPr>
            <w:r>
              <w:rPr>
                <w:sz w:val="22"/>
              </w:rPr>
              <w:t>27.</w:t>
            </w:r>
          </w:p>
        </w:tc>
        <w:tc>
          <w:tcPr>
            <w:tcW w:w="5173" w:type="dxa"/>
          </w:tcPr>
          <w:p>
            <w:pPr>
              <w:pStyle w:val="yTable"/>
            </w:pPr>
            <w:r>
              <w:t>CANNABIS (in cigarette form)</w:t>
            </w:r>
          </w:p>
        </w:tc>
        <w:tc>
          <w:tcPr>
            <w:tcW w:w="1080" w:type="dxa"/>
          </w:tcPr>
          <w:p>
            <w:pPr>
              <w:keepNext/>
              <w:spacing w:before="40" w:after="40"/>
              <w:jc w:val="center"/>
              <w:rPr>
                <w:sz w:val="22"/>
              </w:rPr>
            </w:pPr>
            <w:r>
              <w:rPr>
                <w:sz w:val="22"/>
              </w:rPr>
              <w:t>80 cigarettes</w:t>
            </w:r>
            <w:r>
              <w:rPr>
                <w:sz w:val="22"/>
              </w:rPr>
              <w:br/>
              <w:t>each containing</w:t>
            </w:r>
            <w:r>
              <w:rPr>
                <w:sz w:val="22"/>
              </w:rPr>
              <w:br/>
              <w:t>any portion of</w:t>
            </w:r>
            <w:r>
              <w:rPr>
                <w:sz w:val="22"/>
              </w:rPr>
              <w:br/>
              <w:t>cannabis</w:t>
            </w:r>
          </w:p>
        </w:tc>
      </w:tr>
      <w:tr>
        <w:tc>
          <w:tcPr>
            <w:tcW w:w="737" w:type="dxa"/>
          </w:tcPr>
          <w:p>
            <w:pPr>
              <w:spacing w:before="40" w:after="40"/>
              <w:rPr>
                <w:sz w:val="22"/>
              </w:rPr>
            </w:pPr>
            <w:r>
              <w:rPr>
                <w:sz w:val="22"/>
              </w:rPr>
              <w:t>28.</w:t>
            </w:r>
          </w:p>
        </w:tc>
        <w:tc>
          <w:tcPr>
            <w:tcW w:w="5173" w:type="dxa"/>
          </w:tcPr>
          <w:p>
            <w:pPr>
              <w:pStyle w:val="yTable"/>
            </w:pPr>
            <w:r>
              <w:t>CLONITAZENE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29.</w:t>
            </w:r>
          </w:p>
        </w:tc>
        <w:tc>
          <w:tcPr>
            <w:tcW w:w="5173" w:type="dxa"/>
          </w:tcPr>
          <w:p>
            <w:pPr>
              <w:pStyle w:val="yTable"/>
            </w:pPr>
            <w:r>
              <w:t>COCAINE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30.</w:t>
            </w:r>
          </w:p>
        </w:tc>
        <w:tc>
          <w:tcPr>
            <w:tcW w:w="5173" w:type="dxa"/>
          </w:tcPr>
          <w:p>
            <w:pPr>
              <w:pStyle w:val="yTable"/>
              <w:ind w:left="548" w:hanging="548"/>
            </w:pPr>
            <w:r>
              <w:t xml:space="preserve">CODEINE (except when included in Schedule 2, 3 or 4 in Appendix A to the </w:t>
            </w:r>
            <w:r>
              <w:rPr>
                <w:i/>
                <w:iCs/>
              </w:rPr>
              <w:t>Poisons Act 1964</w:t>
            </w:r>
            <w:r>
              <w:t>)</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31.</w:t>
            </w:r>
          </w:p>
        </w:tc>
        <w:tc>
          <w:tcPr>
            <w:tcW w:w="5173" w:type="dxa"/>
          </w:tcPr>
          <w:p>
            <w:pPr>
              <w:pStyle w:val="yTable"/>
            </w:pPr>
            <w:r>
              <w:t>CODEINE</w:t>
            </w:r>
            <w:r>
              <w:noBreakHyphen/>
              <w:t>N</w:t>
            </w:r>
            <w:r>
              <w:noBreakHyphen/>
              <w:t>OXIDE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32.</w:t>
            </w:r>
          </w:p>
        </w:tc>
        <w:tc>
          <w:tcPr>
            <w:tcW w:w="5173" w:type="dxa"/>
          </w:tcPr>
          <w:p>
            <w:pPr>
              <w:pStyle w:val="yTable"/>
            </w:pPr>
            <w:r>
              <w:t>CODOXINE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33.</w:t>
            </w:r>
          </w:p>
        </w:tc>
        <w:tc>
          <w:tcPr>
            <w:tcW w:w="5173" w:type="dxa"/>
          </w:tcPr>
          <w:p>
            <w:pPr>
              <w:pStyle w:val="yTable"/>
            </w:pPr>
            <w:r>
              <w:t>CYCLOBARBITONE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34.</w:t>
            </w:r>
          </w:p>
        </w:tc>
        <w:tc>
          <w:tcPr>
            <w:tcW w:w="5173" w:type="dxa"/>
          </w:tcPr>
          <w:p>
            <w:pPr>
              <w:pStyle w:val="yTable"/>
            </w:pPr>
            <w:r>
              <w:t>DESOMORPHINE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35.</w:t>
            </w:r>
          </w:p>
        </w:tc>
        <w:tc>
          <w:tcPr>
            <w:tcW w:w="5173" w:type="dxa"/>
          </w:tcPr>
          <w:p>
            <w:pPr>
              <w:pStyle w:val="yTable"/>
            </w:pPr>
            <w:r>
              <w:t>DEXAMPHETAMINE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36.</w:t>
            </w:r>
          </w:p>
        </w:tc>
        <w:tc>
          <w:tcPr>
            <w:tcW w:w="5173" w:type="dxa"/>
          </w:tcPr>
          <w:p>
            <w:pPr>
              <w:pStyle w:val="yTable"/>
            </w:pPr>
            <w:r>
              <w:t>DEXTROMORAMIDE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37.</w:t>
            </w:r>
          </w:p>
        </w:tc>
        <w:tc>
          <w:tcPr>
            <w:tcW w:w="5173" w:type="dxa"/>
          </w:tcPr>
          <w:p>
            <w:pPr>
              <w:pStyle w:val="yTable"/>
            </w:pPr>
            <w:r>
              <w:t>DIACETYLMORPHINE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38.</w:t>
            </w:r>
          </w:p>
        </w:tc>
        <w:tc>
          <w:tcPr>
            <w:tcW w:w="5173" w:type="dxa"/>
          </w:tcPr>
          <w:p>
            <w:pPr>
              <w:pStyle w:val="yTable"/>
            </w:pPr>
            <w:r>
              <w:t>DIAMPROMIDE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39.</w:t>
            </w:r>
          </w:p>
        </w:tc>
        <w:tc>
          <w:tcPr>
            <w:tcW w:w="5173" w:type="dxa"/>
          </w:tcPr>
          <w:p>
            <w:pPr>
              <w:pStyle w:val="yTable"/>
            </w:pPr>
            <w:r>
              <w:t>DIETHYLTHIAMBUTENE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40.</w:t>
            </w:r>
          </w:p>
        </w:tc>
        <w:tc>
          <w:tcPr>
            <w:tcW w:w="5173" w:type="dxa"/>
          </w:tcPr>
          <w:p>
            <w:pPr>
              <w:pStyle w:val="yTable"/>
              <w:ind w:left="548" w:hanging="548"/>
            </w:pPr>
            <w:r>
              <w:t>DIFENOXIN (excluding preparations containing, per dosage unit, not more than 0.5 mg of difenoxin and a quantity of atropine sulphate equivalent to at least 5% of the dose of difenoxin)</w:t>
            </w:r>
          </w:p>
        </w:tc>
        <w:tc>
          <w:tcPr>
            <w:tcW w:w="1080" w:type="dxa"/>
          </w:tcPr>
          <w:p>
            <w:pPr>
              <w:tabs>
                <w:tab w:val="decimal" w:pos="439"/>
              </w:tabs>
              <w:spacing w:before="40" w:after="40"/>
              <w:rPr>
                <w:sz w:val="22"/>
              </w:rPr>
            </w:pPr>
            <w:r>
              <w:rPr>
                <w:sz w:val="22"/>
              </w:rPr>
              <w:t>10.0</w:t>
            </w:r>
          </w:p>
        </w:tc>
      </w:tr>
      <w:tr>
        <w:trPr>
          <w:cantSplit/>
        </w:trPr>
        <w:tc>
          <w:tcPr>
            <w:tcW w:w="737" w:type="dxa"/>
          </w:tcPr>
          <w:p>
            <w:pPr>
              <w:spacing w:before="40" w:after="40"/>
              <w:rPr>
                <w:sz w:val="22"/>
              </w:rPr>
            </w:pPr>
            <w:r>
              <w:rPr>
                <w:sz w:val="22"/>
              </w:rPr>
              <w:t>41.</w:t>
            </w:r>
          </w:p>
        </w:tc>
        <w:tc>
          <w:tcPr>
            <w:tcW w:w="5173" w:type="dxa"/>
          </w:tcPr>
          <w:p>
            <w:pPr>
              <w:pStyle w:val="yTable"/>
              <w:ind w:left="548" w:hanging="548"/>
            </w:pPr>
            <w:r>
              <w:t xml:space="preserve">DIHYDROCODEINE (except when included in Schedule 2 or 4 in Appendix A to the </w:t>
            </w:r>
            <w:r>
              <w:rPr>
                <w:i/>
                <w:iCs/>
              </w:rPr>
              <w:t>Poisons Act 1964</w:t>
            </w:r>
            <w:r>
              <w:t>)</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42.</w:t>
            </w:r>
          </w:p>
        </w:tc>
        <w:tc>
          <w:tcPr>
            <w:tcW w:w="5173" w:type="dxa"/>
          </w:tcPr>
          <w:p>
            <w:pPr>
              <w:pStyle w:val="yTable"/>
            </w:pPr>
            <w:r>
              <w:t>DIHYDROMORPHINE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43.</w:t>
            </w:r>
          </w:p>
        </w:tc>
        <w:tc>
          <w:tcPr>
            <w:tcW w:w="5173" w:type="dxa"/>
          </w:tcPr>
          <w:p>
            <w:pPr>
              <w:pStyle w:val="yTable"/>
            </w:pPr>
            <w:r>
              <w:t>DIMENOXADOL</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44.</w:t>
            </w:r>
          </w:p>
        </w:tc>
        <w:tc>
          <w:tcPr>
            <w:tcW w:w="5173" w:type="dxa"/>
          </w:tcPr>
          <w:p>
            <w:pPr>
              <w:pStyle w:val="yTable"/>
            </w:pPr>
            <w:r>
              <w:t>DIMEPHEPTANOL</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45.</w:t>
            </w:r>
          </w:p>
        </w:tc>
        <w:tc>
          <w:tcPr>
            <w:tcW w:w="5173" w:type="dxa"/>
          </w:tcPr>
          <w:p>
            <w:pPr>
              <w:pStyle w:val="yTable"/>
            </w:pPr>
            <w:r>
              <w:t>2, 5</w:t>
            </w:r>
            <w:r>
              <w:noBreakHyphen/>
              <w:t>DIMETHOXY</w:t>
            </w:r>
            <w:r>
              <w:noBreakHyphen/>
              <w:t>4</w:t>
            </w:r>
            <w:r>
              <w:noBreakHyphen/>
              <w:t>BROMOAMPHETAMINE</w:t>
            </w:r>
          </w:p>
        </w:tc>
        <w:tc>
          <w:tcPr>
            <w:tcW w:w="1080" w:type="dxa"/>
          </w:tcPr>
          <w:p>
            <w:pPr>
              <w:tabs>
                <w:tab w:val="decimal" w:pos="439"/>
              </w:tabs>
              <w:spacing w:before="40" w:after="40"/>
              <w:rPr>
                <w:sz w:val="22"/>
              </w:rPr>
            </w:pPr>
            <w:r>
              <w:rPr>
                <w:sz w:val="22"/>
              </w:rPr>
              <w:t>0.05</w:t>
            </w:r>
          </w:p>
        </w:tc>
      </w:tr>
      <w:tr>
        <w:tc>
          <w:tcPr>
            <w:tcW w:w="737" w:type="dxa"/>
          </w:tcPr>
          <w:p>
            <w:pPr>
              <w:spacing w:before="40" w:after="40"/>
              <w:rPr>
                <w:sz w:val="22"/>
              </w:rPr>
            </w:pPr>
            <w:r>
              <w:rPr>
                <w:sz w:val="22"/>
              </w:rPr>
              <w:t>46.</w:t>
            </w:r>
          </w:p>
        </w:tc>
        <w:tc>
          <w:tcPr>
            <w:tcW w:w="5173" w:type="dxa"/>
          </w:tcPr>
          <w:p>
            <w:pPr>
              <w:pStyle w:val="yTable"/>
            </w:pPr>
            <w:r>
              <w:t>2, 5</w:t>
            </w:r>
            <w:r>
              <w:noBreakHyphen/>
              <w:t>DIMETHOXY</w:t>
            </w:r>
            <w:r>
              <w:noBreakHyphen/>
              <w:t>4</w:t>
            </w:r>
            <w:r>
              <w:noBreakHyphen/>
              <w:t>METHYLAMPHETAMINE</w:t>
            </w:r>
          </w:p>
        </w:tc>
        <w:tc>
          <w:tcPr>
            <w:tcW w:w="1080" w:type="dxa"/>
          </w:tcPr>
          <w:p>
            <w:pPr>
              <w:tabs>
                <w:tab w:val="decimal" w:pos="439"/>
              </w:tabs>
              <w:spacing w:before="40" w:after="40"/>
              <w:rPr>
                <w:sz w:val="22"/>
              </w:rPr>
            </w:pPr>
            <w:r>
              <w:rPr>
                <w:sz w:val="22"/>
              </w:rPr>
              <w:t>0.05</w:t>
            </w:r>
          </w:p>
        </w:tc>
      </w:tr>
      <w:tr>
        <w:tc>
          <w:tcPr>
            <w:tcW w:w="737" w:type="dxa"/>
          </w:tcPr>
          <w:p>
            <w:pPr>
              <w:spacing w:before="40" w:after="40"/>
              <w:rPr>
                <w:sz w:val="22"/>
              </w:rPr>
            </w:pPr>
            <w:r>
              <w:rPr>
                <w:sz w:val="22"/>
              </w:rPr>
              <w:t>47.</w:t>
            </w:r>
          </w:p>
        </w:tc>
        <w:tc>
          <w:tcPr>
            <w:tcW w:w="5173" w:type="dxa"/>
          </w:tcPr>
          <w:p>
            <w:pPr>
              <w:pStyle w:val="yTable"/>
            </w:pPr>
            <w:r>
              <w:t>DIMETHYLTHIAMBUTENE</w:t>
            </w:r>
          </w:p>
        </w:tc>
        <w:tc>
          <w:tcPr>
            <w:tcW w:w="1080" w:type="dxa"/>
          </w:tcPr>
          <w:p>
            <w:pPr>
              <w:tabs>
                <w:tab w:val="decimal" w:pos="439"/>
              </w:tabs>
              <w:spacing w:before="40" w:after="40"/>
              <w:rPr>
                <w:sz w:val="22"/>
              </w:rPr>
            </w:pPr>
            <w:r>
              <w:rPr>
                <w:sz w:val="22"/>
              </w:rPr>
              <w:t>20.0</w:t>
            </w:r>
          </w:p>
        </w:tc>
      </w:tr>
      <w:tr>
        <w:tc>
          <w:tcPr>
            <w:tcW w:w="737" w:type="dxa"/>
          </w:tcPr>
          <w:p>
            <w:pPr>
              <w:spacing w:before="40" w:after="40"/>
              <w:rPr>
                <w:sz w:val="22"/>
              </w:rPr>
            </w:pPr>
            <w:r>
              <w:rPr>
                <w:sz w:val="22"/>
              </w:rPr>
              <w:t>48.</w:t>
            </w:r>
          </w:p>
        </w:tc>
        <w:tc>
          <w:tcPr>
            <w:tcW w:w="5173" w:type="dxa"/>
          </w:tcPr>
          <w:p>
            <w:pPr>
              <w:pStyle w:val="yTable"/>
            </w:pPr>
            <w:r>
              <w:t>DIMETHYLTRYPTAMINE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49.</w:t>
            </w:r>
          </w:p>
        </w:tc>
        <w:tc>
          <w:tcPr>
            <w:tcW w:w="5173" w:type="dxa"/>
          </w:tcPr>
          <w:p>
            <w:pPr>
              <w:pStyle w:val="yTable"/>
            </w:pPr>
            <w:r>
              <w:t>DIOXAPHETYL BUTYRATE</w:t>
            </w:r>
          </w:p>
        </w:tc>
        <w:tc>
          <w:tcPr>
            <w:tcW w:w="1080" w:type="dxa"/>
          </w:tcPr>
          <w:p>
            <w:pPr>
              <w:tabs>
                <w:tab w:val="decimal" w:pos="439"/>
              </w:tabs>
              <w:spacing w:before="40" w:after="40"/>
              <w:rPr>
                <w:sz w:val="22"/>
              </w:rPr>
            </w:pPr>
            <w:r>
              <w:rPr>
                <w:sz w:val="22"/>
              </w:rPr>
              <w:t>2.0</w:t>
            </w:r>
          </w:p>
        </w:tc>
      </w:tr>
      <w:tr>
        <w:tc>
          <w:tcPr>
            <w:tcW w:w="737" w:type="dxa"/>
          </w:tcPr>
          <w:p>
            <w:pPr>
              <w:keepNext/>
              <w:spacing w:before="40" w:after="40"/>
              <w:rPr>
                <w:sz w:val="22"/>
              </w:rPr>
            </w:pPr>
            <w:r>
              <w:rPr>
                <w:sz w:val="22"/>
              </w:rPr>
              <w:t>50.</w:t>
            </w:r>
          </w:p>
        </w:tc>
        <w:tc>
          <w:tcPr>
            <w:tcW w:w="5173" w:type="dxa"/>
          </w:tcPr>
          <w:p>
            <w:pPr>
              <w:pStyle w:val="yTable"/>
              <w:ind w:left="548" w:hanging="548"/>
            </w:pPr>
            <w:r>
              <w:t>DIPHENOXYLATE (excluding preparations containing per dosage unit, not more than 2.5 mg of diphenoxylate calculated as base, and a quantity of atropine sulphate equivalent to at least 1% of the dose of diphenoxylate)</w:t>
            </w:r>
          </w:p>
        </w:tc>
        <w:tc>
          <w:tcPr>
            <w:tcW w:w="1080" w:type="dxa"/>
          </w:tcPr>
          <w:p>
            <w:pPr>
              <w:keepNext/>
              <w:tabs>
                <w:tab w:val="decimal" w:pos="439"/>
              </w:tabs>
              <w:spacing w:before="40" w:after="40"/>
              <w:rPr>
                <w:sz w:val="22"/>
              </w:rPr>
            </w:pPr>
            <w:r>
              <w:rPr>
                <w:sz w:val="22"/>
              </w:rPr>
              <w:t>2.0</w:t>
            </w:r>
          </w:p>
        </w:tc>
      </w:tr>
      <w:tr>
        <w:tc>
          <w:tcPr>
            <w:tcW w:w="737" w:type="dxa"/>
          </w:tcPr>
          <w:p>
            <w:pPr>
              <w:spacing w:before="40" w:after="40"/>
              <w:rPr>
                <w:sz w:val="22"/>
              </w:rPr>
            </w:pPr>
            <w:r>
              <w:rPr>
                <w:sz w:val="22"/>
              </w:rPr>
              <w:t>51.</w:t>
            </w:r>
          </w:p>
        </w:tc>
        <w:tc>
          <w:tcPr>
            <w:tcW w:w="5173" w:type="dxa"/>
          </w:tcPr>
          <w:p>
            <w:pPr>
              <w:pStyle w:val="yTable"/>
            </w:pPr>
            <w:r>
              <w:t>DIPIPANONE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52.</w:t>
            </w:r>
          </w:p>
        </w:tc>
        <w:tc>
          <w:tcPr>
            <w:tcW w:w="5173" w:type="dxa"/>
          </w:tcPr>
          <w:p>
            <w:pPr>
              <w:pStyle w:val="yTable"/>
            </w:pPr>
            <w:r>
              <w:t>DROTEBANOL</w:t>
            </w:r>
          </w:p>
        </w:tc>
        <w:tc>
          <w:tcPr>
            <w:tcW w:w="1080" w:type="dxa"/>
          </w:tcPr>
          <w:p>
            <w:pPr>
              <w:tabs>
                <w:tab w:val="decimal" w:pos="439"/>
              </w:tabs>
              <w:spacing w:before="40" w:after="40"/>
              <w:rPr>
                <w:sz w:val="22"/>
              </w:rPr>
            </w:pPr>
            <w:r>
              <w:rPr>
                <w:sz w:val="22"/>
              </w:rPr>
              <w:t>0.1</w:t>
            </w:r>
          </w:p>
        </w:tc>
      </w:tr>
      <w:tr>
        <w:tc>
          <w:tcPr>
            <w:tcW w:w="737" w:type="dxa"/>
          </w:tcPr>
          <w:p>
            <w:pPr>
              <w:spacing w:before="40" w:after="40"/>
              <w:rPr>
                <w:sz w:val="22"/>
              </w:rPr>
            </w:pPr>
            <w:r>
              <w:rPr>
                <w:sz w:val="22"/>
              </w:rPr>
              <w:t>53.</w:t>
            </w:r>
          </w:p>
        </w:tc>
        <w:tc>
          <w:tcPr>
            <w:tcW w:w="5173" w:type="dxa"/>
          </w:tcPr>
          <w:p>
            <w:pPr>
              <w:pStyle w:val="yTable"/>
              <w:ind w:left="548" w:hanging="548"/>
            </w:pPr>
            <w:r>
              <w:t>ECGONINE, ITS ESTERS AND DERIVATIVES which are convertible to ECGONINE AND COCAINE</w:t>
            </w:r>
          </w:p>
        </w:tc>
        <w:tc>
          <w:tcPr>
            <w:tcW w:w="1080" w:type="dxa"/>
          </w:tcPr>
          <w:p>
            <w:pPr>
              <w:tabs>
                <w:tab w:val="decimal" w:pos="439"/>
              </w:tabs>
              <w:spacing w:before="40" w:after="40"/>
              <w:rPr>
                <w:sz w:val="22"/>
              </w:rPr>
            </w:pPr>
            <w:r>
              <w:rPr>
                <w:sz w:val="22"/>
              </w:rPr>
              <w:t>10.0</w:t>
            </w:r>
          </w:p>
        </w:tc>
      </w:tr>
      <w:tr>
        <w:trPr>
          <w:cantSplit/>
        </w:trPr>
        <w:tc>
          <w:tcPr>
            <w:tcW w:w="737" w:type="dxa"/>
          </w:tcPr>
          <w:p>
            <w:pPr>
              <w:spacing w:before="40" w:after="40"/>
              <w:rPr>
                <w:rFonts w:ascii="Times" w:hAnsi="Times"/>
                <w:spacing w:val="-6"/>
                <w:sz w:val="22"/>
              </w:rPr>
            </w:pPr>
            <w:r>
              <w:rPr>
                <w:rFonts w:ascii="Times" w:hAnsi="Times"/>
                <w:spacing w:val="-6"/>
                <w:sz w:val="22"/>
              </w:rPr>
              <w:t>53A.</w:t>
            </w:r>
          </w:p>
        </w:tc>
        <w:tc>
          <w:tcPr>
            <w:tcW w:w="5173" w:type="dxa"/>
          </w:tcPr>
          <w:p>
            <w:pPr>
              <w:pStyle w:val="yTable"/>
            </w:pPr>
            <w:r>
              <w:t>EPHEDRINE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54.</w:t>
            </w:r>
          </w:p>
        </w:tc>
        <w:tc>
          <w:tcPr>
            <w:tcW w:w="5173" w:type="dxa"/>
          </w:tcPr>
          <w:p>
            <w:pPr>
              <w:pStyle w:val="yTable"/>
            </w:pPr>
            <w:r>
              <w:t>ETHYLMETHYLTHIAMBUTENE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55.</w:t>
            </w:r>
          </w:p>
        </w:tc>
        <w:tc>
          <w:tcPr>
            <w:tcW w:w="5173" w:type="dxa"/>
          </w:tcPr>
          <w:p>
            <w:pPr>
              <w:pStyle w:val="yTable"/>
              <w:ind w:left="550" w:hanging="550"/>
            </w:pPr>
            <w:r>
              <w:t>ETHYLMORPHINE (and substances containing more than 2.5% of ethylmorphine)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56.</w:t>
            </w:r>
          </w:p>
        </w:tc>
        <w:tc>
          <w:tcPr>
            <w:tcW w:w="5173" w:type="dxa"/>
          </w:tcPr>
          <w:p>
            <w:pPr>
              <w:pStyle w:val="yTable"/>
            </w:pPr>
            <w:r>
              <w:t>ETONITAZENE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57.</w:t>
            </w:r>
          </w:p>
        </w:tc>
        <w:tc>
          <w:tcPr>
            <w:tcW w:w="5173" w:type="dxa"/>
          </w:tcPr>
          <w:p>
            <w:pPr>
              <w:pStyle w:val="yTable"/>
            </w:pPr>
            <w:r>
              <w:t>ETORPHINE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58.</w:t>
            </w:r>
          </w:p>
        </w:tc>
        <w:tc>
          <w:tcPr>
            <w:tcW w:w="5173" w:type="dxa"/>
          </w:tcPr>
          <w:p>
            <w:pPr>
              <w:pStyle w:val="yTable"/>
            </w:pPr>
            <w:r>
              <w:t>ETOXERIDINE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59.</w:t>
            </w:r>
          </w:p>
        </w:tc>
        <w:tc>
          <w:tcPr>
            <w:tcW w:w="5173" w:type="dxa"/>
          </w:tcPr>
          <w:p>
            <w:pPr>
              <w:pStyle w:val="yTable"/>
            </w:pPr>
            <w:r>
              <w:t>FENTANYL</w:t>
            </w:r>
          </w:p>
        </w:tc>
        <w:tc>
          <w:tcPr>
            <w:tcW w:w="1080" w:type="dxa"/>
          </w:tcPr>
          <w:p>
            <w:pPr>
              <w:tabs>
                <w:tab w:val="decimal" w:pos="439"/>
              </w:tabs>
              <w:spacing w:before="40" w:after="40"/>
              <w:rPr>
                <w:sz w:val="22"/>
              </w:rPr>
            </w:pPr>
            <w:r>
              <w:rPr>
                <w:sz w:val="22"/>
              </w:rPr>
              <w:t>0.005</w:t>
            </w:r>
          </w:p>
        </w:tc>
      </w:tr>
      <w:tr>
        <w:tc>
          <w:tcPr>
            <w:tcW w:w="737" w:type="dxa"/>
          </w:tcPr>
          <w:p>
            <w:pPr>
              <w:spacing w:before="40" w:after="40"/>
              <w:rPr>
                <w:sz w:val="22"/>
              </w:rPr>
            </w:pPr>
            <w:r>
              <w:rPr>
                <w:sz w:val="22"/>
              </w:rPr>
              <w:t>60.</w:t>
            </w:r>
          </w:p>
        </w:tc>
        <w:tc>
          <w:tcPr>
            <w:tcW w:w="5173" w:type="dxa"/>
          </w:tcPr>
          <w:p>
            <w:pPr>
              <w:pStyle w:val="yTable"/>
            </w:pPr>
            <w:r>
              <w:t>FURETHIDINE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61.</w:t>
            </w:r>
          </w:p>
        </w:tc>
        <w:tc>
          <w:tcPr>
            <w:tcW w:w="5173" w:type="dxa"/>
          </w:tcPr>
          <w:p>
            <w:pPr>
              <w:pStyle w:val="yTable"/>
              <w:ind w:left="548" w:hanging="548"/>
            </w:pPr>
            <w:r>
              <w:t>HALLUCINOGENIC SUBSTANCES (structurally derived from methoxyphenethylamine)</w:t>
            </w:r>
          </w:p>
        </w:tc>
        <w:tc>
          <w:tcPr>
            <w:tcW w:w="1080" w:type="dxa"/>
          </w:tcPr>
          <w:p>
            <w:pPr>
              <w:tabs>
                <w:tab w:val="decimal" w:pos="439"/>
              </w:tabs>
              <w:spacing w:before="40" w:after="40"/>
              <w:rPr>
                <w:sz w:val="22"/>
              </w:rPr>
            </w:pPr>
            <w:r>
              <w:rPr>
                <w:sz w:val="22"/>
              </w:rPr>
              <w:t>0.05</w:t>
            </w:r>
          </w:p>
        </w:tc>
      </w:tr>
      <w:tr>
        <w:tc>
          <w:tcPr>
            <w:tcW w:w="737" w:type="dxa"/>
          </w:tcPr>
          <w:p>
            <w:pPr>
              <w:spacing w:before="40" w:after="40"/>
              <w:rPr>
                <w:sz w:val="22"/>
              </w:rPr>
            </w:pPr>
            <w:r>
              <w:rPr>
                <w:sz w:val="22"/>
              </w:rPr>
              <w:t>62.</w:t>
            </w:r>
          </w:p>
        </w:tc>
        <w:tc>
          <w:tcPr>
            <w:tcW w:w="5173" w:type="dxa"/>
          </w:tcPr>
          <w:p>
            <w:pPr>
              <w:pStyle w:val="yTable"/>
            </w:pPr>
            <w:r>
              <w:t>HEPTABARBITONE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63.</w:t>
            </w:r>
          </w:p>
        </w:tc>
        <w:tc>
          <w:tcPr>
            <w:tcW w:w="5173" w:type="dxa"/>
          </w:tcPr>
          <w:p>
            <w:pPr>
              <w:pStyle w:val="yTable"/>
            </w:pPr>
            <w:r>
              <w:t>HEROIN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64.</w:t>
            </w:r>
          </w:p>
        </w:tc>
        <w:tc>
          <w:tcPr>
            <w:tcW w:w="5173" w:type="dxa"/>
          </w:tcPr>
          <w:p>
            <w:pPr>
              <w:pStyle w:val="yTable"/>
            </w:pPr>
            <w:r>
              <w:t>HEXOBARBITONE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65.</w:t>
            </w:r>
          </w:p>
        </w:tc>
        <w:tc>
          <w:tcPr>
            <w:tcW w:w="5173" w:type="dxa"/>
          </w:tcPr>
          <w:p>
            <w:pPr>
              <w:pStyle w:val="yTable"/>
            </w:pPr>
            <w:r>
              <w:t>HYDROCODONE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66.</w:t>
            </w:r>
          </w:p>
        </w:tc>
        <w:tc>
          <w:tcPr>
            <w:tcW w:w="5173" w:type="dxa"/>
          </w:tcPr>
          <w:p>
            <w:pPr>
              <w:pStyle w:val="yTable"/>
            </w:pPr>
            <w:r>
              <w:t>HYDROMORPHINOL</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67.</w:t>
            </w:r>
          </w:p>
        </w:tc>
        <w:tc>
          <w:tcPr>
            <w:tcW w:w="5173" w:type="dxa"/>
          </w:tcPr>
          <w:p>
            <w:pPr>
              <w:pStyle w:val="yTable"/>
            </w:pPr>
            <w:r>
              <w:t>HYDROMORPHONE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68.</w:t>
            </w:r>
          </w:p>
        </w:tc>
        <w:tc>
          <w:tcPr>
            <w:tcW w:w="5173" w:type="dxa"/>
          </w:tcPr>
          <w:p>
            <w:pPr>
              <w:pStyle w:val="yTable"/>
            </w:pPr>
            <w:r>
              <w:t>HYDROXYPETHIDINE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69.</w:t>
            </w:r>
          </w:p>
        </w:tc>
        <w:tc>
          <w:tcPr>
            <w:tcW w:w="5173" w:type="dxa"/>
          </w:tcPr>
          <w:p>
            <w:pPr>
              <w:pStyle w:val="yTable"/>
            </w:pPr>
            <w:r>
              <w:t>ISOMETHADONE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70.</w:t>
            </w:r>
          </w:p>
        </w:tc>
        <w:tc>
          <w:tcPr>
            <w:tcW w:w="5173" w:type="dxa"/>
          </w:tcPr>
          <w:p>
            <w:pPr>
              <w:pStyle w:val="yTable"/>
            </w:pPr>
            <w:r>
              <w:t>KETOBEMIDONE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71.</w:t>
            </w:r>
          </w:p>
        </w:tc>
        <w:tc>
          <w:tcPr>
            <w:tcW w:w="5173" w:type="dxa"/>
          </w:tcPr>
          <w:p>
            <w:pPr>
              <w:pStyle w:val="yTable"/>
            </w:pPr>
            <w:r>
              <w:t>LEVOMETHORPHAN</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72.</w:t>
            </w:r>
          </w:p>
        </w:tc>
        <w:tc>
          <w:tcPr>
            <w:tcW w:w="5173" w:type="dxa"/>
          </w:tcPr>
          <w:p>
            <w:pPr>
              <w:pStyle w:val="yTable"/>
            </w:pPr>
            <w:r>
              <w:t>LEVOMORAMIDE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73.</w:t>
            </w:r>
          </w:p>
        </w:tc>
        <w:tc>
          <w:tcPr>
            <w:tcW w:w="5173" w:type="dxa"/>
          </w:tcPr>
          <w:p>
            <w:pPr>
              <w:pStyle w:val="yTable"/>
            </w:pPr>
            <w:r>
              <w:t>LEVOPHENACYLMORPHAN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74.</w:t>
            </w:r>
          </w:p>
        </w:tc>
        <w:tc>
          <w:tcPr>
            <w:tcW w:w="5173" w:type="dxa"/>
          </w:tcPr>
          <w:p>
            <w:pPr>
              <w:pStyle w:val="yTable"/>
            </w:pPr>
            <w:r>
              <w:t>LEVORPHANOL</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75.</w:t>
            </w:r>
          </w:p>
        </w:tc>
        <w:tc>
          <w:tcPr>
            <w:tcW w:w="5173" w:type="dxa"/>
          </w:tcPr>
          <w:p>
            <w:pPr>
              <w:pStyle w:val="yTable"/>
            </w:pPr>
            <w:r>
              <w:t>LYSERGIC ACID DIETHYLAMIDE (LSD)</w:t>
            </w:r>
          </w:p>
        </w:tc>
        <w:tc>
          <w:tcPr>
            <w:tcW w:w="1080" w:type="dxa"/>
          </w:tcPr>
          <w:p>
            <w:pPr>
              <w:tabs>
                <w:tab w:val="decimal" w:pos="439"/>
              </w:tabs>
              <w:spacing w:before="40" w:after="40"/>
              <w:rPr>
                <w:sz w:val="22"/>
              </w:rPr>
            </w:pPr>
            <w:r>
              <w:rPr>
                <w:sz w:val="22"/>
              </w:rPr>
              <w:t>0.002</w:t>
            </w:r>
          </w:p>
        </w:tc>
      </w:tr>
      <w:tr>
        <w:tc>
          <w:tcPr>
            <w:tcW w:w="737" w:type="dxa"/>
          </w:tcPr>
          <w:p>
            <w:pPr>
              <w:spacing w:before="40" w:after="40"/>
              <w:rPr>
                <w:sz w:val="22"/>
              </w:rPr>
            </w:pPr>
            <w:r>
              <w:rPr>
                <w:sz w:val="22"/>
              </w:rPr>
              <w:t>76.</w:t>
            </w:r>
          </w:p>
        </w:tc>
        <w:tc>
          <w:tcPr>
            <w:tcW w:w="5173" w:type="dxa"/>
          </w:tcPr>
          <w:p>
            <w:pPr>
              <w:pStyle w:val="yTable"/>
            </w:pPr>
            <w:r>
              <w:t>MESCALINE</w:t>
            </w:r>
          </w:p>
        </w:tc>
        <w:tc>
          <w:tcPr>
            <w:tcW w:w="1080" w:type="dxa"/>
          </w:tcPr>
          <w:p>
            <w:pPr>
              <w:tabs>
                <w:tab w:val="decimal" w:pos="439"/>
              </w:tabs>
              <w:spacing w:before="40" w:after="40"/>
              <w:rPr>
                <w:sz w:val="22"/>
              </w:rPr>
            </w:pPr>
            <w:r>
              <w:rPr>
                <w:sz w:val="22"/>
              </w:rPr>
              <w:t>7.5</w:t>
            </w:r>
          </w:p>
        </w:tc>
      </w:tr>
      <w:tr>
        <w:tc>
          <w:tcPr>
            <w:tcW w:w="737" w:type="dxa"/>
          </w:tcPr>
          <w:p>
            <w:pPr>
              <w:spacing w:before="40" w:after="40"/>
              <w:rPr>
                <w:sz w:val="22"/>
              </w:rPr>
            </w:pPr>
            <w:r>
              <w:rPr>
                <w:sz w:val="22"/>
              </w:rPr>
              <w:t>77.</w:t>
            </w:r>
          </w:p>
        </w:tc>
        <w:tc>
          <w:tcPr>
            <w:tcW w:w="5173" w:type="dxa"/>
          </w:tcPr>
          <w:p>
            <w:pPr>
              <w:pStyle w:val="yTable"/>
            </w:pPr>
            <w:r>
              <w:t>METAZOCINE</w:t>
            </w:r>
          </w:p>
        </w:tc>
        <w:tc>
          <w:tcPr>
            <w:tcW w:w="1080" w:type="dxa"/>
          </w:tcPr>
          <w:p>
            <w:pPr>
              <w:tabs>
                <w:tab w:val="decimal" w:pos="439"/>
              </w:tabs>
              <w:spacing w:before="40" w:after="40"/>
              <w:rPr>
                <w:sz w:val="22"/>
              </w:rPr>
            </w:pPr>
            <w:r>
              <w:rPr>
                <w:sz w:val="22"/>
              </w:rPr>
              <w:t>7.0</w:t>
            </w:r>
          </w:p>
        </w:tc>
      </w:tr>
      <w:tr>
        <w:tc>
          <w:tcPr>
            <w:tcW w:w="737" w:type="dxa"/>
          </w:tcPr>
          <w:p>
            <w:pPr>
              <w:spacing w:before="40" w:after="40"/>
              <w:rPr>
                <w:sz w:val="22"/>
              </w:rPr>
            </w:pPr>
            <w:r>
              <w:rPr>
                <w:sz w:val="22"/>
              </w:rPr>
              <w:t>78.</w:t>
            </w:r>
          </w:p>
        </w:tc>
        <w:tc>
          <w:tcPr>
            <w:tcW w:w="5173" w:type="dxa"/>
          </w:tcPr>
          <w:p>
            <w:pPr>
              <w:pStyle w:val="yTable"/>
            </w:pPr>
            <w:r>
              <w:t>METHADONE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79.</w:t>
            </w:r>
          </w:p>
        </w:tc>
        <w:tc>
          <w:tcPr>
            <w:tcW w:w="5173" w:type="dxa"/>
          </w:tcPr>
          <w:p>
            <w:pPr>
              <w:pStyle w:val="yTable"/>
            </w:pPr>
            <w:r>
              <w:t>METHADONE</w:t>
            </w:r>
            <w:r>
              <w:noBreakHyphen/>
              <w:t>INTERMEDIATE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80.</w:t>
            </w:r>
          </w:p>
        </w:tc>
        <w:tc>
          <w:tcPr>
            <w:tcW w:w="5173" w:type="dxa"/>
          </w:tcPr>
          <w:p>
            <w:pPr>
              <w:pStyle w:val="yTable"/>
            </w:pPr>
            <w:r>
              <w:t>METHAQUALONE</w:t>
            </w:r>
          </w:p>
        </w:tc>
        <w:tc>
          <w:tcPr>
            <w:tcW w:w="1080" w:type="dxa"/>
          </w:tcPr>
          <w:p>
            <w:pPr>
              <w:tabs>
                <w:tab w:val="decimal" w:pos="439"/>
              </w:tabs>
              <w:spacing w:before="40" w:after="40"/>
              <w:rPr>
                <w:sz w:val="22"/>
              </w:rPr>
            </w:pPr>
            <w:r>
              <w:rPr>
                <w:sz w:val="22"/>
              </w:rPr>
              <w:t>50.0</w:t>
            </w:r>
          </w:p>
        </w:tc>
      </w:tr>
      <w:tr>
        <w:tc>
          <w:tcPr>
            <w:tcW w:w="737" w:type="dxa"/>
          </w:tcPr>
          <w:p>
            <w:pPr>
              <w:spacing w:before="40" w:after="40"/>
              <w:rPr>
                <w:sz w:val="22"/>
              </w:rPr>
            </w:pPr>
            <w:r>
              <w:rPr>
                <w:sz w:val="22"/>
              </w:rPr>
              <w:t>81.</w:t>
            </w:r>
          </w:p>
        </w:tc>
        <w:tc>
          <w:tcPr>
            <w:tcW w:w="5173" w:type="dxa"/>
          </w:tcPr>
          <w:p>
            <w:pPr>
              <w:pStyle w:val="yTable"/>
            </w:pPr>
            <w:r>
              <w:t>METHARBITONE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82</w:t>
            </w:r>
          </w:p>
        </w:tc>
        <w:tc>
          <w:tcPr>
            <w:tcW w:w="5173" w:type="dxa"/>
          </w:tcPr>
          <w:p>
            <w:pPr>
              <w:pStyle w:val="yTable"/>
            </w:pPr>
            <w:r>
              <w:t>METHYLAMPHETAMINE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83.</w:t>
            </w:r>
          </w:p>
        </w:tc>
        <w:tc>
          <w:tcPr>
            <w:tcW w:w="5173" w:type="dxa"/>
          </w:tcPr>
          <w:p>
            <w:pPr>
              <w:pStyle w:val="yTable"/>
            </w:pPr>
            <w:r>
              <w:t>METHYLDESORPHINE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84.</w:t>
            </w:r>
          </w:p>
        </w:tc>
        <w:tc>
          <w:tcPr>
            <w:tcW w:w="5173" w:type="dxa"/>
          </w:tcPr>
          <w:p>
            <w:pPr>
              <w:pStyle w:val="yTable"/>
            </w:pPr>
            <w:r>
              <w:t>METHYLDIHYDROMORPHINE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rFonts w:ascii="Times" w:hAnsi="Times"/>
                <w:spacing w:val="-6"/>
                <w:sz w:val="22"/>
              </w:rPr>
            </w:pPr>
            <w:r>
              <w:rPr>
                <w:rFonts w:ascii="Times" w:hAnsi="Times"/>
                <w:spacing w:val="-6"/>
                <w:sz w:val="22"/>
              </w:rPr>
              <w:t>84A.</w:t>
            </w:r>
          </w:p>
        </w:tc>
        <w:tc>
          <w:tcPr>
            <w:tcW w:w="5173" w:type="dxa"/>
          </w:tcPr>
          <w:p>
            <w:pPr>
              <w:pStyle w:val="yTable"/>
            </w:pPr>
            <w:r>
              <w:t>3, 4</w:t>
            </w:r>
            <w:r>
              <w:noBreakHyphen/>
              <w:t>METHYLENEDIOXYAMPHETAMINE (MDA)</w:t>
            </w:r>
          </w:p>
        </w:tc>
        <w:tc>
          <w:tcPr>
            <w:tcW w:w="1080" w:type="dxa"/>
          </w:tcPr>
          <w:p>
            <w:pPr>
              <w:tabs>
                <w:tab w:val="decimal" w:pos="439"/>
              </w:tabs>
              <w:spacing w:before="40" w:after="40"/>
              <w:rPr>
                <w:sz w:val="22"/>
              </w:rPr>
            </w:pPr>
            <w:r>
              <w:rPr>
                <w:sz w:val="22"/>
              </w:rPr>
              <w:t>2.0</w:t>
            </w:r>
          </w:p>
        </w:tc>
      </w:tr>
      <w:tr>
        <w:tc>
          <w:tcPr>
            <w:tcW w:w="737" w:type="dxa"/>
          </w:tcPr>
          <w:p>
            <w:pPr>
              <w:keepNext/>
              <w:spacing w:before="40" w:after="40"/>
              <w:rPr>
                <w:rFonts w:ascii="Times" w:hAnsi="Times"/>
                <w:spacing w:val="-6"/>
                <w:sz w:val="22"/>
              </w:rPr>
            </w:pPr>
            <w:r>
              <w:rPr>
                <w:rFonts w:ascii="Times" w:hAnsi="Times"/>
                <w:spacing w:val="-6"/>
                <w:sz w:val="22"/>
              </w:rPr>
              <w:t>84B.</w:t>
            </w:r>
          </w:p>
        </w:tc>
        <w:tc>
          <w:tcPr>
            <w:tcW w:w="5173" w:type="dxa"/>
          </w:tcPr>
          <w:p>
            <w:pPr>
              <w:pStyle w:val="yTable"/>
              <w:ind w:left="548" w:hanging="548"/>
            </w:pPr>
            <w:r>
              <w:t>3, 4</w:t>
            </w:r>
            <w:r>
              <w:noBreakHyphen/>
              <w:t>METHYLENEDIOXY</w:t>
            </w:r>
            <w:r>
              <w:noBreakHyphen/>
              <w:t>N, ALPHA</w:t>
            </w:r>
            <w:r>
              <w:noBreakHyphen/>
              <w:t>DIMETHYLPHENYLETHYLAMINE (MDMA)</w:t>
            </w:r>
          </w:p>
        </w:tc>
        <w:tc>
          <w:tcPr>
            <w:tcW w:w="1080" w:type="dxa"/>
          </w:tcPr>
          <w:p>
            <w:pPr>
              <w:keepNext/>
              <w:tabs>
                <w:tab w:val="decimal" w:pos="439"/>
              </w:tabs>
              <w:spacing w:before="40" w:after="40"/>
              <w:rPr>
                <w:sz w:val="22"/>
              </w:rPr>
            </w:pPr>
            <w:r>
              <w:rPr>
                <w:sz w:val="22"/>
              </w:rPr>
              <w:t>2.0</w:t>
            </w:r>
          </w:p>
        </w:tc>
      </w:tr>
      <w:tr>
        <w:tc>
          <w:tcPr>
            <w:tcW w:w="737" w:type="dxa"/>
          </w:tcPr>
          <w:p>
            <w:pPr>
              <w:spacing w:before="40" w:after="40"/>
              <w:rPr>
                <w:sz w:val="22"/>
              </w:rPr>
            </w:pPr>
            <w:r>
              <w:rPr>
                <w:sz w:val="22"/>
              </w:rPr>
              <w:t>85.</w:t>
            </w:r>
          </w:p>
        </w:tc>
        <w:tc>
          <w:tcPr>
            <w:tcW w:w="5173" w:type="dxa"/>
          </w:tcPr>
          <w:p>
            <w:pPr>
              <w:pStyle w:val="yTable"/>
            </w:pPr>
            <w:r>
              <w:t>METHYLPHENIDATE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86.</w:t>
            </w:r>
          </w:p>
        </w:tc>
        <w:tc>
          <w:tcPr>
            <w:tcW w:w="5173" w:type="dxa"/>
          </w:tcPr>
          <w:p>
            <w:pPr>
              <w:pStyle w:val="yTable"/>
            </w:pPr>
            <w:r>
              <w:t>METHYLPHENOBARBITONE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87.</w:t>
            </w:r>
          </w:p>
        </w:tc>
        <w:tc>
          <w:tcPr>
            <w:tcW w:w="5173" w:type="dxa"/>
          </w:tcPr>
          <w:p>
            <w:pPr>
              <w:pStyle w:val="yTable"/>
              <w:ind w:left="548" w:hanging="548"/>
            </w:pPr>
            <w:r>
              <w:t>1</w:t>
            </w:r>
            <w:r>
              <w:noBreakHyphen/>
              <w:t>METHYL</w:t>
            </w:r>
            <w:r>
              <w:noBreakHyphen/>
              <w:t>4</w:t>
            </w:r>
            <w:r>
              <w:noBreakHyphen/>
              <w:t>PHENYLPIPERIDINE</w:t>
            </w:r>
            <w:r>
              <w:noBreakHyphen/>
              <w:t>4</w:t>
            </w:r>
            <w:r>
              <w:noBreakHyphen/>
            </w:r>
            <w:r>
              <w:br/>
              <w:t>CARBOXYLIC ACID ESTERS</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88.</w:t>
            </w:r>
          </w:p>
        </w:tc>
        <w:tc>
          <w:tcPr>
            <w:tcW w:w="5173" w:type="dxa"/>
          </w:tcPr>
          <w:p>
            <w:pPr>
              <w:pStyle w:val="yTable"/>
            </w:pPr>
            <w:r>
              <w:t>METOPON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89.</w:t>
            </w:r>
          </w:p>
        </w:tc>
        <w:tc>
          <w:tcPr>
            <w:tcW w:w="5173" w:type="dxa"/>
          </w:tcPr>
          <w:p>
            <w:pPr>
              <w:pStyle w:val="yTable"/>
            </w:pPr>
            <w:r>
              <w:t>MORAMIDE</w:t>
            </w:r>
            <w:r>
              <w:noBreakHyphen/>
              <w:t>INTERMEDIATE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90.</w:t>
            </w:r>
          </w:p>
        </w:tc>
        <w:tc>
          <w:tcPr>
            <w:tcW w:w="5173" w:type="dxa"/>
          </w:tcPr>
          <w:p>
            <w:pPr>
              <w:pStyle w:val="yTable"/>
            </w:pPr>
            <w:r>
              <w:t>MORPHERIDINE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91.</w:t>
            </w:r>
          </w:p>
        </w:tc>
        <w:tc>
          <w:tcPr>
            <w:tcW w:w="5173" w:type="dxa"/>
          </w:tcPr>
          <w:p>
            <w:pPr>
              <w:pStyle w:val="yTable"/>
            </w:pPr>
            <w:r>
              <w:t>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92.</w:t>
            </w:r>
          </w:p>
        </w:tc>
        <w:tc>
          <w:tcPr>
            <w:tcW w:w="5173" w:type="dxa"/>
          </w:tcPr>
          <w:p>
            <w:pPr>
              <w:pStyle w:val="yTable"/>
              <w:ind w:left="548" w:hanging="548"/>
            </w:pPr>
            <w:r>
              <w:t xml:space="preserve">MORPHINE DERIVATIVES (not specifically included elsewhere in this Schedule or in any Schedule in Appendix A to the </w:t>
            </w:r>
            <w:r>
              <w:rPr>
                <w:i/>
                <w:iCs/>
              </w:rPr>
              <w:t>Poisons Act 1964</w:t>
            </w:r>
            <w:r>
              <w:t>)</w:t>
            </w:r>
          </w:p>
        </w:tc>
        <w:tc>
          <w:tcPr>
            <w:tcW w:w="1080" w:type="dxa"/>
          </w:tcPr>
          <w:p>
            <w:pPr>
              <w:tabs>
                <w:tab w:val="decimal" w:pos="439"/>
              </w:tabs>
              <w:spacing w:before="40" w:after="40"/>
              <w:rPr>
                <w:sz w:val="22"/>
              </w:rPr>
            </w:pPr>
            <w:r>
              <w:rPr>
                <w:sz w:val="22"/>
              </w:rPr>
              <w:t>2.0</w:t>
            </w:r>
          </w:p>
        </w:tc>
      </w:tr>
      <w:tr>
        <w:tc>
          <w:tcPr>
            <w:tcW w:w="737" w:type="dxa"/>
          </w:tcPr>
          <w:p>
            <w:pPr>
              <w:keepNext/>
              <w:keepLines/>
              <w:spacing w:before="40" w:after="40"/>
              <w:rPr>
                <w:sz w:val="22"/>
              </w:rPr>
            </w:pPr>
            <w:r>
              <w:rPr>
                <w:sz w:val="22"/>
              </w:rPr>
              <w:t>93.</w:t>
            </w:r>
          </w:p>
        </w:tc>
        <w:tc>
          <w:tcPr>
            <w:tcW w:w="5173" w:type="dxa"/>
          </w:tcPr>
          <w:p>
            <w:pPr>
              <w:pStyle w:val="yTable"/>
              <w:ind w:left="548" w:hanging="548"/>
            </w:pPr>
            <w:r>
              <w:t>MORPHINE METHOBROMIDE AND OTHER PENTAVALENT NITROGEN MORPHINE DERIVATIVES</w:t>
            </w:r>
          </w:p>
        </w:tc>
        <w:tc>
          <w:tcPr>
            <w:tcW w:w="1080" w:type="dxa"/>
          </w:tcPr>
          <w:p>
            <w:pPr>
              <w:keepNext/>
              <w:keepLines/>
              <w:tabs>
                <w:tab w:val="decimal" w:pos="439"/>
              </w:tabs>
              <w:spacing w:before="40" w:after="40"/>
              <w:rPr>
                <w:sz w:val="22"/>
              </w:rPr>
            </w:pPr>
            <w:r>
              <w:rPr>
                <w:sz w:val="22"/>
              </w:rPr>
              <w:t>2.0</w:t>
            </w:r>
          </w:p>
        </w:tc>
      </w:tr>
      <w:tr>
        <w:tc>
          <w:tcPr>
            <w:tcW w:w="737" w:type="dxa"/>
          </w:tcPr>
          <w:p>
            <w:pPr>
              <w:spacing w:before="40" w:after="40"/>
              <w:rPr>
                <w:sz w:val="22"/>
              </w:rPr>
            </w:pPr>
            <w:r>
              <w:rPr>
                <w:sz w:val="22"/>
              </w:rPr>
              <w:t>94.</w:t>
            </w:r>
          </w:p>
        </w:tc>
        <w:tc>
          <w:tcPr>
            <w:tcW w:w="5173" w:type="dxa"/>
          </w:tcPr>
          <w:p>
            <w:pPr>
              <w:pStyle w:val="yTable"/>
            </w:pPr>
            <w:r>
              <w:t>MORPHINE</w:t>
            </w:r>
            <w:r>
              <w:noBreakHyphen/>
              <w:t>N</w:t>
            </w:r>
            <w:r>
              <w:noBreakHyphen/>
              <w:t>OXIDE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95.</w:t>
            </w:r>
          </w:p>
        </w:tc>
        <w:tc>
          <w:tcPr>
            <w:tcW w:w="5173" w:type="dxa"/>
          </w:tcPr>
          <w:p>
            <w:pPr>
              <w:pStyle w:val="yTable"/>
              <w:ind w:left="548" w:hanging="548"/>
            </w:pPr>
            <w:r>
              <w:t>MORPHINE SUBSTITUTES (not specifically included elsewhere in this Schedule)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96.</w:t>
            </w:r>
          </w:p>
        </w:tc>
        <w:tc>
          <w:tcPr>
            <w:tcW w:w="5173" w:type="dxa"/>
          </w:tcPr>
          <w:p>
            <w:pPr>
              <w:pStyle w:val="yTable"/>
            </w:pPr>
            <w:r>
              <w:t>MYROPHINE</w:t>
            </w:r>
          </w:p>
        </w:tc>
        <w:tc>
          <w:tcPr>
            <w:tcW w:w="1080" w:type="dxa"/>
          </w:tcPr>
          <w:p>
            <w:pPr>
              <w:tabs>
                <w:tab w:val="decimal" w:pos="439"/>
              </w:tabs>
              <w:spacing w:before="40" w:after="40"/>
              <w:rPr>
                <w:sz w:val="22"/>
              </w:rPr>
            </w:pPr>
            <w:r>
              <w:rPr>
                <w:sz w:val="22"/>
              </w:rPr>
              <w:t>20.0</w:t>
            </w:r>
          </w:p>
        </w:tc>
      </w:tr>
      <w:tr>
        <w:tc>
          <w:tcPr>
            <w:tcW w:w="737" w:type="dxa"/>
          </w:tcPr>
          <w:p>
            <w:pPr>
              <w:spacing w:before="40" w:after="40"/>
              <w:rPr>
                <w:sz w:val="22"/>
              </w:rPr>
            </w:pPr>
            <w:r>
              <w:rPr>
                <w:sz w:val="22"/>
              </w:rPr>
              <w:t>97.</w:t>
            </w:r>
          </w:p>
        </w:tc>
        <w:tc>
          <w:tcPr>
            <w:tcW w:w="5173" w:type="dxa"/>
          </w:tcPr>
          <w:p>
            <w:pPr>
              <w:pStyle w:val="yTable"/>
            </w:pPr>
            <w:r>
              <w:t>NEALBARBITONE</w:t>
            </w:r>
          </w:p>
        </w:tc>
        <w:tc>
          <w:tcPr>
            <w:tcW w:w="1080" w:type="dxa"/>
          </w:tcPr>
          <w:p>
            <w:pPr>
              <w:tabs>
                <w:tab w:val="decimal" w:pos="439"/>
              </w:tabs>
              <w:spacing w:before="40" w:after="40"/>
              <w:rPr>
                <w:sz w:val="22"/>
              </w:rPr>
            </w:pPr>
            <w:r>
              <w:rPr>
                <w:sz w:val="22"/>
              </w:rPr>
              <w:t>10.0</w:t>
            </w:r>
          </w:p>
        </w:tc>
      </w:tr>
      <w:tr>
        <w:tc>
          <w:tcPr>
            <w:tcW w:w="737" w:type="dxa"/>
          </w:tcPr>
          <w:p>
            <w:pPr>
              <w:keepNext/>
              <w:spacing w:before="40" w:after="40"/>
              <w:rPr>
                <w:sz w:val="22"/>
              </w:rPr>
            </w:pPr>
            <w:r>
              <w:rPr>
                <w:sz w:val="22"/>
              </w:rPr>
              <w:t>98.</w:t>
            </w:r>
          </w:p>
        </w:tc>
        <w:tc>
          <w:tcPr>
            <w:tcW w:w="5173" w:type="dxa"/>
          </w:tcPr>
          <w:p>
            <w:pPr>
              <w:pStyle w:val="yTable"/>
              <w:ind w:left="548" w:hanging="548"/>
            </w:pPr>
            <w:r>
              <w:t xml:space="preserve">NICOCODINE (except when included in Schedule 2 or 4 in Appendix A to the </w:t>
            </w:r>
            <w:r>
              <w:rPr>
                <w:i/>
                <w:iCs/>
              </w:rPr>
              <w:t>Poisons Act 1964</w:t>
            </w:r>
            <w:r>
              <w:t>)</w:t>
            </w:r>
          </w:p>
        </w:tc>
        <w:tc>
          <w:tcPr>
            <w:tcW w:w="1080" w:type="dxa"/>
          </w:tcPr>
          <w:p>
            <w:pPr>
              <w:keepNext/>
              <w:tabs>
                <w:tab w:val="decimal" w:pos="439"/>
              </w:tabs>
              <w:spacing w:before="40" w:after="40"/>
              <w:rPr>
                <w:sz w:val="22"/>
              </w:rPr>
            </w:pPr>
            <w:r>
              <w:rPr>
                <w:sz w:val="22"/>
              </w:rPr>
              <w:t>2.0</w:t>
            </w:r>
          </w:p>
        </w:tc>
      </w:tr>
      <w:tr>
        <w:trPr>
          <w:cantSplit/>
        </w:trPr>
        <w:tc>
          <w:tcPr>
            <w:tcW w:w="737" w:type="dxa"/>
          </w:tcPr>
          <w:p>
            <w:pPr>
              <w:spacing w:before="40" w:after="40"/>
              <w:rPr>
                <w:sz w:val="22"/>
              </w:rPr>
            </w:pPr>
            <w:r>
              <w:rPr>
                <w:sz w:val="22"/>
              </w:rPr>
              <w:t>99.</w:t>
            </w:r>
          </w:p>
        </w:tc>
        <w:tc>
          <w:tcPr>
            <w:tcW w:w="5173" w:type="dxa"/>
          </w:tcPr>
          <w:p>
            <w:pPr>
              <w:pStyle w:val="yTable"/>
              <w:ind w:left="548" w:hanging="548"/>
            </w:pPr>
            <w:r>
              <w:t xml:space="preserve">NICODICODINE (except when included in Schedule 2 or 4 in Appendix A to the </w:t>
            </w:r>
            <w:r>
              <w:rPr>
                <w:i/>
                <w:iCs/>
              </w:rPr>
              <w:t>Poisons</w:t>
            </w:r>
            <w:r>
              <w:t xml:space="preserve"> </w:t>
            </w:r>
            <w:r>
              <w:rPr>
                <w:i/>
                <w:iCs/>
              </w:rPr>
              <w:t>Act 1964</w:t>
            </w:r>
            <w:r>
              <w:t>)</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100.</w:t>
            </w:r>
          </w:p>
        </w:tc>
        <w:tc>
          <w:tcPr>
            <w:tcW w:w="5173" w:type="dxa"/>
          </w:tcPr>
          <w:p>
            <w:pPr>
              <w:pStyle w:val="yTable"/>
            </w:pPr>
            <w:r>
              <w:t>NICOMORPHINE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101.</w:t>
            </w:r>
          </w:p>
        </w:tc>
        <w:tc>
          <w:tcPr>
            <w:tcW w:w="5173" w:type="dxa"/>
          </w:tcPr>
          <w:p>
            <w:pPr>
              <w:pStyle w:val="yTable"/>
            </w:pPr>
            <w:r>
              <w:t>NORACYMETHADOL</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102.</w:t>
            </w:r>
          </w:p>
        </w:tc>
        <w:tc>
          <w:tcPr>
            <w:tcW w:w="5173" w:type="dxa"/>
          </w:tcPr>
          <w:p>
            <w:pPr>
              <w:pStyle w:val="yTable"/>
              <w:ind w:left="548" w:hanging="548"/>
            </w:pPr>
            <w:r>
              <w:t xml:space="preserve">NORCODEINE (except when included in Schedule 2 or 4 in Appendix A to the </w:t>
            </w:r>
            <w:r>
              <w:rPr>
                <w:i/>
                <w:iCs/>
              </w:rPr>
              <w:t>Poisons Act 1964</w:t>
            </w:r>
            <w:r>
              <w:t>)</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103.</w:t>
            </w:r>
          </w:p>
        </w:tc>
        <w:tc>
          <w:tcPr>
            <w:tcW w:w="5173" w:type="dxa"/>
          </w:tcPr>
          <w:p>
            <w:pPr>
              <w:pStyle w:val="yTable"/>
            </w:pPr>
            <w:r>
              <w:t>NORLEVORPHANOL</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104.</w:t>
            </w:r>
          </w:p>
        </w:tc>
        <w:tc>
          <w:tcPr>
            <w:tcW w:w="5173" w:type="dxa"/>
          </w:tcPr>
          <w:p>
            <w:pPr>
              <w:pStyle w:val="yTable"/>
            </w:pPr>
            <w:r>
              <w:t>NORMETHADONE</w:t>
            </w:r>
          </w:p>
        </w:tc>
        <w:tc>
          <w:tcPr>
            <w:tcW w:w="1080" w:type="dxa"/>
          </w:tcPr>
          <w:p>
            <w:pPr>
              <w:tabs>
                <w:tab w:val="decimal" w:pos="439"/>
              </w:tabs>
              <w:spacing w:before="40" w:after="40"/>
              <w:rPr>
                <w:sz w:val="22"/>
              </w:rPr>
            </w:pPr>
            <w:r>
              <w:rPr>
                <w:sz w:val="22"/>
              </w:rPr>
              <w:t>0.5</w:t>
            </w:r>
          </w:p>
        </w:tc>
      </w:tr>
      <w:tr>
        <w:tc>
          <w:tcPr>
            <w:tcW w:w="737" w:type="dxa"/>
          </w:tcPr>
          <w:p>
            <w:pPr>
              <w:spacing w:before="40" w:after="40"/>
              <w:rPr>
                <w:sz w:val="22"/>
              </w:rPr>
            </w:pPr>
            <w:r>
              <w:rPr>
                <w:sz w:val="22"/>
              </w:rPr>
              <w:t>105.</w:t>
            </w:r>
          </w:p>
        </w:tc>
        <w:tc>
          <w:tcPr>
            <w:tcW w:w="5173" w:type="dxa"/>
          </w:tcPr>
          <w:p>
            <w:pPr>
              <w:pStyle w:val="yTable"/>
            </w:pPr>
            <w:r>
              <w:t>NORMORPHINE</w:t>
            </w:r>
          </w:p>
        </w:tc>
        <w:tc>
          <w:tcPr>
            <w:tcW w:w="1080" w:type="dxa"/>
          </w:tcPr>
          <w:p>
            <w:pPr>
              <w:tabs>
                <w:tab w:val="decimal" w:pos="439"/>
              </w:tabs>
              <w:spacing w:before="40" w:after="40"/>
              <w:rPr>
                <w:sz w:val="22"/>
              </w:rPr>
            </w:pPr>
            <w:r>
              <w:rPr>
                <w:sz w:val="22"/>
              </w:rPr>
              <w:t>20.0</w:t>
            </w:r>
          </w:p>
        </w:tc>
      </w:tr>
      <w:tr>
        <w:tc>
          <w:tcPr>
            <w:tcW w:w="737" w:type="dxa"/>
          </w:tcPr>
          <w:p>
            <w:pPr>
              <w:spacing w:before="40" w:after="40"/>
              <w:rPr>
                <w:sz w:val="22"/>
              </w:rPr>
            </w:pPr>
            <w:r>
              <w:rPr>
                <w:sz w:val="22"/>
              </w:rPr>
              <w:t>106.</w:t>
            </w:r>
          </w:p>
        </w:tc>
        <w:tc>
          <w:tcPr>
            <w:tcW w:w="5173" w:type="dxa"/>
          </w:tcPr>
          <w:p>
            <w:pPr>
              <w:pStyle w:val="yTable"/>
            </w:pPr>
            <w:r>
              <w:t>NORPIPANONE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107.</w:t>
            </w:r>
          </w:p>
        </w:tc>
        <w:tc>
          <w:tcPr>
            <w:tcW w:w="5173" w:type="dxa"/>
          </w:tcPr>
          <w:p>
            <w:pPr>
              <w:pStyle w:val="yTable"/>
            </w:pPr>
            <w:r>
              <w:t>OPIUM</w:t>
            </w:r>
          </w:p>
        </w:tc>
        <w:tc>
          <w:tcPr>
            <w:tcW w:w="1080" w:type="dxa"/>
          </w:tcPr>
          <w:p>
            <w:pPr>
              <w:tabs>
                <w:tab w:val="decimal" w:pos="439"/>
              </w:tabs>
              <w:spacing w:before="40" w:after="40"/>
              <w:rPr>
                <w:sz w:val="22"/>
              </w:rPr>
            </w:pPr>
            <w:r>
              <w:rPr>
                <w:sz w:val="22"/>
              </w:rPr>
              <w:t>20.0</w:t>
            </w:r>
          </w:p>
        </w:tc>
      </w:tr>
      <w:tr>
        <w:tc>
          <w:tcPr>
            <w:tcW w:w="737" w:type="dxa"/>
          </w:tcPr>
          <w:p>
            <w:pPr>
              <w:spacing w:before="40" w:after="40"/>
              <w:rPr>
                <w:sz w:val="22"/>
              </w:rPr>
            </w:pPr>
            <w:r>
              <w:rPr>
                <w:sz w:val="22"/>
              </w:rPr>
              <w:t>108.</w:t>
            </w:r>
          </w:p>
        </w:tc>
        <w:tc>
          <w:tcPr>
            <w:tcW w:w="5173" w:type="dxa"/>
          </w:tcPr>
          <w:p>
            <w:pPr>
              <w:pStyle w:val="yTable"/>
            </w:pPr>
            <w:r>
              <w:t>OXYCODONE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109.</w:t>
            </w:r>
          </w:p>
        </w:tc>
        <w:tc>
          <w:tcPr>
            <w:tcW w:w="5173" w:type="dxa"/>
          </w:tcPr>
          <w:p>
            <w:pPr>
              <w:pStyle w:val="yTable"/>
            </w:pPr>
            <w:r>
              <w:t>OXYMORPHONE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110.</w:t>
            </w:r>
          </w:p>
        </w:tc>
        <w:tc>
          <w:tcPr>
            <w:tcW w:w="5173" w:type="dxa"/>
          </w:tcPr>
          <w:p>
            <w:pPr>
              <w:pStyle w:val="yTable"/>
            </w:pPr>
            <w:r>
              <w:t>PENTAZOCINE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111.</w:t>
            </w:r>
          </w:p>
        </w:tc>
        <w:tc>
          <w:tcPr>
            <w:tcW w:w="5173" w:type="dxa"/>
          </w:tcPr>
          <w:p>
            <w:pPr>
              <w:pStyle w:val="yTable"/>
            </w:pPr>
            <w:r>
              <w:t>PENTOBARBITONE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112.</w:t>
            </w:r>
          </w:p>
        </w:tc>
        <w:tc>
          <w:tcPr>
            <w:tcW w:w="5173" w:type="dxa"/>
          </w:tcPr>
          <w:p>
            <w:pPr>
              <w:pStyle w:val="yTable"/>
            </w:pPr>
            <w:r>
              <w:t>PETHIDINE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113.</w:t>
            </w:r>
          </w:p>
        </w:tc>
        <w:tc>
          <w:tcPr>
            <w:tcW w:w="5173" w:type="dxa"/>
          </w:tcPr>
          <w:p>
            <w:pPr>
              <w:pStyle w:val="yTable"/>
            </w:pPr>
            <w:r>
              <w:t>PETHIDINE</w:t>
            </w:r>
            <w:r>
              <w:noBreakHyphen/>
              <w:t>INTERMEDIATE A</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114.</w:t>
            </w:r>
          </w:p>
        </w:tc>
        <w:tc>
          <w:tcPr>
            <w:tcW w:w="5173" w:type="dxa"/>
          </w:tcPr>
          <w:p>
            <w:pPr>
              <w:pStyle w:val="yTable"/>
            </w:pPr>
            <w:r>
              <w:t>PETHIDINE</w:t>
            </w:r>
            <w:r>
              <w:noBreakHyphen/>
              <w:t>INTERMEDIATE B</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115.</w:t>
            </w:r>
          </w:p>
        </w:tc>
        <w:tc>
          <w:tcPr>
            <w:tcW w:w="5173" w:type="dxa"/>
          </w:tcPr>
          <w:p>
            <w:pPr>
              <w:pStyle w:val="yTable"/>
            </w:pPr>
            <w:r>
              <w:t>PETHIDINE</w:t>
            </w:r>
            <w:r>
              <w:noBreakHyphen/>
              <w:t>INTERMEDIATE C</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116.</w:t>
            </w:r>
          </w:p>
        </w:tc>
        <w:tc>
          <w:tcPr>
            <w:tcW w:w="5173" w:type="dxa"/>
          </w:tcPr>
          <w:p>
            <w:pPr>
              <w:pStyle w:val="yTable"/>
            </w:pPr>
            <w:r>
              <w:t>PHENADOXONE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117.</w:t>
            </w:r>
          </w:p>
        </w:tc>
        <w:tc>
          <w:tcPr>
            <w:tcW w:w="5173" w:type="dxa"/>
          </w:tcPr>
          <w:p>
            <w:pPr>
              <w:pStyle w:val="yTable"/>
            </w:pPr>
            <w:r>
              <w:t>PHENAMPROMIDE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118.</w:t>
            </w:r>
          </w:p>
        </w:tc>
        <w:tc>
          <w:tcPr>
            <w:tcW w:w="5173" w:type="dxa"/>
          </w:tcPr>
          <w:p>
            <w:pPr>
              <w:pStyle w:val="yTable"/>
            </w:pPr>
            <w:r>
              <w:t>PHENAZOCINE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119.</w:t>
            </w:r>
          </w:p>
        </w:tc>
        <w:tc>
          <w:tcPr>
            <w:tcW w:w="5173" w:type="dxa"/>
          </w:tcPr>
          <w:p>
            <w:pPr>
              <w:pStyle w:val="yTable"/>
            </w:pPr>
            <w:r>
              <w:t>PHENCYCLIDINE</w:t>
            </w:r>
          </w:p>
        </w:tc>
        <w:tc>
          <w:tcPr>
            <w:tcW w:w="1080" w:type="dxa"/>
          </w:tcPr>
          <w:p>
            <w:pPr>
              <w:tabs>
                <w:tab w:val="decimal" w:pos="439"/>
              </w:tabs>
              <w:spacing w:before="40" w:after="40"/>
              <w:rPr>
                <w:sz w:val="22"/>
              </w:rPr>
            </w:pPr>
            <w:r>
              <w:rPr>
                <w:sz w:val="22"/>
              </w:rPr>
              <w:t>0.002</w:t>
            </w:r>
          </w:p>
        </w:tc>
      </w:tr>
      <w:tr>
        <w:tc>
          <w:tcPr>
            <w:tcW w:w="737" w:type="dxa"/>
          </w:tcPr>
          <w:p>
            <w:pPr>
              <w:spacing w:before="40" w:after="40"/>
              <w:rPr>
                <w:sz w:val="22"/>
              </w:rPr>
            </w:pPr>
            <w:r>
              <w:rPr>
                <w:sz w:val="22"/>
              </w:rPr>
              <w:t>120.</w:t>
            </w:r>
          </w:p>
        </w:tc>
        <w:tc>
          <w:tcPr>
            <w:tcW w:w="5173" w:type="dxa"/>
          </w:tcPr>
          <w:p>
            <w:pPr>
              <w:pStyle w:val="yTable"/>
            </w:pPr>
            <w:r>
              <w:t>PHENMETRAZINE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121.</w:t>
            </w:r>
          </w:p>
        </w:tc>
        <w:tc>
          <w:tcPr>
            <w:tcW w:w="5173" w:type="dxa"/>
          </w:tcPr>
          <w:p>
            <w:pPr>
              <w:pStyle w:val="yTable"/>
            </w:pPr>
            <w:r>
              <w:t>PHENOBARBITONE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122.</w:t>
            </w:r>
          </w:p>
        </w:tc>
        <w:tc>
          <w:tcPr>
            <w:tcW w:w="5173" w:type="dxa"/>
          </w:tcPr>
          <w:p>
            <w:pPr>
              <w:pStyle w:val="yTable"/>
            </w:pPr>
            <w:r>
              <w:t>PHENOMORPHAN</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123.</w:t>
            </w:r>
          </w:p>
        </w:tc>
        <w:tc>
          <w:tcPr>
            <w:tcW w:w="5173" w:type="dxa"/>
          </w:tcPr>
          <w:p>
            <w:pPr>
              <w:pStyle w:val="yTable"/>
            </w:pPr>
            <w:r>
              <w:t>PHENOPERIDINE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124.</w:t>
            </w:r>
          </w:p>
        </w:tc>
        <w:tc>
          <w:tcPr>
            <w:tcW w:w="5173" w:type="dxa"/>
          </w:tcPr>
          <w:p>
            <w:pPr>
              <w:pStyle w:val="yTable"/>
            </w:pPr>
            <w:r>
              <w:t>PHENYLMETHYLBARBITURIC ACID</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125.</w:t>
            </w:r>
          </w:p>
        </w:tc>
        <w:tc>
          <w:tcPr>
            <w:tcW w:w="5173" w:type="dxa"/>
          </w:tcPr>
          <w:p>
            <w:pPr>
              <w:pStyle w:val="yTable"/>
              <w:ind w:left="548" w:hanging="548"/>
            </w:pPr>
            <w:r>
              <w:t xml:space="preserve">PHOLCODINE (except when included in Schedule 2 or 4 in Appendix A to the </w:t>
            </w:r>
            <w:r>
              <w:rPr>
                <w:i/>
                <w:iCs/>
              </w:rPr>
              <w:t>Poisons Act 1964</w:t>
            </w:r>
            <w:r>
              <w:t>)</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126.</w:t>
            </w:r>
          </w:p>
        </w:tc>
        <w:tc>
          <w:tcPr>
            <w:tcW w:w="5173" w:type="dxa"/>
          </w:tcPr>
          <w:p>
            <w:pPr>
              <w:pStyle w:val="yTable"/>
            </w:pPr>
            <w:r>
              <w:t>PIMINODINE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127.</w:t>
            </w:r>
          </w:p>
        </w:tc>
        <w:tc>
          <w:tcPr>
            <w:tcW w:w="5173" w:type="dxa"/>
          </w:tcPr>
          <w:p>
            <w:pPr>
              <w:pStyle w:val="yTable"/>
            </w:pPr>
            <w:r>
              <w:t>PIRITRAMIDE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128.</w:t>
            </w:r>
          </w:p>
        </w:tc>
        <w:tc>
          <w:tcPr>
            <w:tcW w:w="5173" w:type="dxa"/>
          </w:tcPr>
          <w:p>
            <w:pPr>
              <w:pStyle w:val="yTable"/>
            </w:pPr>
            <w:r>
              <w:t>PROHEPTAZINE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129.</w:t>
            </w:r>
          </w:p>
        </w:tc>
        <w:tc>
          <w:tcPr>
            <w:tcW w:w="5173" w:type="dxa"/>
          </w:tcPr>
          <w:p>
            <w:pPr>
              <w:pStyle w:val="yTable"/>
            </w:pPr>
            <w:r>
              <w:t>PROPERIDINE</w:t>
            </w:r>
          </w:p>
        </w:tc>
        <w:tc>
          <w:tcPr>
            <w:tcW w:w="1080" w:type="dxa"/>
          </w:tcPr>
          <w:p>
            <w:pPr>
              <w:tabs>
                <w:tab w:val="decimal" w:pos="439"/>
              </w:tabs>
              <w:spacing w:before="40" w:after="40"/>
              <w:rPr>
                <w:sz w:val="22"/>
              </w:rPr>
            </w:pPr>
            <w:r>
              <w:rPr>
                <w:sz w:val="22"/>
              </w:rPr>
              <w:t>25.0</w:t>
            </w:r>
          </w:p>
        </w:tc>
      </w:tr>
      <w:tr>
        <w:tc>
          <w:tcPr>
            <w:tcW w:w="737" w:type="dxa"/>
          </w:tcPr>
          <w:p>
            <w:pPr>
              <w:spacing w:before="40" w:after="40"/>
              <w:rPr>
                <w:sz w:val="22"/>
              </w:rPr>
            </w:pPr>
            <w:r>
              <w:rPr>
                <w:sz w:val="22"/>
              </w:rPr>
              <w:t>130.</w:t>
            </w:r>
          </w:p>
        </w:tc>
        <w:tc>
          <w:tcPr>
            <w:tcW w:w="5173" w:type="dxa"/>
          </w:tcPr>
          <w:p>
            <w:pPr>
              <w:pStyle w:val="yTable"/>
            </w:pPr>
            <w:r>
              <w:t>PROPIRAM</w:t>
            </w:r>
          </w:p>
        </w:tc>
        <w:tc>
          <w:tcPr>
            <w:tcW w:w="1080" w:type="dxa"/>
          </w:tcPr>
          <w:p>
            <w:pPr>
              <w:tabs>
                <w:tab w:val="decimal" w:pos="439"/>
              </w:tabs>
              <w:spacing w:before="40" w:after="40"/>
              <w:rPr>
                <w:sz w:val="22"/>
              </w:rPr>
            </w:pPr>
            <w:r>
              <w:rPr>
                <w:sz w:val="22"/>
              </w:rPr>
              <w:t>4.0</w:t>
            </w:r>
          </w:p>
        </w:tc>
      </w:tr>
      <w:tr>
        <w:tc>
          <w:tcPr>
            <w:tcW w:w="737" w:type="dxa"/>
          </w:tcPr>
          <w:p>
            <w:pPr>
              <w:spacing w:before="40" w:after="40"/>
              <w:rPr>
                <w:sz w:val="22"/>
              </w:rPr>
            </w:pPr>
            <w:r>
              <w:rPr>
                <w:sz w:val="22"/>
              </w:rPr>
              <w:t>131.</w:t>
            </w:r>
          </w:p>
        </w:tc>
        <w:tc>
          <w:tcPr>
            <w:tcW w:w="5173" w:type="dxa"/>
          </w:tcPr>
          <w:p>
            <w:pPr>
              <w:pStyle w:val="yTable"/>
            </w:pPr>
            <w:r>
              <w:t>PSILOCIN</w:t>
            </w:r>
          </w:p>
        </w:tc>
        <w:tc>
          <w:tcPr>
            <w:tcW w:w="1080" w:type="dxa"/>
          </w:tcPr>
          <w:p>
            <w:pPr>
              <w:tabs>
                <w:tab w:val="decimal" w:pos="439"/>
              </w:tabs>
              <w:spacing w:before="40" w:after="40"/>
              <w:rPr>
                <w:sz w:val="22"/>
              </w:rPr>
            </w:pPr>
            <w:r>
              <w:rPr>
                <w:sz w:val="22"/>
              </w:rPr>
              <w:t>0.1</w:t>
            </w:r>
          </w:p>
        </w:tc>
      </w:tr>
      <w:tr>
        <w:tc>
          <w:tcPr>
            <w:tcW w:w="737" w:type="dxa"/>
          </w:tcPr>
          <w:p>
            <w:pPr>
              <w:spacing w:before="40" w:after="40"/>
              <w:rPr>
                <w:sz w:val="22"/>
              </w:rPr>
            </w:pPr>
            <w:r>
              <w:rPr>
                <w:sz w:val="22"/>
              </w:rPr>
              <w:t>132.</w:t>
            </w:r>
          </w:p>
        </w:tc>
        <w:tc>
          <w:tcPr>
            <w:tcW w:w="5173" w:type="dxa"/>
          </w:tcPr>
          <w:p>
            <w:pPr>
              <w:pStyle w:val="yTable"/>
            </w:pPr>
            <w:r>
              <w:t>PSILOCYBIN</w:t>
            </w:r>
          </w:p>
        </w:tc>
        <w:tc>
          <w:tcPr>
            <w:tcW w:w="1080" w:type="dxa"/>
          </w:tcPr>
          <w:p>
            <w:pPr>
              <w:tabs>
                <w:tab w:val="decimal" w:pos="439"/>
              </w:tabs>
              <w:spacing w:before="40" w:after="40"/>
              <w:rPr>
                <w:sz w:val="22"/>
              </w:rPr>
            </w:pPr>
            <w:r>
              <w:rPr>
                <w:sz w:val="22"/>
              </w:rPr>
              <w:t>0.1</w:t>
            </w:r>
          </w:p>
        </w:tc>
      </w:tr>
      <w:tr>
        <w:tc>
          <w:tcPr>
            <w:tcW w:w="737" w:type="dxa"/>
          </w:tcPr>
          <w:p>
            <w:pPr>
              <w:spacing w:before="40" w:after="40"/>
              <w:rPr>
                <w:sz w:val="22"/>
              </w:rPr>
            </w:pPr>
            <w:r>
              <w:rPr>
                <w:sz w:val="22"/>
              </w:rPr>
              <w:t>133.</w:t>
            </w:r>
          </w:p>
        </w:tc>
        <w:tc>
          <w:tcPr>
            <w:tcW w:w="5173" w:type="dxa"/>
          </w:tcPr>
          <w:p>
            <w:pPr>
              <w:pStyle w:val="yTable"/>
              <w:ind w:left="548" w:hanging="548"/>
            </w:pPr>
            <w:r>
              <w:t>PSYCHOTOMIMETIC SUBSTANCES (structurally derived from methoxyphenethylamine)</w:t>
            </w:r>
          </w:p>
        </w:tc>
        <w:tc>
          <w:tcPr>
            <w:tcW w:w="1080" w:type="dxa"/>
          </w:tcPr>
          <w:p>
            <w:pPr>
              <w:tabs>
                <w:tab w:val="decimal" w:pos="439"/>
              </w:tabs>
              <w:spacing w:before="40" w:after="40"/>
              <w:rPr>
                <w:sz w:val="22"/>
              </w:rPr>
            </w:pPr>
            <w:r>
              <w:rPr>
                <w:sz w:val="22"/>
              </w:rPr>
              <w:t>0.05</w:t>
            </w:r>
          </w:p>
        </w:tc>
      </w:tr>
      <w:tr>
        <w:tc>
          <w:tcPr>
            <w:tcW w:w="737" w:type="dxa"/>
          </w:tcPr>
          <w:p>
            <w:pPr>
              <w:spacing w:before="40" w:after="40"/>
              <w:rPr>
                <w:sz w:val="22"/>
              </w:rPr>
            </w:pPr>
            <w:r>
              <w:rPr>
                <w:sz w:val="22"/>
              </w:rPr>
              <w:t>134.</w:t>
            </w:r>
          </w:p>
        </w:tc>
        <w:tc>
          <w:tcPr>
            <w:tcW w:w="5173" w:type="dxa"/>
          </w:tcPr>
          <w:p>
            <w:pPr>
              <w:pStyle w:val="yTable"/>
            </w:pPr>
            <w:r>
              <w:t>QUINALBARBITONE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135.</w:t>
            </w:r>
          </w:p>
        </w:tc>
        <w:tc>
          <w:tcPr>
            <w:tcW w:w="5173" w:type="dxa"/>
          </w:tcPr>
          <w:p>
            <w:pPr>
              <w:pStyle w:val="yTable"/>
            </w:pPr>
            <w:r>
              <w:t>RACEMETHORPHAN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136.</w:t>
            </w:r>
          </w:p>
        </w:tc>
        <w:tc>
          <w:tcPr>
            <w:tcW w:w="5173" w:type="dxa"/>
          </w:tcPr>
          <w:p>
            <w:pPr>
              <w:pStyle w:val="yTable"/>
            </w:pPr>
            <w:r>
              <w:t>RACEMORAMIDE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137.</w:t>
            </w:r>
          </w:p>
        </w:tc>
        <w:tc>
          <w:tcPr>
            <w:tcW w:w="5173" w:type="dxa"/>
          </w:tcPr>
          <w:p>
            <w:pPr>
              <w:pStyle w:val="yTable"/>
            </w:pPr>
            <w:r>
              <w:t>RACEMORPHAN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138.</w:t>
            </w:r>
          </w:p>
        </w:tc>
        <w:tc>
          <w:tcPr>
            <w:tcW w:w="5173" w:type="dxa"/>
          </w:tcPr>
          <w:p>
            <w:pPr>
              <w:pStyle w:val="yTable"/>
            </w:pPr>
            <w:r>
              <w:t>SECBUTOBARBITONE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139.</w:t>
            </w:r>
          </w:p>
        </w:tc>
        <w:tc>
          <w:tcPr>
            <w:tcW w:w="5173" w:type="dxa"/>
          </w:tcPr>
          <w:p>
            <w:pPr>
              <w:pStyle w:val="yTable"/>
            </w:pPr>
            <w:r>
              <w:t>TALBUTAL</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140.</w:t>
            </w:r>
          </w:p>
        </w:tc>
        <w:tc>
          <w:tcPr>
            <w:tcW w:w="5173" w:type="dxa"/>
          </w:tcPr>
          <w:p>
            <w:pPr>
              <w:pStyle w:val="yTable"/>
            </w:pPr>
            <w:r>
              <w:t>TETRAHYDROCANNABINOLS</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141.</w:t>
            </w:r>
          </w:p>
        </w:tc>
        <w:tc>
          <w:tcPr>
            <w:tcW w:w="5173" w:type="dxa"/>
          </w:tcPr>
          <w:p>
            <w:pPr>
              <w:pStyle w:val="yTable"/>
            </w:pPr>
            <w:r>
              <w:t>THEBACON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142.</w:t>
            </w:r>
          </w:p>
        </w:tc>
        <w:tc>
          <w:tcPr>
            <w:tcW w:w="5173" w:type="dxa"/>
          </w:tcPr>
          <w:p>
            <w:pPr>
              <w:pStyle w:val="yTable"/>
            </w:pPr>
            <w:r>
              <w:t>THEBAINE</w:t>
            </w:r>
          </w:p>
        </w:tc>
        <w:tc>
          <w:tcPr>
            <w:tcW w:w="1080" w:type="dxa"/>
          </w:tcPr>
          <w:p>
            <w:pPr>
              <w:tabs>
                <w:tab w:val="decimal" w:pos="439"/>
              </w:tabs>
              <w:spacing w:before="40" w:after="40"/>
              <w:rPr>
                <w:sz w:val="22"/>
              </w:rPr>
            </w:pPr>
            <w:r>
              <w:rPr>
                <w:sz w:val="22"/>
              </w:rPr>
              <w:t>10.0</w:t>
            </w:r>
          </w:p>
        </w:tc>
      </w:tr>
      <w:tr>
        <w:tc>
          <w:tcPr>
            <w:tcW w:w="737" w:type="dxa"/>
          </w:tcPr>
          <w:p>
            <w:pPr>
              <w:keepNext/>
              <w:spacing w:before="40" w:after="40"/>
              <w:rPr>
                <w:sz w:val="22"/>
              </w:rPr>
            </w:pPr>
            <w:r>
              <w:rPr>
                <w:sz w:val="22"/>
              </w:rPr>
              <w:t>143.</w:t>
            </w:r>
          </w:p>
        </w:tc>
        <w:tc>
          <w:tcPr>
            <w:tcW w:w="5173" w:type="dxa"/>
          </w:tcPr>
          <w:p>
            <w:pPr>
              <w:pStyle w:val="yTable"/>
            </w:pPr>
            <w:r>
              <w:t>TRIMEPERIDINE</w:t>
            </w:r>
          </w:p>
        </w:tc>
        <w:tc>
          <w:tcPr>
            <w:tcW w:w="1080" w:type="dxa"/>
          </w:tcPr>
          <w:p>
            <w:pPr>
              <w:keepNext/>
              <w:tabs>
                <w:tab w:val="decimal" w:pos="439"/>
              </w:tabs>
              <w:spacing w:before="40" w:after="40"/>
              <w:rPr>
                <w:sz w:val="22"/>
              </w:rPr>
            </w:pPr>
            <w:r>
              <w:rPr>
                <w:sz w:val="22"/>
              </w:rPr>
              <w:t>10.0</w:t>
            </w:r>
          </w:p>
        </w:tc>
      </w:tr>
      <w:tr>
        <w:tc>
          <w:tcPr>
            <w:tcW w:w="737" w:type="dxa"/>
          </w:tcPr>
          <w:p>
            <w:pPr>
              <w:keepNext/>
              <w:spacing w:before="40" w:after="40"/>
              <w:rPr>
                <w:sz w:val="22"/>
              </w:rPr>
            </w:pPr>
            <w:r>
              <w:rPr>
                <w:sz w:val="22"/>
              </w:rPr>
              <w:t>144.</w:t>
            </w:r>
          </w:p>
        </w:tc>
        <w:tc>
          <w:tcPr>
            <w:tcW w:w="5173" w:type="dxa"/>
          </w:tcPr>
          <w:p>
            <w:pPr>
              <w:pStyle w:val="yTable"/>
            </w:pPr>
            <w:r>
              <w:t>VINBARBITONE</w:t>
            </w:r>
          </w:p>
        </w:tc>
        <w:tc>
          <w:tcPr>
            <w:tcW w:w="1080" w:type="dxa"/>
          </w:tcPr>
          <w:p>
            <w:pPr>
              <w:keepNext/>
              <w:tabs>
                <w:tab w:val="decimal" w:pos="439"/>
              </w:tabs>
              <w:spacing w:before="40" w:after="40"/>
              <w:rPr>
                <w:sz w:val="22"/>
              </w:rPr>
            </w:pPr>
            <w:r>
              <w:rPr>
                <w:sz w:val="22"/>
              </w:rPr>
              <w:t>10.0</w:t>
            </w:r>
          </w:p>
        </w:tc>
      </w:tr>
    </w:tbl>
    <w:p>
      <w:pPr>
        <w:pStyle w:val="yFootnotesection"/>
      </w:pPr>
      <w:r>
        <w:tab/>
        <w:t>[Schedule V amended by No. 48 of 1995 s. 43; amended in Gazette 30 Nov 1990 p. 5937; 29 Nov 1991 p. 6041.]</w:t>
      </w:r>
    </w:p>
    <w:p>
      <w:pPr>
        <w:pStyle w:val="yScheduleHeading"/>
      </w:pPr>
      <w:bookmarkStart w:id="676" w:name="_Toc535053914"/>
      <w:bookmarkStart w:id="677" w:name="_Toc109615288"/>
      <w:bookmarkStart w:id="678" w:name="_Toc139344582"/>
      <w:bookmarkStart w:id="679" w:name="_Toc139699346"/>
      <w:bookmarkStart w:id="680" w:name="_Toc147051379"/>
      <w:bookmarkStart w:id="681" w:name="_Toc147118834"/>
      <w:bookmarkStart w:id="682" w:name="_Toc148236155"/>
      <w:bookmarkStart w:id="683" w:name="_Toc158705029"/>
      <w:bookmarkStart w:id="684" w:name="_Toc165369993"/>
      <w:bookmarkStart w:id="685" w:name="_Toc177873335"/>
      <w:bookmarkStart w:id="686" w:name="_Toc177873461"/>
      <w:bookmarkStart w:id="687" w:name="_Toc184707418"/>
      <w:bookmarkStart w:id="688" w:name="_Toc189464749"/>
      <w:bookmarkStart w:id="689" w:name="_Toc190249313"/>
      <w:bookmarkStart w:id="690" w:name="_Toc191703207"/>
      <w:bookmarkStart w:id="691" w:name="_Toc193692124"/>
      <w:bookmarkStart w:id="692" w:name="_Toc199817306"/>
      <w:bookmarkStart w:id="693" w:name="_Toc215543779"/>
      <w:bookmarkStart w:id="694" w:name="_Toc215544039"/>
      <w:bookmarkStart w:id="695" w:name="_Toc248029076"/>
      <w:bookmarkStart w:id="696" w:name="_Toc256085125"/>
      <w:bookmarkStart w:id="697" w:name="_Toc256092190"/>
      <w:bookmarkStart w:id="698" w:name="_Toc268600371"/>
      <w:bookmarkStart w:id="699" w:name="_Toc272237500"/>
      <w:bookmarkStart w:id="700" w:name="_Toc275253579"/>
      <w:bookmarkStart w:id="701" w:name="_Toc283287504"/>
      <w:bookmarkStart w:id="702" w:name="_Toc290558490"/>
      <w:bookmarkStart w:id="703" w:name="_Toc290558566"/>
      <w:r>
        <w:rPr>
          <w:rStyle w:val="CharSchNo"/>
        </w:rPr>
        <w:t>Schedule VI</w:t>
      </w:r>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r>
        <w:rPr>
          <w:rStyle w:val="CharSDivNo"/>
        </w:rPr>
        <w:t> </w:t>
      </w:r>
      <w:r>
        <w:t>—</w:t>
      </w:r>
      <w:r>
        <w:rPr>
          <w:rStyle w:val="CharSDivText"/>
        </w:rPr>
        <w:t> </w:t>
      </w:r>
      <w:r>
        <w:rPr>
          <w:rStyle w:val="CharSchText"/>
        </w:rPr>
        <w:t>Numbers of prohibited plants giving rise to presumption of intention to sell or supply same or prohibited drugs obtainable from same</w:t>
      </w:r>
      <w:bookmarkEnd w:id="698"/>
      <w:bookmarkEnd w:id="699"/>
      <w:bookmarkEnd w:id="700"/>
      <w:bookmarkEnd w:id="701"/>
      <w:bookmarkEnd w:id="702"/>
      <w:bookmarkEnd w:id="703"/>
    </w:p>
    <w:p>
      <w:pPr>
        <w:pStyle w:val="yShoulderClause"/>
        <w:rPr>
          <w:snapToGrid w:val="0"/>
        </w:rPr>
      </w:pPr>
      <w:r>
        <w:rPr>
          <w:snapToGrid w:val="0"/>
        </w:rPr>
        <w:t>[s. 11(b)]</w:t>
      </w:r>
    </w:p>
    <w:p>
      <w:pPr>
        <w:pStyle w:val="yFootnoteheading"/>
      </w:pPr>
      <w:r>
        <w:tab/>
        <w:t>[Heading amended by No. 19 of 2010 s. 4.]</w:t>
      </w:r>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NAm"/>
              <w:jc w:val="center"/>
              <w:rPr>
                <w:i/>
                <w:iCs/>
              </w:rPr>
            </w:pPr>
            <w:r>
              <w:rPr>
                <w:i/>
                <w:iCs/>
              </w:rPr>
              <w:t>Item</w:t>
            </w:r>
          </w:p>
        </w:tc>
        <w:tc>
          <w:tcPr>
            <w:tcW w:w="4381"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1379" w:type="dxa"/>
          </w:tcPr>
          <w:p>
            <w:pPr>
              <w:pStyle w:val="yTableNAm"/>
              <w:jc w:val="center"/>
            </w:pPr>
            <w:r>
              <w:t>1.</w:t>
            </w:r>
          </w:p>
        </w:tc>
        <w:tc>
          <w:tcPr>
            <w:tcW w:w="4381" w:type="dxa"/>
          </w:tcPr>
          <w:p>
            <w:pPr>
              <w:pStyle w:val="yTableNAm"/>
            </w:pPr>
            <w:r>
              <w:t>Papaver somniferum</w:t>
            </w:r>
          </w:p>
        </w:tc>
        <w:tc>
          <w:tcPr>
            <w:tcW w:w="1350" w:type="dxa"/>
          </w:tcPr>
          <w:p>
            <w:pPr>
              <w:pStyle w:val="yTableNAm"/>
              <w:jc w:val="center"/>
            </w:pPr>
            <w:r>
              <w:t>25</w:t>
            </w:r>
          </w:p>
        </w:tc>
      </w:tr>
      <w:tr>
        <w:tc>
          <w:tcPr>
            <w:tcW w:w="1379" w:type="dxa"/>
          </w:tcPr>
          <w:p>
            <w:pPr>
              <w:pStyle w:val="yTableNAm"/>
              <w:jc w:val="center"/>
            </w:pPr>
            <w:r>
              <w:t>2.</w:t>
            </w:r>
          </w:p>
        </w:tc>
        <w:tc>
          <w:tcPr>
            <w:tcW w:w="4381" w:type="dxa"/>
          </w:tcPr>
          <w:p>
            <w:pPr>
              <w:pStyle w:val="yTableNAm"/>
            </w:pPr>
            <w:r>
              <w:t>Papaver bracteatum</w:t>
            </w:r>
          </w:p>
        </w:tc>
        <w:tc>
          <w:tcPr>
            <w:tcW w:w="1350" w:type="dxa"/>
          </w:tcPr>
          <w:p>
            <w:pPr>
              <w:pStyle w:val="yTableNAm"/>
              <w:jc w:val="center"/>
            </w:pPr>
            <w:r>
              <w:t>25</w:t>
            </w:r>
          </w:p>
        </w:tc>
      </w:tr>
      <w:tr>
        <w:tc>
          <w:tcPr>
            <w:tcW w:w="1379" w:type="dxa"/>
          </w:tcPr>
          <w:p>
            <w:pPr>
              <w:pStyle w:val="yTableNAm"/>
              <w:jc w:val="center"/>
            </w:pPr>
            <w:r>
              <w:t>3.</w:t>
            </w:r>
          </w:p>
        </w:tc>
        <w:tc>
          <w:tcPr>
            <w:tcW w:w="4381" w:type="dxa"/>
          </w:tcPr>
          <w:p>
            <w:pPr>
              <w:pStyle w:val="yTableNAm"/>
            </w:pPr>
            <w:r>
              <w:t>Cannabis</w:t>
            </w:r>
          </w:p>
        </w:tc>
        <w:tc>
          <w:tcPr>
            <w:tcW w:w="1350" w:type="dxa"/>
          </w:tcPr>
          <w:p>
            <w:pPr>
              <w:pStyle w:val="yTableNAm"/>
              <w:jc w:val="center"/>
            </w:pPr>
            <w:r>
              <w:t>10</w:t>
            </w:r>
          </w:p>
        </w:tc>
      </w:tr>
    </w:tbl>
    <w:p>
      <w:pPr>
        <w:pStyle w:val="yFootnotesection"/>
      </w:pPr>
      <w:bookmarkStart w:id="704" w:name="_Toc535053915"/>
      <w:r>
        <w:tab/>
        <w:t>[Schedule VI amended by No. 52 of 2003 s. 32.]</w:t>
      </w:r>
    </w:p>
    <w:p>
      <w:pPr>
        <w:pStyle w:val="yScheduleHeading"/>
      </w:pPr>
      <w:bookmarkStart w:id="705" w:name="_Toc109615289"/>
      <w:bookmarkStart w:id="706" w:name="_Toc139344583"/>
      <w:bookmarkStart w:id="707" w:name="_Toc139699347"/>
      <w:bookmarkStart w:id="708" w:name="_Toc147051380"/>
      <w:bookmarkStart w:id="709" w:name="_Toc147118835"/>
      <w:bookmarkStart w:id="710" w:name="_Toc148236156"/>
      <w:bookmarkStart w:id="711" w:name="_Toc158705030"/>
      <w:bookmarkStart w:id="712" w:name="_Toc165369995"/>
      <w:bookmarkStart w:id="713" w:name="_Toc177873337"/>
      <w:bookmarkStart w:id="714" w:name="_Toc177873463"/>
      <w:bookmarkStart w:id="715" w:name="_Toc184707420"/>
      <w:bookmarkStart w:id="716" w:name="_Toc189464751"/>
      <w:bookmarkStart w:id="717" w:name="_Toc190249315"/>
      <w:bookmarkStart w:id="718" w:name="_Toc191703209"/>
      <w:bookmarkStart w:id="719" w:name="_Toc193692126"/>
      <w:bookmarkStart w:id="720" w:name="_Toc199817308"/>
      <w:bookmarkStart w:id="721" w:name="_Toc215543781"/>
      <w:bookmarkStart w:id="722" w:name="_Toc215544041"/>
      <w:bookmarkStart w:id="723" w:name="_Toc248029078"/>
      <w:bookmarkStart w:id="724" w:name="_Toc256085127"/>
      <w:bookmarkStart w:id="725" w:name="_Toc256092192"/>
      <w:bookmarkStart w:id="726" w:name="_Toc268600372"/>
      <w:bookmarkStart w:id="727" w:name="_Toc272237501"/>
      <w:bookmarkStart w:id="728" w:name="_Toc275253580"/>
      <w:bookmarkStart w:id="729" w:name="_Toc283287505"/>
      <w:bookmarkStart w:id="730" w:name="_Toc290558491"/>
      <w:bookmarkStart w:id="731" w:name="_Toc290558567"/>
      <w:r>
        <w:rPr>
          <w:rStyle w:val="CharSchNo"/>
        </w:rPr>
        <w:t>Schedule VII</w:t>
      </w:r>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r>
        <w:rPr>
          <w:rStyle w:val="CharSDivNo"/>
        </w:rPr>
        <w:t> </w:t>
      </w:r>
      <w:r>
        <w:t>—</w:t>
      </w:r>
      <w:r>
        <w:rPr>
          <w:rStyle w:val="CharSDivText"/>
        </w:rPr>
        <w:t> </w:t>
      </w:r>
      <w:r>
        <w:rPr>
          <w:rStyle w:val="CharSchText"/>
          <w:bCs/>
        </w:rPr>
        <w:t>Amounts of prohibited drugs for purposes of drug trafficking</w:t>
      </w:r>
      <w:bookmarkEnd w:id="726"/>
      <w:bookmarkEnd w:id="727"/>
      <w:bookmarkEnd w:id="728"/>
      <w:bookmarkEnd w:id="729"/>
      <w:bookmarkEnd w:id="730"/>
      <w:bookmarkEnd w:id="731"/>
    </w:p>
    <w:p>
      <w:pPr>
        <w:pStyle w:val="yShoulderClause"/>
        <w:rPr>
          <w:snapToGrid w:val="0"/>
        </w:rPr>
      </w:pPr>
      <w:r>
        <w:rPr>
          <w:snapToGrid w:val="0"/>
        </w:rPr>
        <w:t>[s. 32A(1)(b)(i)]</w:t>
      </w:r>
    </w:p>
    <w:p>
      <w:pPr>
        <w:pStyle w:val="yFootnoteheading"/>
      </w:pPr>
      <w:r>
        <w:tab/>
        <w:t>[Heading amended by No. 19 of 2010 s. 4.]</w:t>
      </w:r>
    </w:p>
    <w:tbl>
      <w:tblPr>
        <w:tblW w:w="0" w:type="auto"/>
        <w:tblInd w:w="322" w:type="dxa"/>
        <w:tblLayout w:type="fixed"/>
        <w:tblCellMar>
          <w:left w:w="142" w:type="dxa"/>
          <w:right w:w="142" w:type="dxa"/>
        </w:tblCellMar>
        <w:tblLook w:val="0000" w:firstRow="0" w:lastRow="0" w:firstColumn="0" w:lastColumn="0" w:noHBand="0" w:noVBand="0"/>
      </w:tblPr>
      <w:tblGrid>
        <w:gridCol w:w="810"/>
        <w:gridCol w:w="4950"/>
        <w:gridCol w:w="1350"/>
      </w:tblGrid>
      <w:tr>
        <w:tc>
          <w:tcPr>
            <w:tcW w:w="810" w:type="dxa"/>
          </w:tcPr>
          <w:p>
            <w:pPr>
              <w:pStyle w:val="yTable"/>
              <w:spacing w:before="40" w:after="40"/>
              <w:rPr>
                <w:i/>
              </w:rPr>
            </w:pPr>
            <w:r>
              <w:rPr>
                <w:i/>
              </w:rPr>
              <w:t>Item</w:t>
            </w:r>
          </w:p>
        </w:tc>
        <w:tc>
          <w:tcPr>
            <w:tcW w:w="4950" w:type="dxa"/>
          </w:tcPr>
          <w:p>
            <w:pPr>
              <w:pStyle w:val="yTable"/>
              <w:jc w:val="center"/>
              <w:rPr>
                <w:i/>
              </w:rPr>
            </w:pPr>
            <w:r>
              <w:rPr>
                <w:i/>
              </w:rPr>
              <w:t>Prohibited drug</w:t>
            </w:r>
          </w:p>
        </w:tc>
        <w:tc>
          <w:tcPr>
            <w:tcW w:w="1350" w:type="dxa"/>
          </w:tcPr>
          <w:p>
            <w:pPr>
              <w:pStyle w:val="yTable"/>
              <w:spacing w:before="40" w:after="40"/>
              <w:jc w:val="center"/>
              <w:rPr>
                <w:i/>
              </w:rPr>
            </w:pPr>
            <w:r>
              <w:rPr>
                <w:i/>
              </w:rPr>
              <w:t>Amount</w:t>
            </w:r>
            <w:r>
              <w:rPr>
                <w:i/>
              </w:rPr>
              <w:br/>
              <w:t>(in grams</w:t>
            </w:r>
            <w:r>
              <w:rPr>
                <w:i/>
              </w:rPr>
              <w:br/>
              <w:t>unless</w:t>
            </w:r>
            <w:r>
              <w:rPr>
                <w:i/>
              </w:rPr>
              <w:br/>
              <w:t>otherwise</w:t>
            </w:r>
            <w:r>
              <w:rPr>
                <w:i/>
              </w:rPr>
              <w:br/>
              <w:t>stated)</w:t>
            </w:r>
          </w:p>
        </w:tc>
      </w:tr>
      <w:tr>
        <w:tc>
          <w:tcPr>
            <w:tcW w:w="810" w:type="dxa"/>
          </w:tcPr>
          <w:p>
            <w:pPr>
              <w:pStyle w:val="yTable"/>
              <w:spacing w:before="40" w:after="40"/>
            </w:pPr>
            <w:r>
              <w:t>1</w:t>
            </w:r>
          </w:p>
        </w:tc>
        <w:tc>
          <w:tcPr>
            <w:tcW w:w="4950" w:type="dxa"/>
          </w:tcPr>
          <w:p>
            <w:pPr>
              <w:pStyle w:val="yTable"/>
            </w:pPr>
            <w:r>
              <w:t>AMPHETAMINE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2</w:t>
            </w:r>
          </w:p>
        </w:tc>
        <w:tc>
          <w:tcPr>
            <w:tcW w:w="4950" w:type="dxa"/>
          </w:tcPr>
          <w:p>
            <w:pPr>
              <w:pStyle w:val="yTable"/>
            </w:pPr>
            <w:r>
              <w:t>CANNABIS</w:t>
            </w:r>
          </w:p>
        </w:tc>
        <w:tc>
          <w:tcPr>
            <w:tcW w:w="1350" w:type="dxa"/>
          </w:tcPr>
          <w:p>
            <w:pPr>
              <w:pStyle w:val="yTable"/>
              <w:tabs>
                <w:tab w:val="decimal" w:pos="439"/>
              </w:tabs>
              <w:spacing w:before="40" w:after="40"/>
            </w:pPr>
            <w:r>
              <w:t>3.0 kg</w:t>
            </w:r>
          </w:p>
        </w:tc>
      </w:tr>
      <w:tr>
        <w:tc>
          <w:tcPr>
            <w:tcW w:w="810" w:type="dxa"/>
          </w:tcPr>
          <w:p>
            <w:pPr>
              <w:pStyle w:val="yTable"/>
              <w:spacing w:before="40" w:after="40"/>
            </w:pPr>
            <w:r>
              <w:t>3</w:t>
            </w:r>
          </w:p>
        </w:tc>
        <w:tc>
          <w:tcPr>
            <w:tcW w:w="4950" w:type="dxa"/>
          </w:tcPr>
          <w:p>
            <w:pPr>
              <w:pStyle w:val="yTable"/>
            </w:pPr>
            <w:r>
              <w:t>CANNABIS RESIN</w:t>
            </w:r>
          </w:p>
        </w:tc>
        <w:tc>
          <w:tcPr>
            <w:tcW w:w="1350" w:type="dxa"/>
          </w:tcPr>
          <w:p>
            <w:pPr>
              <w:pStyle w:val="yTable"/>
              <w:tabs>
                <w:tab w:val="decimal" w:pos="439"/>
              </w:tabs>
              <w:spacing w:before="40" w:after="40"/>
            </w:pPr>
            <w:r>
              <w:t>100.0</w:t>
            </w:r>
          </w:p>
        </w:tc>
      </w:tr>
      <w:tr>
        <w:tc>
          <w:tcPr>
            <w:tcW w:w="810" w:type="dxa"/>
          </w:tcPr>
          <w:p>
            <w:pPr>
              <w:pStyle w:val="yTable"/>
              <w:spacing w:before="40" w:after="40"/>
            </w:pPr>
            <w:r>
              <w:t>4</w:t>
            </w:r>
          </w:p>
        </w:tc>
        <w:tc>
          <w:tcPr>
            <w:tcW w:w="4950" w:type="dxa"/>
          </w:tcPr>
          <w:p>
            <w:pPr>
              <w:pStyle w:val="yTable"/>
            </w:pPr>
            <w:r>
              <w:t>COCAINE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5</w:t>
            </w:r>
          </w:p>
        </w:tc>
        <w:tc>
          <w:tcPr>
            <w:tcW w:w="4950" w:type="dxa"/>
          </w:tcPr>
          <w:p>
            <w:pPr>
              <w:pStyle w:val="yTable"/>
            </w:pPr>
            <w:r>
              <w:t>DIACETYLMORPHINE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5A</w:t>
            </w:r>
          </w:p>
        </w:tc>
        <w:tc>
          <w:tcPr>
            <w:tcW w:w="4950" w:type="dxa"/>
          </w:tcPr>
          <w:p>
            <w:pPr>
              <w:pStyle w:val="yTable"/>
            </w:pPr>
            <w:r>
              <w:t>EPHEDRINE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6</w:t>
            </w:r>
          </w:p>
        </w:tc>
        <w:tc>
          <w:tcPr>
            <w:tcW w:w="4950" w:type="dxa"/>
          </w:tcPr>
          <w:p>
            <w:pPr>
              <w:pStyle w:val="yTable"/>
            </w:pPr>
            <w:r>
              <w:t>LYSERGIC ACID DIETHYLAMIDE (LSD)</w:t>
            </w:r>
          </w:p>
        </w:tc>
        <w:tc>
          <w:tcPr>
            <w:tcW w:w="1350" w:type="dxa"/>
          </w:tcPr>
          <w:p>
            <w:pPr>
              <w:pStyle w:val="yTable"/>
              <w:tabs>
                <w:tab w:val="decimal" w:pos="439"/>
              </w:tabs>
              <w:spacing w:before="40" w:after="40"/>
            </w:pPr>
            <w:r>
              <w:t>0.01</w:t>
            </w:r>
          </w:p>
        </w:tc>
      </w:tr>
      <w:tr>
        <w:tc>
          <w:tcPr>
            <w:tcW w:w="810" w:type="dxa"/>
          </w:tcPr>
          <w:p>
            <w:pPr>
              <w:pStyle w:val="yTable"/>
              <w:spacing w:before="40" w:after="40"/>
            </w:pPr>
            <w:r>
              <w:t>7</w:t>
            </w:r>
          </w:p>
        </w:tc>
        <w:tc>
          <w:tcPr>
            <w:tcW w:w="4950" w:type="dxa"/>
          </w:tcPr>
          <w:p>
            <w:pPr>
              <w:pStyle w:val="yTable"/>
            </w:pPr>
            <w:r>
              <w:t>METHADONE</w:t>
            </w:r>
          </w:p>
        </w:tc>
        <w:tc>
          <w:tcPr>
            <w:tcW w:w="1350" w:type="dxa"/>
          </w:tcPr>
          <w:p>
            <w:pPr>
              <w:pStyle w:val="yTable"/>
              <w:tabs>
                <w:tab w:val="decimal" w:pos="439"/>
              </w:tabs>
              <w:spacing w:before="40" w:after="40"/>
            </w:pPr>
            <w:r>
              <w:t>5.0</w:t>
            </w:r>
          </w:p>
        </w:tc>
      </w:tr>
      <w:tr>
        <w:tc>
          <w:tcPr>
            <w:tcW w:w="810" w:type="dxa"/>
          </w:tcPr>
          <w:p>
            <w:pPr>
              <w:pStyle w:val="yTable"/>
              <w:spacing w:before="40" w:after="40"/>
            </w:pPr>
            <w:r>
              <w:t>8</w:t>
            </w:r>
          </w:p>
        </w:tc>
        <w:tc>
          <w:tcPr>
            <w:tcW w:w="4950" w:type="dxa"/>
          </w:tcPr>
          <w:p>
            <w:pPr>
              <w:pStyle w:val="yTable"/>
            </w:pPr>
            <w:r>
              <w:t>METHYLAMPHETAMINE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9</w:t>
            </w:r>
          </w:p>
        </w:tc>
        <w:tc>
          <w:tcPr>
            <w:tcW w:w="4950" w:type="dxa"/>
          </w:tcPr>
          <w:p>
            <w:pPr>
              <w:pStyle w:val="yTable"/>
              <w:ind w:left="397" w:hanging="397"/>
            </w:pPr>
            <w:r>
              <w:t>3, 4</w:t>
            </w:r>
            <w:r>
              <w:noBreakHyphen/>
              <w:t>METHYLENEDIOXYAMPHETAMINE (MDA)</w:t>
            </w:r>
          </w:p>
        </w:tc>
        <w:tc>
          <w:tcPr>
            <w:tcW w:w="1350" w:type="dxa"/>
          </w:tcPr>
          <w:p>
            <w:pPr>
              <w:pStyle w:val="yTable"/>
              <w:tabs>
                <w:tab w:val="decimal" w:pos="439"/>
              </w:tabs>
              <w:spacing w:before="40" w:after="40"/>
            </w:pPr>
            <w:r>
              <w:t>28.0</w:t>
            </w:r>
          </w:p>
        </w:tc>
      </w:tr>
      <w:tr>
        <w:tc>
          <w:tcPr>
            <w:tcW w:w="810" w:type="dxa"/>
          </w:tcPr>
          <w:p>
            <w:pPr>
              <w:pStyle w:val="yTable"/>
              <w:spacing w:before="40" w:after="40"/>
            </w:pPr>
            <w:r>
              <w:t>10</w:t>
            </w:r>
          </w:p>
        </w:tc>
        <w:tc>
          <w:tcPr>
            <w:tcW w:w="4950" w:type="dxa"/>
          </w:tcPr>
          <w:p>
            <w:pPr>
              <w:pStyle w:val="yTable"/>
              <w:ind w:left="397" w:hanging="397"/>
            </w:pPr>
            <w:r>
              <w:t>3, 4</w:t>
            </w:r>
            <w:r>
              <w:noBreakHyphen/>
              <w:t>METHYLENEDIOXY</w:t>
            </w:r>
            <w:r>
              <w:noBreakHyphen/>
              <w:t>N, ALPHA</w:t>
            </w:r>
            <w:r>
              <w:noBreakHyphen/>
              <w:t>DIMETHYLPHENYLETHYLAMINE (MDMA)</w:t>
            </w:r>
          </w:p>
        </w:tc>
        <w:tc>
          <w:tcPr>
            <w:tcW w:w="1350" w:type="dxa"/>
          </w:tcPr>
          <w:p>
            <w:pPr>
              <w:pStyle w:val="yTable"/>
              <w:tabs>
                <w:tab w:val="decimal" w:pos="439"/>
              </w:tabs>
              <w:spacing w:before="40" w:after="40"/>
            </w:pPr>
            <w:r>
              <w:t>28.0</w:t>
            </w:r>
          </w:p>
        </w:tc>
      </w:tr>
      <w:tr>
        <w:tc>
          <w:tcPr>
            <w:tcW w:w="810" w:type="dxa"/>
          </w:tcPr>
          <w:p>
            <w:pPr>
              <w:pStyle w:val="yTable"/>
              <w:spacing w:before="40" w:after="40"/>
            </w:pPr>
            <w:r>
              <w:t>11</w:t>
            </w:r>
          </w:p>
        </w:tc>
        <w:tc>
          <w:tcPr>
            <w:tcW w:w="4950" w:type="dxa"/>
          </w:tcPr>
          <w:p>
            <w:pPr>
              <w:pStyle w:val="yTable"/>
            </w:pPr>
            <w:r>
              <w:t>MORPHINE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12</w:t>
            </w:r>
          </w:p>
        </w:tc>
        <w:tc>
          <w:tcPr>
            <w:tcW w:w="4950" w:type="dxa"/>
          </w:tcPr>
          <w:p>
            <w:pPr>
              <w:pStyle w:val="yTable"/>
            </w:pPr>
            <w:r>
              <w:t>OPIUM</w:t>
            </w:r>
          </w:p>
        </w:tc>
        <w:tc>
          <w:tcPr>
            <w:tcW w:w="1350" w:type="dxa"/>
          </w:tcPr>
          <w:p>
            <w:pPr>
              <w:pStyle w:val="yTable"/>
              <w:tabs>
                <w:tab w:val="decimal" w:pos="439"/>
              </w:tabs>
              <w:spacing w:before="40" w:after="40"/>
            </w:pPr>
            <w:r>
              <w:t>100.0</w:t>
            </w:r>
          </w:p>
        </w:tc>
      </w:tr>
    </w:tbl>
    <w:p>
      <w:pPr>
        <w:pStyle w:val="yFootnotesection"/>
      </w:pPr>
      <w:r>
        <w:tab/>
        <w:t>[Schedule VII inserted by No. 50 of 1990 s. 6; amended in Gazette 29 Nov 1991 p. 6041; 22 Mar 1994 p. 1245.]</w:t>
      </w:r>
    </w:p>
    <w:p>
      <w:pPr>
        <w:pStyle w:val="yScheduleHeading"/>
      </w:pPr>
      <w:bookmarkStart w:id="732" w:name="_Toc535053916"/>
      <w:bookmarkStart w:id="733" w:name="_Toc109615290"/>
      <w:bookmarkStart w:id="734" w:name="_Toc139344584"/>
      <w:bookmarkStart w:id="735" w:name="_Toc139699348"/>
      <w:bookmarkStart w:id="736" w:name="_Toc147051381"/>
      <w:bookmarkStart w:id="737" w:name="_Toc147118836"/>
      <w:bookmarkStart w:id="738" w:name="_Toc148236157"/>
      <w:bookmarkStart w:id="739" w:name="_Toc158705031"/>
      <w:bookmarkStart w:id="740" w:name="_Toc165369997"/>
      <w:bookmarkStart w:id="741" w:name="_Toc177873339"/>
      <w:bookmarkStart w:id="742" w:name="_Toc177873465"/>
      <w:bookmarkStart w:id="743" w:name="_Toc184707422"/>
      <w:bookmarkStart w:id="744" w:name="_Toc189464753"/>
      <w:bookmarkStart w:id="745" w:name="_Toc190249317"/>
      <w:bookmarkStart w:id="746" w:name="_Toc191703211"/>
      <w:bookmarkStart w:id="747" w:name="_Toc193692128"/>
      <w:bookmarkStart w:id="748" w:name="_Toc199817310"/>
      <w:bookmarkStart w:id="749" w:name="_Toc215543783"/>
      <w:bookmarkStart w:id="750" w:name="_Toc215544043"/>
      <w:bookmarkStart w:id="751" w:name="_Toc248029080"/>
      <w:bookmarkStart w:id="752" w:name="_Toc256085129"/>
      <w:bookmarkStart w:id="753" w:name="_Toc256092194"/>
      <w:bookmarkStart w:id="754" w:name="_Toc268600373"/>
      <w:bookmarkStart w:id="755" w:name="_Toc272237502"/>
      <w:bookmarkStart w:id="756" w:name="_Toc275253581"/>
      <w:bookmarkStart w:id="757" w:name="_Toc283287506"/>
      <w:bookmarkStart w:id="758" w:name="_Toc290558492"/>
      <w:bookmarkStart w:id="759" w:name="_Toc290558568"/>
      <w:r>
        <w:rPr>
          <w:rStyle w:val="CharSchNo"/>
        </w:rPr>
        <w:t>Schedule VIII</w:t>
      </w:r>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r>
        <w:t> —</w:t>
      </w:r>
      <w:r>
        <w:rPr>
          <w:rStyle w:val="CharSDivText"/>
        </w:rPr>
        <w:t> </w:t>
      </w:r>
      <w:r>
        <w:rPr>
          <w:rStyle w:val="CharSchText"/>
          <w:bCs/>
        </w:rPr>
        <w:t>Numbers of prohibited plants for purposes of drug trafficking</w:t>
      </w:r>
      <w:bookmarkEnd w:id="754"/>
      <w:bookmarkEnd w:id="755"/>
      <w:bookmarkEnd w:id="756"/>
      <w:bookmarkEnd w:id="757"/>
      <w:bookmarkEnd w:id="758"/>
      <w:bookmarkEnd w:id="759"/>
    </w:p>
    <w:p>
      <w:pPr>
        <w:pStyle w:val="yShoulderClause"/>
        <w:rPr>
          <w:snapToGrid w:val="0"/>
        </w:rPr>
      </w:pPr>
      <w:r>
        <w:rPr>
          <w:snapToGrid w:val="0"/>
        </w:rPr>
        <w:t>[s. 32A(1)(b)(ii)]</w:t>
      </w:r>
    </w:p>
    <w:p>
      <w:pPr>
        <w:pStyle w:val="yFootnoteheading"/>
      </w:pPr>
      <w:r>
        <w:tab/>
        <w:t>[Heading amended by No. 19 of 2010 s. 4.]</w:t>
      </w:r>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NAm"/>
              <w:jc w:val="center"/>
              <w:rPr>
                <w:i/>
                <w:iCs/>
              </w:rPr>
            </w:pPr>
            <w:r>
              <w:rPr>
                <w:i/>
                <w:iCs/>
              </w:rPr>
              <w:t>Item</w:t>
            </w:r>
          </w:p>
        </w:tc>
        <w:tc>
          <w:tcPr>
            <w:tcW w:w="4381" w:type="dxa"/>
          </w:tcPr>
          <w:p>
            <w:pPr>
              <w:pStyle w:val="yTableNAm"/>
              <w:jc w:val="center"/>
              <w:rPr>
                <w:i/>
                <w:iCs/>
              </w:rPr>
            </w:pPr>
            <w:r>
              <w:rPr>
                <w:i/>
                <w:iCs/>
              </w:rPr>
              <w:t>Prohibited Plants</w:t>
            </w:r>
          </w:p>
        </w:tc>
        <w:tc>
          <w:tcPr>
            <w:tcW w:w="1350" w:type="dxa"/>
          </w:tcPr>
          <w:p>
            <w:pPr>
              <w:pStyle w:val="yTableNAm"/>
              <w:jc w:val="center"/>
              <w:rPr>
                <w:i/>
                <w:iCs/>
              </w:rPr>
            </w:pPr>
            <w:r>
              <w:rPr>
                <w:i/>
                <w:iCs/>
              </w:rPr>
              <w:t>Number</w:t>
            </w:r>
          </w:p>
        </w:tc>
      </w:tr>
      <w:tr>
        <w:tc>
          <w:tcPr>
            <w:tcW w:w="1379" w:type="dxa"/>
          </w:tcPr>
          <w:p>
            <w:pPr>
              <w:pStyle w:val="yTableNAm"/>
              <w:jc w:val="center"/>
            </w:pPr>
            <w:r>
              <w:t>1</w:t>
            </w:r>
          </w:p>
        </w:tc>
        <w:tc>
          <w:tcPr>
            <w:tcW w:w="4381" w:type="dxa"/>
          </w:tcPr>
          <w:p>
            <w:pPr>
              <w:pStyle w:val="yTableNAm"/>
            </w:pPr>
            <w:r>
              <w:t>Cannabis</w:t>
            </w:r>
          </w:p>
        </w:tc>
        <w:tc>
          <w:tcPr>
            <w:tcW w:w="1350" w:type="dxa"/>
          </w:tcPr>
          <w:p>
            <w:pPr>
              <w:pStyle w:val="yTableNAm"/>
              <w:jc w:val="center"/>
            </w:pPr>
            <w:r>
              <w:t>20</w:t>
            </w:r>
          </w:p>
        </w:tc>
      </w:tr>
    </w:tbl>
    <w:p>
      <w:pPr>
        <w:pStyle w:val="yFootnotesection"/>
      </w:pPr>
      <w:r>
        <w:tab/>
        <w:t>[Schedule VIII inserted by No. 50 of 1990 s. 6; amended in Gazette 15 Apr 2011 p. 1426.]</w:t>
      </w:r>
    </w:p>
    <w:p>
      <w:bookmarkStart w:id="760" w:name="_Toc72912383"/>
      <w:bookmarkStart w:id="761" w:name="_Toc89162910"/>
      <w:bookmarkStart w:id="762" w:name="_Toc89571197"/>
      <w:bookmarkStart w:id="763" w:name="_Toc90092365"/>
      <w:bookmarkStart w:id="764" w:name="_Toc92603646"/>
      <w:bookmarkStart w:id="765" w:name="_Toc92797830"/>
      <w:bookmarkStart w:id="766" w:name="_Toc97018132"/>
      <w:bookmarkStart w:id="767" w:name="_Toc102387687"/>
      <w:bookmarkStart w:id="768" w:name="_Toc102905318"/>
      <w:bookmarkStart w:id="769" w:name="_Toc105219561"/>
      <w:bookmarkStart w:id="770" w:name="_Toc105220465"/>
      <w:bookmarkStart w:id="771" w:name="_Toc105220533"/>
      <w:bookmarkStart w:id="772" w:name="_Toc105909977"/>
      <w:bookmarkStart w:id="773" w:name="_Toc105910892"/>
      <w:bookmarkStart w:id="774" w:name="_Toc106600736"/>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775" w:name="_Toc106601034"/>
      <w:bookmarkStart w:id="776" w:name="_Toc109615291"/>
      <w:bookmarkStart w:id="777" w:name="_Toc139344585"/>
      <w:bookmarkStart w:id="778" w:name="_Toc139699349"/>
      <w:bookmarkStart w:id="779" w:name="_Toc147051382"/>
      <w:bookmarkStart w:id="780" w:name="_Toc147118837"/>
      <w:bookmarkStart w:id="781" w:name="_Toc148236158"/>
      <w:bookmarkStart w:id="782" w:name="_Toc158705032"/>
      <w:bookmarkStart w:id="783" w:name="_Toc165369999"/>
      <w:bookmarkStart w:id="784" w:name="_Toc177873341"/>
      <w:bookmarkStart w:id="785" w:name="_Toc177873467"/>
      <w:bookmarkStart w:id="786" w:name="_Toc184707424"/>
      <w:bookmarkStart w:id="787" w:name="_Toc189464755"/>
      <w:bookmarkStart w:id="788" w:name="_Toc190249319"/>
      <w:bookmarkStart w:id="789" w:name="_Toc191703213"/>
      <w:bookmarkStart w:id="790" w:name="_Toc193692130"/>
      <w:bookmarkStart w:id="791" w:name="_Toc199817312"/>
      <w:bookmarkStart w:id="792" w:name="_Toc215543785"/>
      <w:bookmarkStart w:id="793" w:name="_Toc215544045"/>
      <w:bookmarkStart w:id="794" w:name="_Toc248029082"/>
      <w:bookmarkStart w:id="795" w:name="_Toc256085131"/>
      <w:bookmarkStart w:id="796" w:name="_Toc256092196"/>
      <w:bookmarkStart w:id="797" w:name="_Toc268600374"/>
      <w:bookmarkStart w:id="798" w:name="_Toc272237503"/>
      <w:bookmarkStart w:id="799" w:name="_Toc275253582"/>
      <w:bookmarkStart w:id="800" w:name="_Toc283287507"/>
      <w:bookmarkStart w:id="801" w:name="_Toc290558493"/>
      <w:bookmarkStart w:id="802" w:name="_Toc290558569"/>
      <w:r>
        <w:t>Notes</w:t>
      </w:r>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p>
    <w:p>
      <w:pPr>
        <w:pStyle w:val="nSubsection"/>
        <w:rPr>
          <w:snapToGrid w:val="0"/>
        </w:rPr>
      </w:pPr>
      <w:r>
        <w:rPr>
          <w:snapToGrid w:val="0"/>
          <w:vertAlign w:val="superscript"/>
        </w:rPr>
        <w:t>1</w:t>
      </w:r>
      <w:r>
        <w:rPr>
          <w:snapToGrid w:val="0"/>
        </w:rPr>
        <w:tab/>
        <w:t xml:space="preserve">This is a compilation of the </w:t>
      </w:r>
      <w:r>
        <w:rPr>
          <w:i/>
          <w:noProof/>
          <w:snapToGrid w:val="0"/>
        </w:rPr>
        <w:t>Misuse of Drugs Act 1981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803" w:name="_Toc215543786"/>
      <w:bookmarkStart w:id="804" w:name="_Toc290558570"/>
      <w:r>
        <w:t>Compilation table</w:t>
      </w:r>
      <w:bookmarkEnd w:id="803"/>
      <w:bookmarkEnd w:id="804"/>
    </w:p>
    <w:tbl>
      <w:tblPr>
        <w:tblW w:w="0" w:type="auto"/>
        <w:tblInd w:w="28" w:type="dxa"/>
        <w:tblLayout w:type="fixed"/>
        <w:tblCellMar>
          <w:left w:w="56" w:type="dxa"/>
          <w:right w:w="56" w:type="dxa"/>
        </w:tblCellMar>
        <w:tblLook w:val="0000" w:firstRow="0" w:lastRow="0" w:firstColumn="0" w:lastColumn="0" w:noHBand="0" w:noVBand="0"/>
      </w:tblPr>
      <w:tblGrid>
        <w:gridCol w:w="2278"/>
        <w:gridCol w:w="1140"/>
        <w:gridCol w:w="1136"/>
        <w:gridCol w:w="28"/>
        <w:gridCol w:w="2543"/>
      </w:tblGrid>
      <w:tr>
        <w:trPr>
          <w:cantSplit/>
          <w:tblHeader/>
        </w:trPr>
        <w:tc>
          <w:tcPr>
            <w:tcW w:w="227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40"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Borders>
              <w:top w:val="single" w:sz="8" w:space="0" w:color="auto"/>
            </w:tcBorders>
          </w:tcPr>
          <w:p>
            <w:pPr>
              <w:pStyle w:val="nTable"/>
              <w:spacing w:after="40"/>
              <w:ind w:right="113"/>
              <w:rPr>
                <w:sz w:val="19"/>
              </w:rPr>
            </w:pPr>
            <w:r>
              <w:rPr>
                <w:i/>
                <w:sz w:val="19"/>
              </w:rPr>
              <w:t>Misuse of Drugs Act 1981</w:t>
            </w:r>
          </w:p>
        </w:tc>
        <w:tc>
          <w:tcPr>
            <w:tcW w:w="1140" w:type="dxa"/>
            <w:tcBorders>
              <w:top w:val="single" w:sz="8" w:space="0" w:color="auto"/>
            </w:tcBorders>
          </w:tcPr>
          <w:p>
            <w:pPr>
              <w:pStyle w:val="nTable"/>
              <w:spacing w:after="40"/>
              <w:rPr>
                <w:sz w:val="19"/>
              </w:rPr>
            </w:pPr>
            <w:r>
              <w:rPr>
                <w:sz w:val="19"/>
              </w:rPr>
              <w:t>66 of 1981</w:t>
            </w:r>
          </w:p>
        </w:tc>
        <w:tc>
          <w:tcPr>
            <w:tcW w:w="1136" w:type="dxa"/>
            <w:tcBorders>
              <w:top w:val="single" w:sz="8" w:space="0" w:color="auto"/>
            </w:tcBorders>
          </w:tcPr>
          <w:p>
            <w:pPr>
              <w:pStyle w:val="nTable"/>
              <w:spacing w:after="40"/>
              <w:rPr>
                <w:sz w:val="19"/>
              </w:rPr>
            </w:pPr>
            <w:r>
              <w:rPr>
                <w:sz w:val="19"/>
              </w:rPr>
              <w:t>23 Oct 1981</w:t>
            </w:r>
          </w:p>
        </w:tc>
        <w:tc>
          <w:tcPr>
            <w:tcW w:w="2571" w:type="dxa"/>
            <w:gridSpan w:val="2"/>
            <w:tcBorders>
              <w:top w:val="single" w:sz="8" w:space="0" w:color="auto"/>
            </w:tcBorders>
          </w:tcPr>
          <w:p>
            <w:pPr>
              <w:pStyle w:val="nTable"/>
              <w:spacing w:after="40"/>
              <w:rPr>
                <w:sz w:val="19"/>
              </w:rPr>
            </w:pPr>
            <w:r>
              <w:rPr>
                <w:sz w:val="19"/>
              </w:rPr>
              <w:t xml:space="preserve">1 Sep 1982 (see s. 2 and </w:t>
            </w:r>
            <w:r>
              <w:rPr>
                <w:i/>
                <w:sz w:val="19"/>
              </w:rPr>
              <w:t>Gazette</w:t>
            </w:r>
            <w:r>
              <w:rPr>
                <w:sz w:val="19"/>
              </w:rPr>
              <w:t xml:space="preserve"> 20 Aug 1982 p. 3250)</w:t>
            </w:r>
          </w:p>
        </w:tc>
      </w:tr>
      <w:tr>
        <w:trPr>
          <w:cantSplit/>
        </w:trPr>
        <w:tc>
          <w:tcPr>
            <w:tcW w:w="4554" w:type="dxa"/>
            <w:gridSpan w:val="3"/>
          </w:tcPr>
          <w:p>
            <w:pPr>
              <w:pStyle w:val="nTable"/>
              <w:spacing w:after="40"/>
              <w:rPr>
                <w:sz w:val="19"/>
              </w:rPr>
            </w:pPr>
            <w:r>
              <w:rPr>
                <w:i/>
                <w:sz w:val="19"/>
              </w:rPr>
              <w:t>Misuse of Drugs (Amounts of Prohibited Drugs) Order</w:t>
            </w:r>
            <w:r>
              <w:rPr>
                <w:sz w:val="19"/>
              </w:rPr>
              <w:t> </w:t>
            </w:r>
            <w:r>
              <w:rPr>
                <w:i/>
                <w:sz w:val="19"/>
              </w:rPr>
              <w:t xml:space="preserve">1990 </w:t>
            </w:r>
            <w:r>
              <w:rPr>
                <w:sz w:val="19"/>
              </w:rPr>
              <w:t xml:space="preserve">published in </w:t>
            </w:r>
            <w:r>
              <w:rPr>
                <w:i/>
                <w:sz w:val="19"/>
              </w:rPr>
              <w:t>Gazette</w:t>
            </w:r>
            <w:r>
              <w:rPr>
                <w:sz w:val="19"/>
              </w:rPr>
              <w:t xml:space="preserve"> 30 Nov 1990 p. 5937</w:t>
            </w:r>
          </w:p>
        </w:tc>
        <w:tc>
          <w:tcPr>
            <w:tcW w:w="2571" w:type="dxa"/>
            <w:gridSpan w:val="2"/>
          </w:tcPr>
          <w:p>
            <w:pPr>
              <w:pStyle w:val="nTable"/>
              <w:spacing w:after="40"/>
              <w:rPr>
                <w:sz w:val="19"/>
              </w:rPr>
            </w:pPr>
            <w:r>
              <w:rPr>
                <w:sz w:val="19"/>
              </w:rPr>
              <w:t>30 Nov 1990</w:t>
            </w:r>
          </w:p>
        </w:tc>
      </w:tr>
      <w:tr>
        <w:trPr>
          <w:cantSplit/>
        </w:trPr>
        <w:tc>
          <w:tcPr>
            <w:tcW w:w="2278" w:type="dxa"/>
          </w:tcPr>
          <w:p>
            <w:pPr>
              <w:pStyle w:val="nTable"/>
              <w:spacing w:after="40"/>
              <w:ind w:right="113"/>
              <w:rPr>
                <w:sz w:val="19"/>
              </w:rPr>
            </w:pPr>
            <w:r>
              <w:rPr>
                <w:i/>
                <w:sz w:val="19"/>
              </w:rPr>
              <w:t>Misuse of Drugs Amendment Act 1990</w:t>
            </w:r>
          </w:p>
        </w:tc>
        <w:tc>
          <w:tcPr>
            <w:tcW w:w="1140" w:type="dxa"/>
          </w:tcPr>
          <w:p>
            <w:pPr>
              <w:pStyle w:val="nTable"/>
              <w:spacing w:after="40"/>
              <w:rPr>
                <w:sz w:val="19"/>
              </w:rPr>
            </w:pPr>
            <w:r>
              <w:rPr>
                <w:sz w:val="19"/>
              </w:rPr>
              <w:t>50 of 1990</w:t>
            </w:r>
          </w:p>
        </w:tc>
        <w:tc>
          <w:tcPr>
            <w:tcW w:w="1136" w:type="dxa"/>
          </w:tcPr>
          <w:p>
            <w:pPr>
              <w:pStyle w:val="nTable"/>
              <w:spacing w:after="40"/>
              <w:rPr>
                <w:sz w:val="19"/>
              </w:rPr>
            </w:pPr>
            <w:r>
              <w:rPr>
                <w:sz w:val="19"/>
              </w:rPr>
              <w:t>4 Dec 1990</w:t>
            </w:r>
          </w:p>
        </w:tc>
        <w:tc>
          <w:tcPr>
            <w:tcW w:w="2571" w:type="dxa"/>
            <w:gridSpan w:val="2"/>
          </w:tcPr>
          <w:p>
            <w:pPr>
              <w:pStyle w:val="nTable"/>
              <w:spacing w:after="40"/>
              <w:rPr>
                <w:sz w:val="19"/>
              </w:rPr>
            </w:pPr>
            <w:r>
              <w:rPr>
                <w:sz w:val="19"/>
              </w:rPr>
              <w:t>4 Dec 1990 (see s. 2)</w:t>
            </w:r>
          </w:p>
        </w:tc>
      </w:tr>
      <w:tr>
        <w:trPr>
          <w:cantSplit/>
        </w:trPr>
        <w:tc>
          <w:tcPr>
            <w:tcW w:w="2278" w:type="dxa"/>
          </w:tcPr>
          <w:p>
            <w:pPr>
              <w:pStyle w:val="nTable"/>
              <w:spacing w:after="40"/>
              <w:ind w:right="113"/>
              <w:rPr>
                <w:sz w:val="19"/>
              </w:rPr>
            </w:pPr>
            <w:r>
              <w:rPr>
                <w:i/>
                <w:sz w:val="19"/>
              </w:rPr>
              <w:t xml:space="preserve">Conservation and Land Management Amendment Act 1991 </w:t>
            </w:r>
            <w:r>
              <w:rPr>
                <w:sz w:val="19"/>
              </w:rPr>
              <w:t>s. 57</w:t>
            </w:r>
          </w:p>
        </w:tc>
        <w:tc>
          <w:tcPr>
            <w:tcW w:w="1140" w:type="dxa"/>
          </w:tcPr>
          <w:p>
            <w:pPr>
              <w:pStyle w:val="nTable"/>
              <w:spacing w:after="40"/>
              <w:rPr>
                <w:sz w:val="19"/>
              </w:rPr>
            </w:pPr>
            <w:r>
              <w:rPr>
                <w:sz w:val="19"/>
              </w:rPr>
              <w:t>20 of 1991</w:t>
            </w:r>
          </w:p>
        </w:tc>
        <w:tc>
          <w:tcPr>
            <w:tcW w:w="1136" w:type="dxa"/>
          </w:tcPr>
          <w:p>
            <w:pPr>
              <w:pStyle w:val="nTable"/>
              <w:spacing w:after="40"/>
              <w:rPr>
                <w:sz w:val="19"/>
              </w:rPr>
            </w:pPr>
            <w:r>
              <w:rPr>
                <w:sz w:val="19"/>
              </w:rPr>
              <w:t>25 Jun 1991</w:t>
            </w:r>
          </w:p>
        </w:tc>
        <w:tc>
          <w:tcPr>
            <w:tcW w:w="2571" w:type="dxa"/>
            <w:gridSpan w:val="2"/>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4554" w:type="dxa"/>
            <w:gridSpan w:val="3"/>
          </w:tcPr>
          <w:p>
            <w:pPr>
              <w:pStyle w:val="nTable"/>
              <w:spacing w:after="40"/>
              <w:rPr>
                <w:sz w:val="19"/>
              </w:rPr>
            </w:pPr>
            <w:r>
              <w:rPr>
                <w:i/>
                <w:sz w:val="19"/>
              </w:rPr>
              <w:t>Misuse of Drugs (Amounts of Prohibited Drugs) Order</w:t>
            </w:r>
            <w:r>
              <w:rPr>
                <w:sz w:val="19"/>
              </w:rPr>
              <w:t> </w:t>
            </w:r>
            <w:r>
              <w:rPr>
                <w:i/>
                <w:sz w:val="19"/>
              </w:rPr>
              <w:t xml:space="preserve">1991 </w:t>
            </w:r>
            <w:r>
              <w:rPr>
                <w:sz w:val="19"/>
              </w:rPr>
              <w:t xml:space="preserve">published in </w:t>
            </w:r>
            <w:r>
              <w:rPr>
                <w:i/>
                <w:sz w:val="19"/>
              </w:rPr>
              <w:t>Gazette</w:t>
            </w:r>
            <w:r>
              <w:rPr>
                <w:sz w:val="19"/>
              </w:rPr>
              <w:t xml:space="preserve"> 29 Nov 1991 p. 6040</w:t>
            </w:r>
            <w:r>
              <w:rPr>
                <w:sz w:val="19"/>
              </w:rPr>
              <w:noBreakHyphen/>
              <w:t>1</w:t>
            </w:r>
          </w:p>
        </w:tc>
        <w:tc>
          <w:tcPr>
            <w:tcW w:w="2571" w:type="dxa"/>
            <w:gridSpan w:val="2"/>
          </w:tcPr>
          <w:p>
            <w:pPr>
              <w:pStyle w:val="nTable"/>
              <w:spacing w:after="40"/>
              <w:rPr>
                <w:sz w:val="19"/>
              </w:rPr>
            </w:pPr>
            <w:r>
              <w:rPr>
                <w:sz w:val="19"/>
              </w:rPr>
              <w:t>29 Nov 1991</w:t>
            </w:r>
          </w:p>
        </w:tc>
      </w:tr>
      <w:tr>
        <w:trPr>
          <w:cantSplit/>
        </w:trPr>
        <w:tc>
          <w:tcPr>
            <w:tcW w:w="4554" w:type="dxa"/>
            <w:gridSpan w:val="3"/>
          </w:tcPr>
          <w:p>
            <w:pPr>
              <w:pStyle w:val="nTable"/>
              <w:spacing w:after="40"/>
              <w:rPr>
                <w:sz w:val="19"/>
              </w:rPr>
            </w:pPr>
            <w:r>
              <w:rPr>
                <w:i/>
                <w:sz w:val="19"/>
              </w:rPr>
              <w:t>Misuse of Drugs (Amounts of Prohibited Drugs) Order</w:t>
            </w:r>
            <w:r>
              <w:rPr>
                <w:sz w:val="19"/>
              </w:rPr>
              <w:t> </w:t>
            </w:r>
            <w:r>
              <w:rPr>
                <w:i/>
                <w:sz w:val="19"/>
              </w:rPr>
              <w:t xml:space="preserve">1994 </w:t>
            </w:r>
            <w:r>
              <w:rPr>
                <w:sz w:val="19"/>
              </w:rPr>
              <w:t xml:space="preserve">published in </w:t>
            </w:r>
            <w:r>
              <w:rPr>
                <w:i/>
                <w:sz w:val="19"/>
              </w:rPr>
              <w:t>Gazette</w:t>
            </w:r>
            <w:r>
              <w:rPr>
                <w:sz w:val="19"/>
              </w:rPr>
              <w:t xml:space="preserve"> 22 Mar 1994 p. 1245</w:t>
            </w:r>
          </w:p>
        </w:tc>
        <w:tc>
          <w:tcPr>
            <w:tcW w:w="2571" w:type="dxa"/>
            <w:gridSpan w:val="2"/>
          </w:tcPr>
          <w:p>
            <w:pPr>
              <w:pStyle w:val="nTable"/>
              <w:spacing w:after="40"/>
              <w:rPr>
                <w:sz w:val="19"/>
              </w:rPr>
            </w:pPr>
            <w:r>
              <w:rPr>
                <w:sz w:val="19"/>
              </w:rPr>
              <w:t>22 Mar 1994</w:t>
            </w:r>
          </w:p>
        </w:tc>
      </w:tr>
      <w:tr>
        <w:trPr>
          <w:cantSplit/>
        </w:trPr>
        <w:tc>
          <w:tcPr>
            <w:tcW w:w="2278" w:type="dxa"/>
          </w:tcPr>
          <w:p>
            <w:pPr>
              <w:pStyle w:val="nTable"/>
              <w:spacing w:after="40"/>
              <w:ind w:right="113"/>
              <w:rPr>
                <w:sz w:val="19"/>
              </w:rPr>
            </w:pPr>
            <w:r>
              <w:rPr>
                <w:i/>
                <w:sz w:val="19"/>
              </w:rPr>
              <w:t xml:space="preserve">Poisons Amendment Act 1994 </w:t>
            </w:r>
            <w:r>
              <w:rPr>
                <w:sz w:val="19"/>
              </w:rPr>
              <w:t>s. 11</w:t>
            </w:r>
          </w:p>
        </w:tc>
        <w:tc>
          <w:tcPr>
            <w:tcW w:w="1140" w:type="dxa"/>
          </w:tcPr>
          <w:p>
            <w:pPr>
              <w:pStyle w:val="nTable"/>
              <w:spacing w:after="40"/>
              <w:rPr>
                <w:sz w:val="19"/>
              </w:rPr>
            </w:pPr>
            <w:r>
              <w:rPr>
                <w:sz w:val="19"/>
              </w:rPr>
              <w:t>12 of 1994</w:t>
            </w:r>
          </w:p>
        </w:tc>
        <w:tc>
          <w:tcPr>
            <w:tcW w:w="1136" w:type="dxa"/>
          </w:tcPr>
          <w:p>
            <w:pPr>
              <w:pStyle w:val="nTable"/>
              <w:spacing w:after="40"/>
              <w:rPr>
                <w:sz w:val="19"/>
              </w:rPr>
            </w:pPr>
            <w:r>
              <w:rPr>
                <w:sz w:val="19"/>
              </w:rPr>
              <w:t>15 Apr 1994</w:t>
            </w:r>
          </w:p>
        </w:tc>
        <w:tc>
          <w:tcPr>
            <w:tcW w:w="2571" w:type="dxa"/>
            <w:gridSpan w:val="2"/>
          </w:tcPr>
          <w:p>
            <w:pPr>
              <w:pStyle w:val="nTable"/>
              <w:spacing w:after="40"/>
              <w:rPr>
                <w:sz w:val="19"/>
              </w:rPr>
            </w:pPr>
            <w:r>
              <w:rPr>
                <w:sz w:val="19"/>
              </w:rPr>
              <w:t xml:space="preserve">27 May 1994 (see s. 2 and </w:t>
            </w:r>
            <w:r>
              <w:rPr>
                <w:i/>
                <w:sz w:val="19"/>
              </w:rPr>
              <w:t>Gazette</w:t>
            </w:r>
            <w:r>
              <w:rPr>
                <w:sz w:val="19"/>
              </w:rPr>
              <w:t xml:space="preserve"> 27 May 1994 p. 2205)</w:t>
            </w:r>
          </w:p>
        </w:tc>
      </w:tr>
      <w:tr>
        <w:trPr>
          <w:cantSplit/>
        </w:trPr>
        <w:tc>
          <w:tcPr>
            <w:tcW w:w="2278" w:type="dxa"/>
          </w:tcPr>
          <w:p>
            <w:pPr>
              <w:pStyle w:val="nTable"/>
              <w:spacing w:after="40"/>
              <w:ind w:right="113"/>
              <w:rPr>
                <w:sz w:val="19"/>
              </w:rPr>
            </w:pPr>
            <w:r>
              <w:rPr>
                <w:i/>
                <w:sz w:val="19"/>
              </w:rPr>
              <w:t xml:space="preserve">Acts Amendment (Public Sector Management) Act 1994 </w:t>
            </w:r>
            <w:r>
              <w:rPr>
                <w:sz w:val="19"/>
              </w:rPr>
              <w:t>s. 3(2)</w:t>
            </w:r>
          </w:p>
        </w:tc>
        <w:tc>
          <w:tcPr>
            <w:tcW w:w="1140"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8" w:type="dxa"/>
          </w:tcPr>
          <w:p>
            <w:pPr>
              <w:pStyle w:val="nTable"/>
              <w:spacing w:after="40"/>
              <w:ind w:right="113"/>
              <w:rPr>
                <w:sz w:val="19"/>
              </w:rPr>
            </w:pPr>
            <w:r>
              <w:rPr>
                <w:i/>
                <w:sz w:val="19"/>
              </w:rPr>
              <w:t xml:space="preserve">Statutes (Repeals and Minor Amendments) Act 1994 </w:t>
            </w:r>
            <w:r>
              <w:rPr>
                <w:sz w:val="19"/>
              </w:rPr>
              <w:t>s. 4</w:t>
            </w:r>
          </w:p>
        </w:tc>
        <w:tc>
          <w:tcPr>
            <w:tcW w:w="1140" w:type="dxa"/>
          </w:tcPr>
          <w:p>
            <w:pPr>
              <w:pStyle w:val="nTable"/>
              <w:spacing w:after="40"/>
              <w:rPr>
                <w:sz w:val="19"/>
              </w:rPr>
            </w:pPr>
            <w:r>
              <w:rPr>
                <w:sz w:val="19"/>
              </w:rPr>
              <w:t>73 of 1994</w:t>
            </w:r>
          </w:p>
        </w:tc>
        <w:tc>
          <w:tcPr>
            <w:tcW w:w="1136" w:type="dxa"/>
          </w:tcPr>
          <w:p>
            <w:pPr>
              <w:pStyle w:val="nTable"/>
              <w:spacing w:after="40"/>
              <w:rPr>
                <w:sz w:val="19"/>
              </w:rPr>
            </w:pPr>
            <w:r>
              <w:rPr>
                <w:sz w:val="19"/>
              </w:rPr>
              <w:t>9 Dec 1994</w:t>
            </w:r>
          </w:p>
        </w:tc>
        <w:tc>
          <w:tcPr>
            <w:tcW w:w="2571" w:type="dxa"/>
            <w:gridSpan w:val="2"/>
          </w:tcPr>
          <w:p>
            <w:pPr>
              <w:pStyle w:val="nTable"/>
              <w:spacing w:after="40"/>
              <w:rPr>
                <w:sz w:val="19"/>
              </w:rPr>
            </w:pPr>
            <w:r>
              <w:rPr>
                <w:sz w:val="19"/>
              </w:rPr>
              <w:t>9 Dec 1994 (see s. 2)</w:t>
            </w:r>
          </w:p>
        </w:tc>
      </w:tr>
      <w:tr>
        <w:trPr>
          <w:cantSplit/>
        </w:trPr>
        <w:tc>
          <w:tcPr>
            <w:tcW w:w="2278" w:type="dxa"/>
          </w:tcPr>
          <w:p>
            <w:pPr>
              <w:pStyle w:val="nTable"/>
              <w:spacing w:after="40"/>
              <w:ind w:right="113"/>
              <w:rPr>
                <w:sz w:val="19"/>
              </w:rPr>
            </w:pPr>
            <w:r>
              <w:rPr>
                <w:i/>
                <w:sz w:val="19"/>
              </w:rPr>
              <w:t xml:space="preserve">Acts Amendment (Fines, Penalties and Infringement Notices) Act 1994 </w:t>
            </w:r>
            <w:r>
              <w:rPr>
                <w:sz w:val="19"/>
              </w:rPr>
              <w:t>Pt. 15</w:t>
            </w:r>
          </w:p>
        </w:tc>
        <w:tc>
          <w:tcPr>
            <w:tcW w:w="1140" w:type="dxa"/>
          </w:tcPr>
          <w:p>
            <w:pPr>
              <w:pStyle w:val="nTable"/>
              <w:spacing w:after="40"/>
              <w:rPr>
                <w:sz w:val="19"/>
              </w:rPr>
            </w:pPr>
            <w:r>
              <w:rPr>
                <w:sz w:val="19"/>
              </w:rPr>
              <w:t>92 of 1994</w:t>
            </w:r>
          </w:p>
        </w:tc>
        <w:tc>
          <w:tcPr>
            <w:tcW w:w="1136" w:type="dxa"/>
          </w:tcPr>
          <w:p>
            <w:pPr>
              <w:pStyle w:val="nTable"/>
              <w:spacing w:after="40"/>
              <w:rPr>
                <w:sz w:val="19"/>
              </w:rPr>
            </w:pPr>
            <w:r>
              <w:rPr>
                <w:sz w:val="19"/>
              </w:rPr>
              <w:t>23 Dec 1994</w:t>
            </w:r>
          </w:p>
        </w:tc>
        <w:tc>
          <w:tcPr>
            <w:tcW w:w="2571" w:type="dxa"/>
            <w:gridSpan w:val="2"/>
          </w:tcPr>
          <w:p>
            <w:pPr>
              <w:pStyle w:val="nTable"/>
              <w:spacing w:after="40"/>
              <w:rPr>
                <w:sz w:val="19"/>
              </w:rPr>
            </w:pPr>
            <w:r>
              <w:rPr>
                <w:sz w:val="19"/>
              </w:rPr>
              <w:t xml:space="preserve">1 Jan 1995 (see s. 2(1) and </w:t>
            </w:r>
            <w:r>
              <w:rPr>
                <w:i/>
                <w:sz w:val="19"/>
              </w:rPr>
              <w:t xml:space="preserve">Gazette </w:t>
            </w:r>
            <w:r>
              <w:rPr>
                <w:sz w:val="19"/>
              </w:rPr>
              <w:t>30 Dec 1994 p. 7211)</w:t>
            </w:r>
          </w:p>
        </w:tc>
      </w:tr>
      <w:tr>
        <w:trPr>
          <w:cantSplit/>
        </w:trPr>
        <w:tc>
          <w:tcPr>
            <w:tcW w:w="2278" w:type="dxa"/>
          </w:tcPr>
          <w:p>
            <w:pPr>
              <w:pStyle w:val="nTable"/>
              <w:keepNext/>
              <w:spacing w:after="40"/>
              <w:ind w:right="113"/>
              <w:rPr>
                <w:sz w:val="19"/>
                <w:vertAlign w:val="superscript"/>
              </w:rPr>
            </w:pPr>
            <w:r>
              <w:rPr>
                <w:i/>
                <w:sz w:val="19"/>
              </w:rPr>
              <w:t>Misuse of Drugs Amendment Act 1995</w:t>
            </w:r>
            <w:r>
              <w:rPr>
                <w:sz w:val="19"/>
                <w:vertAlign w:val="superscript"/>
              </w:rPr>
              <w:t> 2</w:t>
            </w:r>
          </w:p>
        </w:tc>
        <w:tc>
          <w:tcPr>
            <w:tcW w:w="1140" w:type="dxa"/>
          </w:tcPr>
          <w:p>
            <w:pPr>
              <w:pStyle w:val="nTable"/>
              <w:keepNext/>
              <w:spacing w:after="40"/>
              <w:rPr>
                <w:sz w:val="19"/>
              </w:rPr>
            </w:pPr>
            <w:r>
              <w:rPr>
                <w:sz w:val="19"/>
              </w:rPr>
              <w:t>44 of 1995</w:t>
            </w:r>
          </w:p>
        </w:tc>
        <w:tc>
          <w:tcPr>
            <w:tcW w:w="1136" w:type="dxa"/>
          </w:tcPr>
          <w:p>
            <w:pPr>
              <w:pStyle w:val="nTable"/>
              <w:keepNext/>
              <w:spacing w:after="40"/>
              <w:rPr>
                <w:sz w:val="19"/>
              </w:rPr>
            </w:pPr>
            <w:r>
              <w:rPr>
                <w:sz w:val="19"/>
              </w:rPr>
              <w:t>18 Oct 1995</w:t>
            </w:r>
          </w:p>
        </w:tc>
        <w:tc>
          <w:tcPr>
            <w:tcW w:w="2571" w:type="dxa"/>
            <w:gridSpan w:val="2"/>
          </w:tcPr>
          <w:p>
            <w:pPr>
              <w:pStyle w:val="nTable"/>
              <w:keepNext/>
              <w:spacing w:after="40"/>
              <w:rPr>
                <w:sz w:val="19"/>
              </w:rPr>
            </w:pPr>
            <w:r>
              <w:rPr>
                <w:sz w:val="19"/>
              </w:rPr>
              <w:t>s. 1 and 2: 18 Oct 1995;</w:t>
            </w:r>
            <w:r>
              <w:rPr>
                <w:sz w:val="19"/>
              </w:rPr>
              <w:br/>
              <w:t xml:space="preserve">Act other than s. 1 and 2: 16 Aug 1996 (see s. 2 and </w:t>
            </w:r>
            <w:r>
              <w:rPr>
                <w:i/>
                <w:sz w:val="19"/>
              </w:rPr>
              <w:t>Gazette</w:t>
            </w:r>
            <w:r>
              <w:rPr>
                <w:sz w:val="19"/>
              </w:rPr>
              <w:t xml:space="preserve"> 16 Aug 1996 p. 4007)</w:t>
            </w:r>
          </w:p>
        </w:tc>
      </w:tr>
      <w:tr>
        <w:trPr>
          <w:cantSplit/>
        </w:trPr>
        <w:tc>
          <w:tcPr>
            <w:tcW w:w="2278" w:type="dxa"/>
          </w:tcPr>
          <w:p>
            <w:pPr>
              <w:pStyle w:val="nTable"/>
              <w:spacing w:after="40"/>
              <w:ind w:right="113"/>
              <w:rPr>
                <w:sz w:val="19"/>
              </w:rPr>
            </w:pPr>
            <w:r>
              <w:rPr>
                <w:i/>
                <w:sz w:val="19"/>
              </w:rPr>
              <w:t xml:space="preserve">Poisons Amendment Act 1995 </w:t>
            </w:r>
            <w:r>
              <w:rPr>
                <w:sz w:val="19"/>
              </w:rPr>
              <w:t>s. 43</w:t>
            </w:r>
          </w:p>
        </w:tc>
        <w:tc>
          <w:tcPr>
            <w:tcW w:w="1140" w:type="dxa"/>
          </w:tcPr>
          <w:p>
            <w:pPr>
              <w:pStyle w:val="nTable"/>
              <w:spacing w:after="40"/>
              <w:rPr>
                <w:sz w:val="19"/>
              </w:rPr>
            </w:pPr>
            <w:r>
              <w:rPr>
                <w:sz w:val="19"/>
              </w:rPr>
              <w:t>48 of 1995</w:t>
            </w:r>
          </w:p>
        </w:tc>
        <w:tc>
          <w:tcPr>
            <w:tcW w:w="1136" w:type="dxa"/>
          </w:tcPr>
          <w:p>
            <w:pPr>
              <w:pStyle w:val="nTable"/>
              <w:spacing w:after="40"/>
              <w:rPr>
                <w:sz w:val="19"/>
              </w:rPr>
            </w:pPr>
            <w:r>
              <w:rPr>
                <w:sz w:val="19"/>
              </w:rPr>
              <w:t>6 Nov 1995</w:t>
            </w:r>
          </w:p>
        </w:tc>
        <w:tc>
          <w:tcPr>
            <w:tcW w:w="2571" w:type="dxa"/>
            <w:gridSpan w:val="2"/>
          </w:tcPr>
          <w:p>
            <w:pPr>
              <w:pStyle w:val="nTable"/>
              <w:spacing w:after="40"/>
              <w:rPr>
                <w:sz w:val="19"/>
              </w:rPr>
            </w:pPr>
            <w:r>
              <w:rPr>
                <w:sz w:val="19"/>
              </w:rPr>
              <w:t xml:space="preserve">20 Mar 1996 (see s. 2 and </w:t>
            </w:r>
            <w:r>
              <w:rPr>
                <w:i/>
                <w:sz w:val="19"/>
              </w:rPr>
              <w:t>Gazette</w:t>
            </w:r>
            <w:r>
              <w:rPr>
                <w:sz w:val="19"/>
              </w:rPr>
              <w:t xml:space="preserve"> 19 Mar 1996 p. 1203)</w:t>
            </w:r>
          </w:p>
        </w:tc>
      </w:tr>
      <w:tr>
        <w:trPr>
          <w:cantSplit/>
        </w:trPr>
        <w:tc>
          <w:tcPr>
            <w:tcW w:w="7125" w:type="dxa"/>
            <w:gridSpan w:val="5"/>
          </w:tcPr>
          <w:p>
            <w:pPr>
              <w:pStyle w:val="nTable"/>
              <w:spacing w:after="40"/>
              <w:rPr>
                <w:sz w:val="19"/>
              </w:rPr>
            </w:pPr>
            <w:r>
              <w:rPr>
                <w:b/>
                <w:sz w:val="19"/>
              </w:rPr>
              <w:t xml:space="preserve">Reprint of the </w:t>
            </w:r>
            <w:r>
              <w:rPr>
                <w:b/>
                <w:i/>
                <w:sz w:val="19"/>
              </w:rPr>
              <w:t>Misuse of Drugs Act 1981</w:t>
            </w:r>
            <w:r>
              <w:rPr>
                <w:b/>
                <w:sz w:val="19"/>
              </w:rPr>
              <w:t xml:space="preserve"> as at 11 Nov 1996</w:t>
            </w:r>
            <w:r>
              <w:rPr>
                <w:sz w:val="19"/>
              </w:rPr>
              <w:t xml:space="preserve"> (includes amendments listed above)</w:t>
            </w:r>
          </w:p>
        </w:tc>
      </w:tr>
      <w:tr>
        <w:trPr>
          <w:cantSplit/>
        </w:trPr>
        <w:tc>
          <w:tcPr>
            <w:tcW w:w="2278" w:type="dxa"/>
          </w:tcPr>
          <w:p>
            <w:pPr>
              <w:pStyle w:val="nTable"/>
              <w:spacing w:after="40"/>
              <w:ind w:right="113"/>
              <w:rPr>
                <w:sz w:val="19"/>
              </w:rPr>
            </w:pPr>
            <w:r>
              <w:rPr>
                <w:i/>
                <w:sz w:val="19"/>
              </w:rPr>
              <w:t>Misuse of Drugs Amendment Act 1998</w:t>
            </w:r>
          </w:p>
        </w:tc>
        <w:tc>
          <w:tcPr>
            <w:tcW w:w="1140" w:type="dxa"/>
          </w:tcPr>
          <w:p>
            <w:pPr>
              <w:pStyle w:val="nTable"/>
              <w:spacing w:after="40"/>
              <w:rPr>
                <w:sz w:val="19"/>
              </w:rPr>
            </w:pPr>
            <w:r>
              <w:rPr>
                <w:sz w:val="19"/>
              </w:rPr>
              <w:t>3 of 1998</w:t>
            </w:r>
          </w:p>
        </w:tc>
        <w:tc>
          <w:tcPr>
            <w:tcW w:w="1136" w:type="dxa"/>
          </w:tcPr>
          <w:p>
            <w:pPr>
              <w:pStyle w:val="nTable"/>
              <w:spacing w:after="40"/>
              <w:rPr>
                <w:sz w:val="19"/>
              </w:rPr>
            </w:pPr>
            <w:r>
              <w:rPr>
                <w:sz w:val="19"/>
              </w:rPr>
              <w:t>26 Mar 1998</w:t>
            </w:r>
          </w:p>
        </w:tc>
        <w:tc>
          <w:tcPr>
            <w:tcW w:w="2571" w:type="dxa"/>
            <w:gridSpan w:val="2"/>
          </w:tcPr>
          <w:p>
            <w:pPr>
              <w:pStyle w:val="nTable"/>
              <w:spacing w:after="40"/>
              <w:rPr>
                <w:sz w:val="19"/>
              </w:rPr>
            </w:pPr>
            <w:r>
              <w:rPr>
                <w:sz w:val="19"/>
              </w:rPr>
              <w:t>26 Mar 1998 (see s. 2)</w:t>
            </w:r>
          </w:p>
        </w:tc>
      </w:tr>
      <w:tr>
        <w:trPr>
          <w:cantSplit/>
        </w:trPr>
        <w:tc>
          <w:tcPr>
            <w:tcW w:w="2278" w:type="dxa"/>
          </w:tcPr>
          <w:p>
            <w:pPr>
              <w:pStyle w:val="nTable"/>
              <w:spacing w:after="40"/>
              <w:ind w:right="113"/>
              <w:rPr>
                <w:i/>
                <w:sz w:val="19"/>
              </w:rPr>
            </w:pPr>
            <w:r>
              <w:rPr>
                <w:i/>
                <w:sz w:val="19"/>
              </w:rPr>
              <w:t xml:space="preserve">Statutes (Repeals and Minor Amendments) Act 2000 </w:t>
            </w:r>
            <w:r>
              <w:rPr>
                <w:sz w:val="19"/>
              </w:rPr>
              <w:t>s. 27</w:t>
            </w:r>
          </w:p>
        </w:tc>
        <w:tc>
          <w:tcPr>
            <w:tcW w:w="1140" w:type="dxa"/>
          </w:tcPr>
          <w:p>
            <w:pPr>
              <w:pStyle w:val="nTable"/>
              <w:spacing w:after="40"/>
              <w:rPr>
                <w:sz w:val="19"/>
              </w:rPr>
            </w:pPr>
            <w:r>
              <w:rPr>
                <w:sz w:val="19"/>
              </w:rPr>
              <w:t>24 of 2000</w:t>
            </w:r>
          </w:p>
        </w:tc>
        <w:tc>
          <w:tcPr>
            <w:tcW w:w="1136" w:type="dxa"/>
          </w:tcPr>
          <w:p>
            <w:pPr>
              <w:pStyle w:val="nTable"/>
              <w:spacing w:after="40"/>
              <w:rPr>
                <w:sz w:val="19"/>
              </w:rPr>
            </w:pPr>
            <w:r>
              <w:rPr>
                <w:sz w:val="19"/>
              </w:rPr>
              <w:t>4 Jul 2000</w:t>
            </w:r>
          </w:p>
        </w:tc>
        <w:tc>
          <w:tcPr>
            <w:tcW w:w="2571" w:type="dxa"/>
            <w:gridSpan w:val="2"/>
          </w:tcPr>
          <w:p>
            <w:pPr>
              <w:pStyle w:val="nTable"/>
              <w:spacing w:after="40"/>
              <w:rPr>
                <w:sz w:val="19"/>
              </w:rPr>
            </w:pPr>
            <w:r>
              <w:rPr>
                <w:sz w:val="19"/>
              </w:rPr>
              <w:t>4 Jul 2000 (see s. 2)</w:t>
            </w:r>
          </w:p>
        </w:tc>
      </w:tr>
      <w:tr>
        <w:trPr>
          <w:cantSplit/>
        </w:trPr>
        <w:tc>
          <w:tcPr>
            <w:tcW w:w="2278" w:type="dxa"/>
          </w:tcPr>
          <w:p>
            <w:pPr>
              <w:pStyle w:val="nTable"/>
              <w:spacing w:after="40"/>
              <w:ind w:right="113"/>
              <w:rPr>
                <w:sz w:val="19"/>
                <w:vertAlign w:val="superscript"/>
              </w:rPr>
            </w:pPr>
            <w:r>
              <w:rPr>
                <w:i/>
                <w:sz w:val="19"/>
              </w:rPr>
              <w:t xml:space="preserve">Criminal Property Confiscation (Consequential Provisions) Act 2000 </w:t>
            </w:r>
            <w:r>
              <w:rPr>
                <w:sz w:val="19"/>
              </w:rPr>
              <w:t>s. 5</w:t>
            </w:r>
            <w:r>
              <w:rPr>
                <w:sz w:val="19"/>
                <w:vertAlign w:val="superscript"/>
              </w:rPr>
              <w:t> 3</w:t>
            </w:r>
          </w:p>
        </w:tc>
        <w:tc>
          <w:tcPr>
            <w:tcW w:w="1140" w:type="dxa"/>
          </w:tcPr>
          <w:p>
            <w:pPr>
              <w:pStyle w:val="nTable"/>
              <w:spacing w:after="40"/>
              <w:rPr>
                <w:sz w:val="19"/>
              </w:rPr>
            </w:pPr>
            <w:r>
              <w:rPr>
                <w:sz w:val="19"/>
              </w:rPr>
              <w:t>69 of 2000</w:t>
            </w:r>
          </w:p>
        </w:tc>
        <w:tc>
          <w:tcPr>
            <w:tcW w:w="1136" w:type="dxa"/>
          </w:tcPr>
          <w:p>
            <w:pPr>
              <w:pStyle w:val="nTable"/>
              <w:spacing w:after="40"/>
              <w:rPr>
                <w:sz w:val="19"/>
              </w:rPr>
            </w:pPr>
            <w:r>
              <w:rPr>
                <w:sz w:val="19"/>
              </w:rPr>
              <w:t>6 Dec 2000</w:t>
            </w:r>
          </w:p>
        </w:tc>
        <w:tc>
          <w:tcPr>
            <w:tcW w:w="2571" w:type="dxa"/>
            <w:gridSpan w:val="2"/>
          </w:tcPr>
          <w:p>
            <w:pPr>
              <w:pStyle w:val="nTable"/>
              <w:spacing w:after="40"/>
              <w:rPr>
                <w:sz w:val="19"/>
              </w:rPr>
            </w:pPr>
            <w:r>
              <w:rPr>
                <w:sz w:val="19"/>
              </w:rPr>
              <w:t xml:space="preserve">1 Jan 2001 (see s. 2 and </w:t>
            </w:r>
            <w:r>
              <w:rPr>
                <w:i/>
                <w:sz w:val="19"/>
              </w:rPr>
              <w:t>Gazette</w:t>
            </w:r>
            <w:r>
              <w:rPr>
                <w:sz w:val="19"/>
              </w:rPr>
              <w:t> 29 Dec 2000 p. 7903)</w:t>
            </w:r>
          </w:p>
        </w:tc>
      </w:tr>
      <w:tr>
        <w:trPr>
          <w:cantSplit/>
        </w:trPr>
        <w:tc>
          <w:tcPr>
            <w:tcW w:w="7125" w:type="dxa"/>
            <w:gridSpan w:val="5"/>
          </w:tcPr>
          <w:p>
            <w:pPr>
              <w:pStyle w:val="nTable"/>
              <w:spacing w:after="40"/>
              <w:rPr>
                <w:sz w:val="19"/>
              </w:rPr>
            </w:pPr>
            <w:r>
              <w:rPr>
                <w:b/>
                <w:sz w:val="19"/>
              </w:rPr>
              <w:t xml:space="preserve">Reprint of the </w:t>
            </w:r>
            <w:r>
              <w:rPr>
                <w:b/>
                <w:i/>
                <w:sz w:val="19"/>
              </w:rPr>
              <w:t>Misuse of Drugs Act 1981</w:t>
            </w:r>
            <w:r>
              <w:rPr>
                <w:b/>
                <w:sz w:val="19"/>
              </w:rPr>
              <w:t xml:space="preserve"> as at 11 Jan 2002</w:t>
            </w:r>
            <w:r>
              <w:rPr>
                <w:sz w:val="19"/>
              </w:rPr>
              <w:t xml:space="preserve"> (includes amendments listed above)</w:t>
            </w:r>
          </w:p>
        </w:tc>
      </w:tr>
      <w:tr>
        <w:trPr>
          <w:cantSplit/>
        </w:trPr>
        <w:tc>
          <w:tcPr>
            <w:tcW w:w="2278" w:type="dxa"/>
          </w:tcPr>
          <w:p>
            <w:pPr>
              <w:pStyle w:val="nTable"/>
              <w:spacing w:after="40"/>
              <w:rPr>
                <w:sz w:val="19"/>
              </w:rPr>
            </w:pPr>
            <w:r>
              <w:rPr>
                <w:i/>
                <w:sz w:val="19"/>
              </w:rPr>
              <w:t>Nurses Amendment Act 2003</w:t>
            </w:r>
            <w:r>
              <w:rPr>
                <w:sz w:val="19"/>
              </w:rPr>
              <w:t xml:space="preserve"> Pt. 3 Div. 2</w:t>
            </w:r>
          </w:p>
        </w:tc>
        <w:tc>
          <w:tcPr>
            <w:tcW w:w="1140" w:type="dxa"/>
          </w:tcPr>
          <w:p>
            <w:pPr>
              <w:pStyle w:val="nTable"/>
              <w:spacing w:after="40"/>
              <w:rPr>
                <w:sz w:val="19"/>
              </w:rPr>
            </w:pPr>
            <w:r>
              <w:rPr>
                <w:sz w:val="19"/>
              </w:rPr>
              <w:t>9 of 2003</w:t>
            </w:r>
          </w:p>
        </w:tc>
        <w:tc>
          <w:tcPr>
            <w:tcW w:w="1136" w:type="dxa"/>
          </w:tcPr>
          <w:p>
            <w:pPr>
              <w:pStyle w:val="nTable"/>
              <w:spacing w:after="40"/>
              <w:rPr>
                <w:sz w:val="19"/>
              </w:rPr>
            </w:pPr>
            <w:r>
              <w:rPr>
                <w:sz w:val="19"/>
              </w:rPr>
              <w:t>9 Apr 2003</w:t>
            </w:r>
          </w:p>
        </w:tc>
        <w:tc>
          <w:tcPr>
            <w:tcW w:w="2571" w:type="dxa"/>
            <w:gridSpan w:val="2"/>
          </w:tcPr>
          <w:p>
            <w:pPr>
              <w:pStyle w:val="nTable"/>
              <w:spacing w:after="40"/>
              <w:rPr>
                <w:sz w:val="19"/>
              </w:rPr>
            </w:pPr>
            <w:r>
              <w:rPr>
                <w:sz w:val="19"/>
              </w:rPr>
              <w:t>9 Apr 2003 (see s. 2)</w:t>
            </w:r>
          </w:p>
        </w:tc>
      </w:tr>
      <w:tr>
        <w:trPr>
          <w:cantSplit/>
        </w:trPr>
        <w:tc>
          <w:tcPr>
            <w:tcW w:w="2278" w:type="dxa"/>
          </w:tcPr>
          <w:p>
            <w:pPr>
              <w:pStyle w:val="nTable"/>
              <w:spacing w:after="40"/>
              <w:rPr>
                <w:sz w:val="19"/>
              </w:rPr>
            </w:pPr>
            <w:r>
              <w:rPr>
                <w:i/>
                <w:sz w:val="19"/>
              </w:rPr>
              <w:t>Cannabis Control Act 2003</w:t>
            </w:r>
            <w:r>
              <w:rPr>
                <w:sz w:val="19"/>
              </w:rPr>
              <w:t xml:space="preserve"> Pt. 5</w:t>
            </w:r>
          </w:p>
        </w:tc>
        <w:tc>
          <w:tcPr>
            <w:tcW w:w="1140" w:type="dxa"/>
          </w:tcPr>
          <w:p>
            <w:pPr>
              <w:pStyle w:val="nTable"/>
              <w:spacing w:after="40"/>
              <w:rPr>
                <w:sz w:val="19"/>
              </w:rPr>
            </w:pPr>
            <w:r>
              <w:rPr>
                <w:sz w:val="19"/>
              </w:rPr>
              <w:t>52 of 2003</w:t>
            </w:r>
          </w:p>
        </w:tc>
        <w:tc>
          <w:tcPr>
            <w:tcW w:w="1136" w:type="dxa"/>
          </w:tcPr>
          <w:p>
            <w:pPr>
              <w:pStyle w:val="nTable"/>
              <w:spacing w:after="40"/>
              <w:rPr>
                <w:sz w:val="19"/>
              </w:rPr>
            </w:pPr>
            <w:r>
              <w:rPr>
                <w:sz w:val="19"/>
              </w:rPr>
              <w:t>1 Oct 2003</w:t>
            </w:r>
          </w:p>
        </w:tc>
        <w:tc>
          <w:tcPr>
            <w:tcW w:w="2571" w:type="dxa"/>
            <w:gridSpan w:val="2"/>
          </w:tcPr>
          <w:p>
            <w:pPr>
              <w:pStyle w:val="nTable"/>
              <w:spacing w:after="40"/>
              <w:rPr>
                <w:sz w:val="19"/>
              </w:rPr>
            </w:pPr>
            <w:r>
              <w:rPr>
                <w:sz w:val="19"/>
              </w:rPr>
              <w:t xml:space="preserve">22 Mar 2004 (see s. 2 and </w:t>
            </w:r>
            <w:r>
              <w:rPr>
                <w:i/>
                <w:sz w:val="19"/>
              </w:rPr>
              <w:t>Gazette</w:t>
            </w:r>
            <w:r>
              <w:rPr>
                <w:sz w:val="19"/>
              </w:rPr>
              <w:t xml:space="preserve"> 9 Mar 2004 p. 733)</w:t>
            </w:r>
          </w:p>
        </w:tc>
      </w:tr>
      <w:tr>
        <w:trPr>
          <w:cantSplit/>
        </w:trPr>
        <w:tc>
          <w:tcPr>
            <w:tcW w:w="2278" w:type="dxa"/>
          </w:tcPr>
          <w:p>
            <w:pPr>
              <w:pStyle w:val="nTable"/>
              <w:spacing w:after="40"/>
              <w:rPr>
                <w:sz w:val="19"/>
              </w:rPr>
            </w:pPr>
            <w:r>
              <w:rPr>
                <w:i/>
                <w:sz w:val="19"/>
              </w:rPr>
              <w:t>Industrial Hemp Act 2004</w:t>
            </w:r>
            <w:r>
              <w:rPr>
                <w:sz w:val="19"/>
              </w:rPr>
              <w:t xml:space="preserve"> Pt. 7</w:t>
            </w:r>
          </w:p>
        </w:tc>
        <w:tc>
          <w:tcPr>
            <w:tcW w:w="1140" w:type="dxa"/>
          </w:tcPr>
          <w:p>
            <w:pPr>
              <w:pStyle w:val="nTable"/>
              <w:spacing w:after="40"/>
              <w:rPr>
                <w:sz w:val="19"/>
              </w:rPr>
            </w:pPr>
            <w:r>
              <w:rPr>
                <w:sz w:val="19"/>
              </w:rPr>
              <w:t>1 of 2004</w:t>
            </w:r>
          </w:p>
        </w:tc>
        <w:tc>
          <w:tcPr>
            <w:tcW w:w="1136" w:type="dxa"/>
          </w:tcPr>
          <w:p>
            <w:pPr>
              <w:pStyle w:val="nTable"/>
              <w:spacing w:after="40"/>
              <w:rPr>
                <w:sz w:val="19"/>
              </w:rPr>
            </w:pPr>
            <w:r>
              <w:rPr>
                <w:sz w:val="19"/>
              </w:rPr>
              <w:t>12 Mar 2004</w:t>
            </w:r>
          </w:p>
        </w:tc>
        <w:tc>
          <w:tcPr>
            <w:tcW w:w="2571" w:type="dxa"/>
            <w:gridSpan w:val="2"/>
          </w:tcPr>
          <w:p>
            <w:pPr>
              <w:pStyle w:val="nTable"/>
              <w:spacing w:after="40"/>
              <w:rPr>
                <w:sz w:val="19"/>
              </w:rPr>
            </w:pPr>
            <w:r>
              <w:rPr>
                <w:sz w:val="19"/>
              </w:rPr>
              <w:t xml:space="preserve">19 May 2004 (see s. 2 and </w:t>
            </w:r>
            <w:r>
              <w:rPr>
                <w:i/>
                <w:sz w:val="19"/>
              </w:rPr>
              <w:t>Gazette</w:t>
            </w:r>
            <w:r>
              <w:rPr>
                <w:sz w:val="19"/>
              </w:rPr>
              <w:t xml:space="preserve"> 18 May 2004 p. 1561)</w:t>
            </w:r>
          </w:p>
        </w:tc>
      </w:tr>
      <w:tr>
        <w:trPr>
          <w:cantSplit/>
        </w:trPr>
        <w:tc>
          <w:tcPr>
            <w:tcW w:w="2278" w:type="dxa"/>
          </w:tcPr>
          <w:p>
            <w:pPr>
              <w:pStyle w:val="nTable"/>
              <w:spacing w:after="40"/>
              <w:rPr>
                <w:i/>
                <w:sz w:val="19"/>
              </w:rPr>
            </w:pPr>
            <w:r>
              <w:rPr>
                <w:i/>
                <w:noProof/>
                <w:snapToGrid w:val="0"/>
                <w:sz w:val="19"/>
              </w:rPr>
              <w:t xml:space="preserve">Criminal Code Amendment Act 2004 </w:t>
            </w:r>
            <w:r>
              <w:rPr>
                <w:noProof/>
                <w:snapToGrid w:val="0"/>
                <w:sz w:val="19"/>
              </w:rPr>
              <w:t>s. 58</w:t>
            </w:r>
          </w:p>
        </w:tc>
        <w:tc>
          <w:tcPr>
            <w:tcW w:w="1140" w:type="dxa"/>
          </w:tcPr>
          <w:p>
            <w:pPr>
              <w:pStyle w:val="nTable"/>
              <w:spacing w:after="40"/>
              <w:rPr>
                <w:sz w:val="19"/>
              </w:rPr>
            </w:pPr>
            <w:r>
              <w:rPr>
                <w:sz w:val="19"/>
              </w:rPr>
              <w:t>4 of 2004</w:t>
            </w:r>
          </w:p>
        </w:tc>
        <w:tc>
          <w:tcPr>
            <w:tcW w:w="1136" w:type="dxa"/>
          </w:tcPr>
          <w:p>
            <w:pPr>
              <w:pStyle w:val="nTable"/>
              <w:spacing w:after="40"/>
              <w:rPr>
                <w:sz w:val="19"/>
              </w:rPr>
            </w:pPr>
            <w:r>
              <w:rPr>
                <w:sz w:val="19"/>
              </w:rPr>
              <w:t>23 Apr 2004</w:t>
            </w:r>
          </w:p>
        </w:tc>
        <w:tc>
          <w:tcPr>
            <w:tcW w:w="2571" w:type="dxa"/>
            <w:gridSpan w:val="2"/>
          </w:tcPr>
          <w:p>
            <w:pPr>
              <w:pStyle w:val="nTable"/>
              <w:spacing w:after="40"/>
              <w:rPr>
                <w:sz w:val="19"/>
              </w:rPr>
            </w:pPr>
            <w:r>
              <w:rPr>
                <w:sz w:val="19"/>
              </w:rPr>
              <w:t>21 May 2004 (see s. 2)</w:t>
            </w:r>
          </w:p>
        </w:tc>
      </w:tr>
      <w:tr>
        <w:trPr>
          <w:cantSplit/>
        </w:trPr>
        <w:tc>
          <w:tcPr>
            <w:tcW w:w="2278" w:type="dxa"/>
          </w:tcPr>
          <w:p>
            <w:pPr>
              <w:pStyle w:val="nTable"/>
              <w:spacing w:after="40"/>
              <w:rPr>
                <w:i/>
                <w:noProof/>
                <w:snapToGrid w:val="0"/>
                <w:sz w:val="19"/>
              </w:rPr>
            </w:pPr>
            <w:r>
              <w:rPr>
                <w:i/>
                <w:snapToGrid w:val="0"/>
                <w:sz w:val="19"/>
                <w:lang w:val="en-US"/>
              </w:rPr>
              <w:t>Courts Legislation Amendment and Repeal Act 2004</w:t>
            </w:r>
            <w:r>
              <w:rPr>
                <w:snapToGrid w:val="0"/>
                <w:sz w:val="19"/>
                <w:lang w:val="en-US"/>
              </w:rPr>
              <w:t xml:space="preserve"> s. 141</w:t>
            </w:r>
          </w:p>
        </w:tc>
        <w:tc>
          <w:tcPr>
            <w:tcW w:w="1140" w:type="dxa"/>
          </w:tcPr>
          <w:p>
            <w:pPr>
              <w:pStyle w:val="nTable"/>
              <w:spacing w:after="40"/>
              <w:rPr>
                <w:sz w:val="19"/>
              </w:rPr>
            </w:pPr>
            <w:r>
              <w:rPr>
                <w:snapToGrid w:val="0"/>
                <w:sz w:val="19"/>
                <w:lang w:val="en-US"/>
              </w:rPr>
              <w:t>59 of 2004</w:t>
            </w:r>
          </w:p>
        </w:tc>
        <w:tc>
          <w:tcPr>
            <w:tcW w:w="1136" w:type="dxa"/>
          </w:tcPr>
          <w:p>
            <w:pPr>
              <w:pStyle w:val="nTable"/>
              <w:spacing w:after="40"/>
              <w:rPr>
                <w:sz w:val="19"/>
              </w:rPr>
            </w:pPr>
            <w:r>
              <w:rPr>
                <w:sz w:val="19"/>
              </w:rPr>
              <w:t>23 Nov 2004</w:t>
            </w:r>
          </w:p>
        </w:tc>
        <w:tc>
          <w:tcPr>
            <w:tcW w:w="2571"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78" w:type="dxa"/>
          </w:tcPr>
          <w:p>
            <w:pPr>
              <w:pStyle w:val="nTable"/>
              <w:spacing w:after="40"/>
              <w:rPr>
                <w:noProof/>
                <w:snapToGrid w:val="0"/>
                <w:sz w:val="19"/>
              </w:rPr>
            </w:pPr>
            <w:r>
              <w:rPr>
                <w:i/>
                <w:snapToGrid w:val="0"/>
                <w:sz w:val="19"/>
                <w:lang w:val="en-US"/>
              </w:rPr>
              <w:t>Misuse of Drugs Amendment Act 2004</w:t>
            </w:r>
            <w:r>
              <w:rPr>
                <w:snapToGrid w:val="0"/>
                <w:sz w:val="19"/>
                <w:lang w:val="en-US"/>
              </w:rPr>
              <w:t xml:space="preserve"> </w:t>
            </w:r>
          </w:p>
        </w:tc>
        <w:tc>
          <w:tcPr>
            <w:tcW w:w="1140" w:type="dxa"/>
          </w:tcPr>
          <w:p>
            <w:pPr>
              <w:pStyle w:val="nTable"/>
              <w:spacing w:after="40"/>
              <w:rPr>
                <w:sz w:val="19"/>
              </w:rPr>
            </w:pPr>
            <w:r>
              <w:rPr>
                <w:snapToGrid w:val="0"/>
                <w:sz w:val="19"/>
                <w:lang w:val="en-US"/>
              </w:rPr>
              <w:t>62 of 2004</w:t>
            </w:r>
          </w:p>
        </w:tc>
        <w:tc>
          <w:tcPr>
            <w:tcW w:w="1136" w:type="dxa"/>
          </w:tcPr>
          <w:p>
            <w:pPr>
              <w:pStyle w:val="nTable"/>
              <w:spacing w:after="40"/>
              <w:rPr>
                <w:sz w:val="19"/>
              </w:rPr>
            </w:pPr>
            <w:r>
              <w:rPr>
                <w:sz w:val="19"/>
              </w:rPr>
              <w:t>24 Nov 2004</w:t>
            </w:r>
          </w:p>
        </w:tc>
        <w:tc>
          <w:tcPr>
            <w:tcW w:w="2571" w:type="dxa"/>
            <w:gridSpan w:val="2"/>
          </w:tcPr>
          <w:p>
            <w:pPr>
              <w:pStyle w:val="nTable"/>
              <w:spacing w:after="40"/>
              <w:rPr>
                <w:sz w:val="19"/>
              </w:rPr>
            </w:pPr>
            <w:r>
              <w:rPr>
                <w:sz w:val="19"/>
              </w:rPr>
              <w:t>s. 1 and 2: 24 Nov 2004;</w:t>
            </w:r>
            <w:r>
              <w:rPr>
                <w:sz w:val="19"/>
              </w:rPr>
              <w:br/>
              <w:t xml:space="preserve">Act other than s. 1 and 2: </w:t>
            </w:r>
            <w:r>
              <w:rPr>
                <w:sz w:val="19"/>
              </w:rPr>
              <w:br/>
              <w:t xml:space="preserve">1 Jan 2005 (see s. 2 and </w:t>
            </w:r>
            <w:r>
              <w:rPr>
                <w:i/>
                <w:sz w:val="19"/>
              </w:rPr>
              <w:t xml:space="preserve">Gazette </w:t>
            </w:r>
            <w:r>
              <w:rPr>
                <w:sz w:val="19"/>
              </w:rPr>
              <w:t>10 Dec 2004 p. 5965)</w:t>
            </w:r>
          </w:p>
        </w:tc>
      </w:tr>
      <w:tr>
        <w:trPr>
          <w:cantSplit/>
        </w:trPr>
        <w:tc>
          <w:tcPr>
            <w:tcW w:w="227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82</w:t>
            </w:r>
          </w:p>
        </w:tc>
        <w:tc>
          <w:tcPr>
            <w:tcW w:w="1140" w:type="dxa"/>
          </w:tcPr>
          <w:p>
            <w:pPr>
              <w:pStyle w:val="nTable"/>
              <w:spacing w:after="40"/>
              <w:rPr>
                <w:snapToGrid w:val="0"/>
                <w:sz w:val="19"/>
                <w:lang w:val="en-US"/>
              </w:rPr>
            </w:pPr>
            <w:r>
              <w:rPr>
                <w:snapToGrid w:val="0"/>
                <w:sz w:val="19"/>
                <w:lang w:val="en-US"/>
              </w:rPr>
              <w:t>84 of 2004</w:t>
            </w:r>
          </w:p>
        </w:tc>
        <w:tc>
          <w:tcPr>
            <w:tcW w:w="1136" w:type="dxa"/>
          </w:tcPr>
          <w:p>
            <w:pPr>
              <w:pStyle w:val="nTable"/>
              <w:spacing w:after="40"/>
              <w:rPr>
                <w:sz w:val="19"/>
              </w:rPr>
            </w:pPr>
            <w:r>
              <w:rPr>
                <w:sz w:val="19"/>
              </w:rPr>
              <w:t>16 Dec 2004</w:t>
            </w:r>
          </w:p>
        </w:tc>
        <w:tc>
          <w:tcPr>
            <w:tcW w:w="2571"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125" w:type="dxa"/>
            <w:gridSpan w:val="5"/>
          </w:tcPr>
          <w:p>
            <w:pPr>
              <w:pStyle w:val="nTable"/>
              <w:spacing w:after="40"/>
              <w:rPr>
                <w:snapToGrid w:val="0"/>
                <w:sz w:val="19"/>
                <w:lang w:val="en-US"/>
              </w:rPr>
            </w:pPr>
            <w:r>
              <w:rPr>
                <w:b/>
                <w:sz w:val="19"/>
              </w:rPr>
              <w:t xml:space="preserve">Reprint 3: The </w:t>
            </w:r>
            <w:r>
              <w:rPr>
                <w:b/>
                <w:i/>
                <w:sz w:val="19"/>
              </w:rPr>
              <w:t>Misuse of Drugs Act 1981</w:t>
            </w:r>
            <w:r>
              <w:rPr>
                <w:b/>
                <w:sz w:val="19"/>
              </w:rPr>
              <w:t xml:space="preserve"> as at 1 Jul 2005</w:t>
            </w:r>
            <w:r>
              <w:rPr>
                <w:sz w:val="19"/>
              </w:rPr>
              <w:t xml:space="preserve"> (includes amendments listed above)</w:t>
            </w:r>
          </w:p>
        </w:tc>
      </w:tr>
      <w:tr>
        <w:trPr>
          <w:cantSplit/>
        </w:trPr>
        <w:tc>
          <w:tcPr>
            <w:tcW w:w="2278" w:type="dxa"/>
          </w:tcPr>
          <w:p>
            <w:pPr>
              <w:pStyle w:val="nTable"/>
              <w:spacing w:after="40"/>
              <w:rPr>
                <w:i/>
                <w:snapToGrid w:val="0"/>
                <w:sz w:val="19"/>
                <w:vertAlign w:val="superscript"/>
                <w:lang w:val="en-US"/>
              </w:rPr>
            </w:pPr>
            <w:r>
              <w:rPr>
                <w:i/>
                <w:snapToGrid w:val="0"/>
                <w:sz w:val="19"/>
                <w:lang w:val="en-US"/>
              </w:rPr>
              <w:t xml:space="preserve">Machinery of Government (Miscellaneous Amendments) Act 2006 </w:t>
            </w:r>
            <w:r>
              <w:rPr>
                <w:snapToGrid w:val="0"/>
                <w:sz w:val="19"/>
                <w:lang w:val="en-US"/>
              </w:rPr>
              <w:t>Pt. 14 Div. 2</w:t>
            </w:r>
          </w:p>
        </w:tc>
        <w:tc>
          <w:tcPr>
            <w:tcW w:w="1140" w:type="dxa"/>
          </w:tcPr>
          <w:p>
            <w:pPr>
              <w:pStyle w:val="nTable"/>
              <w:spacing w:after="40"/>
              <w:rPr>
                <w:snapToGrid w:val="0"/>
                <w:sz w:val="19"/>
                <w:lang w:val="en-US"/>
              </w:rPr>
            </w:pPr>
            <w:r>
              <w:rPr>
                <w:snapToGrid w:val="0"/>
                <w:sz w:val="19"/>
                <w:lang w:val="en-US"/>
              </w:rPr>
              <w:t>28 of 2006</w:t>
            </w:r>
          </w:p>
        </w:tc>
        <w:tc>
          <w:tcPr>
            <w:tcW w:w="1136" w:type="dxa"/>
          </w:tcPr>
          <w:p>
            <w:pPr>
              <w:pStyle w:val="nTable"/>
              <w:spacing w:after="40"/>
              <w:rPr>
                <w:sz w:val="19"/>
              </w:rPr>
            </w:pPr>
            <w:r>
              <w:rPr>
                <w:sz w:val="19"/>
              </w:rPr>
              <w:t>26 Jun 2006</w:t>
            </w:r>
          </w:p>
        </w:tc>
        <w:tc>
          <w:tcPr>
            <w:tcW w:w="2571" w:type="dxa"/>
            <w:gridSpan w:val="2"/>
          </w:tcPr>
          <w:p>
            <w:pPr>
              <w:pStyle w:val="nTable"/>
              <w:spacing w:after="40"/>
              <w:rPr>
                <w:sz w:val="19"/>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rPr>
          <w:cantSplit/>
        </w:trPr>
        <w:tc>
          <w:tcPr>
            <w:tcW w:w="2278" w:type="dxa"/>
          </w:tcPr>
          <w:p>
            <w:pPr>
              <w:pStyle w:val="nTable"/>
              <w:spacing w:after="40"/>
              <w:rPr>
                <w:i/>
                <w:snapToGrid w:val="0"/>
                <w:sz w:val="19"/>
                <w:lang w:val="en-US"/>
              </w:rPr>
            </w:pPr>
            <w:r>
              <w:rPr>
                <w:i/>
                <w:snapToGrid w:val="0"/>
                <w:sz w:val="19"/>
                <w:lang w:val="en-US"/>
              </w:rPr>
              <w:t>Misuse of Drugs Amendment Act 2006</w:t>
            </w:r>
            <w:r>
              <w:rPr>
                <w:snapToGrid w:val="0"/>
                <w:sz w:val="19"/>
                <w:lang w:val="en-US"/>
              </w:rPr>
              <w:t xml:space="preserve"> </w:t>
            </w:r>
          </w:p>
        </w:tc>
        <w:tc>
          <w:tcPr>
            <w:tcW w:w="1140" w:type="dxa"/>
          </w:tcPr>
          <w:p>
            <w:pPr>
              <w:pStyle w:val="nTable"/>
              <w:spacing w:after="40"/>
              <w:rPr>
                <w:snapToGrid w:val="0"/>
                <w:sz w:val="19"/>
                <w:lang w:val="en-US"/>
              </w:rPr>
            </w:pPr>
            <w:r>
              <w:rPr>
                <w:snapToGrid w:val="0"/>
                <w:sz w:val="19"/>
                <w:lang w:val="en-US"/>
              </w:rPr>
              <w:t>40 of 2006</w:t>
            </w:r>
          </w:p>
        </w:tc>
        <w:tc>
          <w:tcPr>
            <w:tcW w:w="1136" w:type="dxa"/>
          </w:tcPr>
          <w:p>
            <w:pPr>
              <w:pStyle w:val="nTable"/>
              <w:spacing w:after="40"/>
              <w:rPr>
                <w:sz w:val="19"/>
              </w:rPr>
            </w:pPr>
            <w:r>
              <w:rPr>
                <w:snapToGrid w:val="0"/>
                <w:sz w:val="19"/>
                <w:lang w:val="en-US"/>
              </w:rPr>
              <w:t>22 Sep 2006</w:t>
            </w:r>
          </w:p>
        </w:tc>
        <w:tc>
          <w:tcPr>
            <w:tcW w:w="2571" w:type="dxa"/>
            <w:gridSpan w:val="2"/>
          </w:tcPr>
          <w:p>
            <w:pPr>
              <w:pStyle w:val="nTable"/>
              <w:spacing w:after="40"/>
              <w:rPr>
                <w:snapToGrid w:val="0"/>
                <w:sz w:val="19"/>
                <w:lang w:val="en-US"/>
              </w:rPr>
            </w:pPr>
            <w:r>
              <w:rPr>
                <w:sz w:val="19"/>
              </w:rPr>
              <w:t>s. 1 and 2: 22 Sep 2006;</w:t>
            </w:r>
            <w:r>
              <w:rPr>
                <w:sz w:val="19"/>
              </w:rPr>
              <w:br/>
              <w:t xml:space="preserve">Act other than s. 1 and 2: </w:t>
            </w:r>
            <w:r>
              <w:rPr>
                <w:sz w:val="19"/>
              </w:rPr>
              <w:br/>
              <w:t xml:space="preserve">28 Apr 2007 (see s. 2 and </w:t>
            </w:r>
            <w:r>
              <w:rPr>
                <w:i/>
                <w:iCs/>
                <w:sz w:val="19"/>
              </w:rPr>
              <w:t>Gazette</w:t>
            </w:r>
            <w:r>
              <w:rPr>
                <w:sz w:val="19"/>
              </w:rPr>
              <w:t xml:space="preserve"> 27 Apr 2007 p. 1775)</w:t>
            </w:r>
          </w:p>
        </w:tc>
      </w:tr>
      <w:tr>
        <w:trPr>
          <w:cantSplit/>
        </w:trPr>
        <w:tc>
          <w:tcPr>
            <w:tcW w:w="2278" w:type="dxa"/>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 114</w:t>
            </w:r>
          </w:p>
        </w:tc>
        <w:tc>
          <w:tcPr>
            <w:tcW w:w="1140" w:type="dxa"/>
          </w:tcPr>
          <w:p>
            <w:pPr>
              <w:pStyle w:val="nTable"/>
              <w:spacing w:after="40"/>
              <w:rPr>
                <w:snapToGrid w:val="0"/>
                <w:sz w:val="19"/>
                <w:lang w:val="en-US"/>
              </w:rPr>
            </w:pPr>
            <w:r>
              <w:rPr>
                <w:snapToGrid w:val="0"/>
                <w:sz w:val="19"/>
                <w:lang w:val="en-US"/>
              </w:rPr>
              <w:t>50 of 2006</w:t>
            </w:r>
          </w:p>
        </w:tc>
        <w:tc>
          <w:tcPr>
            <w:tcW w:w="1136" w:type="dxa"/>
          </w:tcPr>
          <w:p>
            <w:pPr>
              <w:pStyle w:val="nTable"/>
              <w:spacing w:after="40"/>
              <w:rPr>
                <w:snapToGrid w:val="0"/>
                <w:sz w:val="19"/>
                <w:lang w:val="en-US"/>
              </w:rPr>
            </w:pPr>
            <w:r>
              <w:rPr>
                <w:snapToGrid w:val="0"/>
                <w:sz w:val="19"/>
                <w:lang w:val="en-US"/>
              </w:rPr>
              <w:t>6 Oct 2006</w:t>
            </w:r>
          </w:p>
        </w:tc>
        <w:tc>
          <w:tcPr>
            <w:tcW w:w="2571" w:type="dxa"/>
            <w:gridSpan w:val="2"/>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rPr>
          <w:cantSplit/>
        </w:trPr>
        <w:tc>
          <w:tcPr>
            <w:tcW w:w="4554" w:type="dxa"/>
            <w:gridSpan w:val="3"/>
          </w:tcPr>
          <w:p>
            <w:pPr>
              <w:pStyle w:val="nTable"/>
              <w:spacing w:after="40"/>
              <w:rPr>
                <w:snapToGrid w:val="0"/>
                <w:sz w:val="19"/>
                <w:lang w:val="en-US"/>
              </w:rPr>
            </w:pPr>
            <w:r>
              <w:rPr>
                <w:i/>
                <w:iCs/>
                <w:snapToGrid w:val="0"/>
                <w:sz w:val="19"/>
                <w:lang w:val="en-US"/>
              </w:rPr>
              <w:t>Misuse of Drugs (Amounts of Prohibited Drugs) Order 2007</w:t>
            </w:r>
            <w:r>
              <w:rPr>
                <w:snapToGrid w:val="0"/>
                <w:sz w:val="19"/>
                <w:lang w:val="en-US"/>
              </w:rPr>
              <w:t xml:space="preserve"> published in </w:t>
            </w:r>
            <w:r>
              <w:rPr>
                <w:i/>
                <w:iCs/>
                <w:snapToGrid w:val="0"/>
                <w:sz w:val="19"/>
                <w:lang w:val="en-US"/>
              </w:rPr>
              <w:t>Gazette</w:t>
            </w:r>
            <w:r>
              <w:rPr>
                <w:snapToGrid w:val="0"/>
                <w:sz w:val="19"/>
                <w:lang w:val="en-US"/>
              </w:rPr>
              <w:t xml:space="preserve"> 7 Dec 2007 p. 5985</w:t>
            </w:r>
          </w:p>
        </w:tc>
        <w:tc>
          <w:tcPr>
            <w:tcW w:w="2571" w:type="dxa"/>
            <w:gridSpan w:val="2"/>
          </w:tcPr>
          <w:p>
            <w:pPr>
              <w:pStyle w:val="nTable"/>
              <w:spacing w:after="40"/>
              <w:rPr>
                <w:sz w:val="19"/>
              </w:rPr>
            </w:pPr>
            <w:r>
              <w:rPr>
                <w:sz w:val="19"/>
              </w:rPr>
              <w:t>cl. 1 and 2: 7 Dec 2007 (see cl. 2(a));</w:t>
            </w:r>
            <w:r>
              <w:rPr>
                <w:sz w:val="19"/>
              </w:rPr>
              <w:br/>
              <w:t>Order other than cl. 1 and 2: 8 Dec 2007 (see cl. 2(b))</w:t>
            </w:r>
          </w:p>
        </w:tc>
      </w:tr>
      <w:tr>
        <w:trPr>
          <w:cantSplit/>
        </w:trPr>
        <w:tc>
          <w:tcPr>
            <w:tcW w:w="7125" w:type="dxa"/>
            <w:gridSpan w:val="5"/>
          </w:tcPr>
          <w:p>
            <w:pPr>
              <w:pStyle w:val="nTable"/>
              <w:spacing w:after="40"/>
              <w:rPr>
                <w:sz w:val="19"/>
              </w:rPr>
            </w:pPr>
            <w:r>
              <w:rPr>
                <w:b/>
                <w:sz w:val="19"/>
              </w:rPr>
              <w:t xml:space="preserve">Reprint 4: The </w:t>
            </w:r>
            <w:r>
              <w:rPr>
                <w:b/>
                <w:i/>
                <w:sz w:val="19"/>
              </w:rPr>
              <w:t>Misuse of Drugs Act 1981</w:t>
            </w:r>
            <w:r>
              <w:rPr>
                <w:b/>
                <w:sz w:val="19"/>
              </w:rPr>
              <w:t xml:space="preserve"> as at 29 Feb 2008</w:t>
            </w:r>
            <w:r>
              <w:rPr>
                <w:sz w:val="19"/>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278" w:type="dxa"/>
            <w:tcBorders>
              <w:top w:val="nil"/>
              <w:bottom w:val="nil"/>
            </w:tcBorders>
          </w:tcPr>
          <w:p>
            <w:pPr>
              <w:pStyle w:val="nTable"/>
              <w:spacing w:after="40"/>
            </w:pPr>
            <w:r>
              <w:rPr>
                <w:i/>
                <w:snapToGrid w:val="0"/>
              </w:rPr>
              <w:t>Medical Practitioners Act 2008</w:t>
            </w:r>
            <w:r>
              <w:t xml:space="preserve"> s. 162</w:t>
            </w:r>
          </w:p>
        </w:tc>
        <w:tc>
          <w:tcPr>
            <w:tcW w:w="1140" w:type="dxa"/>
            <w:tcBorders>
              <w:top w:val="nil"/>
              <w:bottom w:val="nil"/>
            </w:tcBorders>
          </w:tcPr>
          <w:p>
            <w:pPr>
              <w:pStyle w:val="nTable"/>
              <w:spacing w:after="40"/>
              <w:rPr>
                <w:sz w:val="19"/>
              </w:rPr>
            </w:pPr>
            <w:r>
              <w:rPr>
                <w:sz w:val="19"/>
              </w:rPr>
              <w:t>22 of 2008</w:t>
            </w:r>
          </w:p>
        </w:tc>
        <w:tc>
          <w:tcPr>
            <w:tcW w:w="1164" w:type="dxa"/>
            <w:gridSpan w:val="2"/>
            <w:tcBorders>
              <w:top w:val="nil"/>
              <w:bottom w:val="nil"/>
            </w:tcBorders>
          </w:tcPr>
          <w:p>
            <w:pPr>
              <w:pStyle w:val="nTable"/>
              <w:spacing w:after="40"/>
              <w:rPr>
                <w:sz w:val="19"/>
              </w:rPr>
            </w:pPr>
            <w:r>
              <w:rPr>
                <w:sz w:val="19"/>
              </w:rPr>
              <w:t>27 May 2008</w:t>
            </w:r>
          </w:p>
        </w:tc>
        <w:tc>
          <w:tcPr>
            <w:tcW w:w="2543"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CellMar>
            <w:left w:w="57" w:type="dxa"/>
            <w:right w:w="57" w:type="dxa"/>
          </w:tblCellMar>
        </w:tblPrEx>
        <w:tc>
          <w:tcPr>
            <w:tcW w:w="2278" w:type="dxa"/>
            <w:tcBorders>
              <w:top w:val="nil"/>
              <w:bottom w:val="nil"/>
            </w:tcBorders>
          </w:tcPr>
          <w:p>
            <w:pPr>
              <w:pStyle w:val="nTable"/>
              <w:spacing w:after="40"/>
              <w:rPr>
                <w:i/>
                <w:snapToGrid w:val="0"/>
              </w:rPr>
            </w:pPr>
            <w:r>
              <w:rPr>
                <w:i/>
                <w:snapToGrid w:val="0"/>
                <w:sz w:val="19"/>
              </w:rPr>
              <w:t>Police Amendment Act 2009</w:t>
            </w:r>
            <w:r>
              <w:rPr>
                <w:i/>
                <w:iCs/>
                <w:snapToGrid w:val="0"/>
                <w:sz w:val="19"/>
              </w:rPr>
              <w:t xml:space="preserve"> </w:t>
            </w:r>
            <w:r>
              <w:rPr>
                <w:snapToGrid w:val="0"/>
                <w:sz w:val="19"/>
              </w:rPr>
              <w:t>s. 21</w:t>
            </w:r>
          </w:p>
        </w:tc>
        <w:tc>
          <w:tcPr>
            <w:tcW w:w="1140" w:type="dxa"/>
            <w:tcBorders>
              <w:top w:val="nil"/>
              <w:bottom w:val="nil"/>
            </w:tcBorders>
          </w:tcPr>
          <w:p>
            <w:pPr>
              <w:pStyle w:val="nTable"/>
              <w:spacing w:after="40"/>
              <w:rPr>
                <w:sz w:val="19"/>
              </w:rPr>
            </w:pPr>
            <w:r>
              <w:rPr>
                <w:snapToGrid w:val="0"/>
                <w:sz w:val="19"/>
                <w:lang w:val="en-US"/>
              </w:rPr>
              <w:t>42 of 2009</w:t>
            </w:r>
          </w:p>
        </w:tc>
        <w:tc>
          <w:tcPr>
            <w:tcW w:w="1164" w:type="dxa"/>
            <w:gridSpan w:val="2"/>
            <w:tcBorders>
              <w:top w:val="nil"/>
              <w:bottom w:val="nil"/>
            </w:tcBorders>
          </w:tcPr>
          <w:p>
            <w:pPr>
              <w:pStyle w:val="nTable"/>
              <w:spacing w:after="40"/>
              <w:rPr>
                <w:sz w:val="19"/>
              </w:rPr>
            </w:pPr>
            <w:r>
              <w:rPr>
                <w:snapToGrid w:val="0"/>
                <w:sz w:val="19"/>
                <w:lang w:val="en-US"/>
              </w:rPr>
              <w:t>3 Dec 2009</w:t>
            </w:r>
          </w:p>
        </w:tc>
        <w:tc>
          <w:tcPr>
            <w:tcW w:w="2543" w:type="dxa"/>
            <w:tcBorders>
              <w:top w:val="nil"/>
              <w:bottom w:val="nil"/>
            </w:tcBorders>
          </w:tcPr>
          <w:p>
            <w:pPr>
              <w:pStyle w:val="nTable"/>
              <w:spacing w:after="40"/>
              <w:rPr>
                <w:snapToGrid w:val="0"/>
                <w:sz w:val="19"/>
                <w:lang w:val="en-US"/>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40"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71"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78" w:type="dxa"/>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37</w:t>
            </w:r>
          </w:p>
        </w:tc>
        <w:tc>
          <w:tcPr>
            <w:tcW w:w="1140" w:type="dxa"/>
          </w:tcPr>
          <w:p>
            <w:pPr>
              <w:pStyle w:val="nTable"/>
              <w:spacing w:after="40"/>
              <w:rPr>
                <w:snapToGrid w:val="0"/>
                <w:sz w:val="19"/>
                <w:lang w:val="en-US"/>
              </w:rPr>
            </w:pPr>
            <w:r>
              <w:rPr>
                <w:snapToGrid w:val="0"/>
                <w:sz w:val="19"/>
                <w:lang w:val="en-US"/>
              </w:rPr>
              <w:t>35 of 2010</w:t>
            </w:r>
          </w:p>
        </w:tc>
        <w:tc>
          <w:tcPr>
            <w:tcW w:w="1136" w:type="dxa"/>
          </w:tcPr>
          <w:p>
            <w:pPr>
              <w:pStyle w:val="nTable"/>
              <w:spacing w:after="40"/>
              <w:rPr>
                <w:snapToGrid w:val="0"/>
                <w:sz w:val="19"/>
                <w:lang w:val="en-US"/>
              </w:rPr>
            </w:pPr>
            <w:r>
              <w:rPr>
                <w:snapToGrid w:val="0"/>
                <w:sz w:val="19"/>
                <w:lang w:val="en-US"/>
              </w:rPr>
              <w:t>30 Aug 2010</w:t>
            </w:r>
          </w:p>
        </w:tc>
        <w:tc>
          <w:tcPr>
            <w:tcW w:w="2571" w:type="dxa"/>
            <w:gridSpan w:val="2"/>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cantSplit/>
        </w:trPr>
        <w:tc>
          <w:tcPr>
            <w:tcW w:w="2278" w:type="dxa"/>
          </w:tcPr>
          <w:p>
            <w:pPr>
              <w:pStyle w:val="nTable"/>
              <w:spacing w:after="40"/>
              <w:ind w:right="113"/>
              <w:rPr>
                <w:iCs/>
                <w:snapToGrid w:val="0"/>
                <w:sz w:val="19"/>
                <w:lang w:val="en-US"/>
              </w:rPr>
            </w:pPr>
            <w:r>
              <w:rPr>
                <w:i/>
                <w:snapToGrid w:val="0"/>
                <w:sz w:val="19"/>
                <w:lang w:val="en-US"/>
              </w:rPr>
              <w:t>Misuse of Drugs Amendment Act 2010</w:t>
            </w:r>
            <w:r>
              <w:rPr>
                <w:iCs/>
                <w:snapToGrid w:val="0"/>
                <w:sz w:val="19"/>
                <w:lang w:val="en-US"/>
              </w:rPr>
              <w:t xml:space="preserve"> </w:t>
            </w:r>
          </w:p>
        </w:tc>
        <w:tc>
          <w:tcPr>
            <w:tcW w:w="1140" w:type="dxa"/>
          </w:tcPr>
          <w:p>
            <w:pPr>
              <w:pStyle w:val="nTable"/>
              <w:spacing w:after="40"/>
              <w:rPr>
                <w:snapToGrid w:val="0"/>
                <w:sz w:val="19"/>
                <w:lang w:val="en-US"/>
              </w:rPr>
            </w:pPr>
            <w:r>
              <w:rPr>
                <w:snapToGrid w:val="0"/>
                <w:sz w:val="19"/>
                <w:lang w:val="en-US"/>
              </w:rPr>
              <w:t>44 of 2010</w:t>
            </w:r>
          </w:p>
        </w:tc>
        <w:tc>
          <w:tcPr>
            <w:tcW w:w="1136" w:type="dxa"/>
          </w:tcPr>
          <w:p>
            <w:pPr>
              <w:pStyle w:val="nTable"/>
              <w:spacing w:after="40"/>
              <w:rPr>
                <w:snapToGrid w:val="0"/>
                <w:sz w:val="19"/>
                <w:lang w:val="en-US"/>
              </w:rPr>
            </w:pPr>
            <w:r>
              <w:rPr>
                <w:snapToGrid w:val="0"/>
                <w:sz w:val="19"/>
                <w:lang w:val="en-US"/>
              </w:rPr>
              <w:t>28 Oct 2010</w:t>
            </w:r>
          </w:p>
        </w:tc>
        <w:tc>
          <w:tcPr>
            <w:tcW w:w="2571" w:type="dxa"/>
            <w:gridSpan w:val="2"/>
          </w:tcPr>
          <w:p>
            <w:pPr>
              <w:pStyle w:val="nTable"/>
              <w:spacing w:after="40"/>
              <w:rPr>
                <w:snapToGrid w:val="0"/>
                <w:sz w:val="19"/>
                <w:lang w:val="en-US"/>
              </w:rPr>
            </w:pPr>
            <w:r>
              <w:rPr>
                <w:snapToGrid w:val="0"/>
                <w:sz w:val="19"/>
                <w:lang w:val="en-US"/>
              </w:rPr>
              <w:t>s. 1 and 2: 28 Oct 2010 (see s. 2(a));</w:t>
            </w:r>
            <w:r>
              <w:rPr>
                <w:snapToGrid w:val="0"/>
                <w:sz w:val="19"/>
                <w:lang w:val="en-US"/>
              </w:rPr>
              <w:br/>
              <w:t xml:space="preserve">s. 3, 4 and 7(3) and (4): 22 Jan 2011 (see s. 2(b) and </w:t>
            </w:r>
            <w:r>
              <w:rPr>
                <w:i/>
                <w:iCs/>
                <w:snapToGrid w:val="0"/>
                <w:sz w:val="19"/>
                <w:lang w:val="en-US"/>
              </w:rPr>
              <w:t>Gazette</w:t>
            </w:r>
            <w:r>
              <w:rPr>
                <w:snapToGrid w:val="0"/>
                <w:sz w:val="19"/>
                <w:lang w:val="en-US"/>
              </w:rPr>
              <w:t xml:space="preserve"> 21 Jan 2011 p. 157)</w:t>
            </w:r>
          </w:p>
        </w:tc>
      </w:tr>
      <w:tr>
        <w:trPr>
          <w:cantSplit/>
        </w:trPr>
        <w:tc>
          <w:tcPr>
            <w:tcW w:w="2278" w:type="dxa"/>
          </w:tcPr>
          <w:p>
            <w:pPr>
              <w:pStyle w:val="nTable"/>
              <w:spacing w:after="40"/>
              <w:ind w:right="113"/>
              <w:rPr>
                <w:i/>
                <w:snapToGrid w:val="0"/>
                <w:sz w:val="19"/>
                <w:lang w:val="en-US"/>
              </w:rPr>
            </w:pPr>
            <w:r>
              <w:rPr>
                <w:i/>
                <w:iCs/>
                <w:snapToGrid w:val="0"/>
                <w:sz w:val="19"/>
                <w:lang w:val="en-US"/>
              </w:rPr>
              <w:t>Misuse of Drugs Amendment Act (No. 2) 2010</w:t>
            </w:r>
            <w:r>
              <w:rPr>
                <w:snapToGrid w:val="0"/>
                <w:sz w:val="19"/>
                <w:lang w:val="en-US"/>
              </w:rPr>
              <w:t xml:space="preserve"> Pt. 2</w:t>
            </w:r>
          </w:p>
        </w:tc>
        <w:tc>
          <w:tcPr>
            <w:tcW w:w="1140" w:type="dxa"/>
          </w:tcPr>
          <w:p>
            <w:pPr>
              <w:pStyle w:val="nTable"/>
              <w:spacing w:after="40"/>
              <w:rPr>
                <w:snapToGrid w:val="0"/>
                <w:sz w:val="19"/>
                <w:lang w:val="en-US"/>
              </w:rPr>
            </w:pPr>
            <w:r>
              <w:rPr>
                <w:snapToGrid w:val="0"/>
                <w:sz w:val="19"/>
                <w:lang w:val="en-US"/>
              </w:rPr>
              <w:t>50 of 2010</w:t>
            </w:r>
          </w:p>
        </w:tc>
        <w:tc>
          <w:tcPr>
            <w:tcW w:w="1136" w:type="dxa"/>
          </w:tcPr>
          <w:p>
            <w:pPr>
              <w:pStyle w:val="nTable"/>
              <w:spacing w:after="40"/>
              <w:rPr>
                <w:snapToGrid w:val="0"/>
                <w:sz w:val="19"/>
                <w:lang w:val="en-US"/>
              </w:rPr>
            </w:pPr>
            <w:r>
              <w:rPr>
                <w:snapToGrid w:val="0"/>
                <w:sz w:val="19"/>
                <w:lang w:val="en-US"/>
              </w:rPr>
              <w:t>24 Nov 2010</w:t>
            </w:r>
          </w:p>
        </w:tc>
        <w:tc>
          <w:tcPr>
            <w:tcW w:w="2571" w:type="dxa"/>
            <w:gridSpan w:val="2"/>
          </w:tcPr>
          <w:p>
            <w:pPr>
              <w:pStyle w:val="nTable"/>
              <w:spacing w:after="40"/>
              <w:rPr>
                <w:snapToGrid w:val="0"/>
                <w:sz w:val="19"/>
                <w:lang w:val="en-US"/>
              </w:rPr>
            </w:pPr>
            <w:r>
              <w:rPr>
                <w:snapToGrid w:val="0"/>
                <w:sz w:val="19"/>
                <w:lang w:val="en-US"/>
              </w:rPr>
              <w:t>25 Nov 2010 (see s. 2(b))</w:t>
            </w:r>
          </w:p>
        </w:tc>
      </w:tr>
      <w:tr>
        <w:trPr>
          <w:cantSplit/>
        </w:trPr>
        <w:tc>
          <w:tcPr>
            <w:tcW w:w="4554" w:type="dxa"/>
            <w:gridSpan w:val="3"/>
            <w:tcBorders>
              <w:bottom w:val="single" w:sz="4" w:space="0" w:color="auto"/>
            </w:tcBorders>
          </w:tcPr>
          <w:p>
            <w:pPr>
              <w:pStyle w:val="nTable"/>
              <w:spacing w:after="40"/>
              <w:rPr>
                <w:sz w:val="19"/>
              </w:rPr>
            </w:pPr>
            <w:r>
              <w:rPr>
                <w:i/>
                <w:sz w:val="19"/>
              </w:rPr>
              <w:t xml:space="preserve">Misuse of Drugs (Numbers of Cannabis Plants) Order 2010 </w:t>
            </w:r>
            <w:r>
              <w:rPr>
                <w:sz w:val="19"/>
              </w:rPr>
              <w:t xml:space="preserve">published in </w:t>
            </w:r>
            <w:r>
              <w:rPr>
                <w:i/>
                <w:sz w:val="19"/>
              </w:rPr>
              <w:t>Gazette</w:t>
            </w:r>
            <w:r>
              <w:rPr>
                <w:sz w:val="19"/>
              </w:rPr>
              <w:t xml:space="preserve"> 15 Apr 2011 p. 1425-6</w:t>
            </w:r>
          </w:p>
        </w:tc>
        <w:tc>
          <w:tcPr>
            <w:tcW w:w="2571" w:type="dxa"/>
            <w:gridSpan w:val="2"/>
            <w:tcBorders>
              <w:bottom w:val="single" w:sz="4" w:space="0" w:color="auto"/>
            </w:tcBorders>
          </w:tcPr>
          <w:p>
            <w:pPr>
              <w:pStyle w:val="nTable"/>
              <w:spacing w:after="40"/>
              <w:rPr>
                <w:sz w:val="19"/>
              </w:rPr>
            </w:pPr>
            <w:r>
              <w:rPr>
                <w:sz w:val="19"/>
              </w:rPr>
              <w:t>cl. 1 and 2: 15 Apr 2011 (see cl. 2(a));</w:t>
            </w:r>
            <w:r>
              <w:rPr>
                <w:sz w:val="19"/>
              </w:rPr>
              <w:br/>
              <w:t>Order other than cl. 1 and 2: 16 Apr 2011 (see cl. 2(b))</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805" w:name="_Toc534778309"/>
      <w:bookmarkStart w:id="806" w:name="_Toc7405063"/>
      <w:bookmarkStart w:id="807" w:name="_Toc290558571"/>
      <w:r>
        <w:rPr>
          <w:snapToGrid w:val="0"/>
        </w:rPr>
        <w:t>Provisions that have not come into operation</w:t>
      </w:r>
      <w:bookmarkEnd w:id="805"/>
      <w:bookmarkEnd w:id="806"/>
      <w:bookmarkEnd w:id="807"/>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Borders>
              <w:bottom w:val="nil"/>
            </w:tcBorders>
          </w:tcPr>
          <w:p>
            <w:pPr>
              <w:pStyle w:val="nTable"/>
              <w:spacing w:after="40"/>
              <w:rPr>
                <w:snapToGrid w:val="0"/>
                <w:sz w:val="19"/>
                <w:lang w:val="en-US"/>
              </w:rPr>
            </w:pPr>
            <w:r>
              <w:rPr>
                <w:i/>
                <w:iCs/>
                <w:snapToGrid w:val="0"/>
                <w:sz w:val="19"/>
                <w:lang w:val="en-US"/>
              </w:rPr>
              <w:t>Misuse of Drugs Amendment Act 2010</w:t>
            </w:r>
            <w:r>
              <w:rPr>
                <w:snapToGrid w:val="0"/>
                <w:sz w:val="19"/>
                <w:lang w:val="en-US"/>
              </w:rPr>
              <w:t xml:space="preserve"> s. 5</w:t>
            </w:r>
            <w:r>
              <w:rPr>
                <w:snapToGrid w:val="0"/>
                <w:sz w:val="19"/>
                <w:lang w:val="en-US"/>
              </w:rPr>
              <w:noBreakHyphen/>
              <w:t>7(1) and (2), 8</w:t>
            </w:r>
            <w:r>
              <w:rPr>
                <w:snapToGrid w:val="0"/>
                <w:sz w:val="19"/>
                <w:lang w:val="en-US"/>
              </w:rPr>
              <w:noBreakHyphen/>
              <w:t xml:space="preserve">10 </w:t>
            </w:r>
            <w:r>
              <w:rPr>
                <w:snapToGrid w:val="0"/>
                <w:sz w:val="19"/>
                <w:vertAlign w:val="superscript"/>
                <w:lang w:val="en-US"/>
              </w:rPr>
              <w:t>5</w:t>
            </w:r>
          </w:p>
        </w:tc>
        <w:tc>
          <w:tcPr>
            <w:tcW w:w="1118" w:type="dxa"/>
            <w:tcBorders>
              <w:bottom w:val="nil"/>
            </w:tcBorders>
          </w:tcPr>
          <w:p>
            <w:pPr>
              <w:pStyle w:val="nTable"/>
              <w:spacing w:after="40"/>
              <w:rPr>
                <w:snapToGrid w:val="0"/>
                <w:sz w:val="19"/>
                <w:lang w:val="en-US"/>
              </w:rPr>
            </w:pPr>
            <w:r>
              <w:rPr>
                <w:snapToGrid w:val="0"/>
                <w:sz w:val="19"/>
                <w:lang w:val="en-US"/>
              </w:rPr>
              <w:t>44 of 2010</w:t>
            </w:r>
          </w:p>
        </w:tc>
        <w:tc>
          <w:tcPr>
            <w:tcW w:w="1134" w:type="dxa"/>
            <w:tcBorders>
              <w:bottom w:val="nil"/>
            </w:tcBorders>
          </w:tcPr>
          <w:p>
            <w:pPr>
              <w:pStyle w:val="nTable"/>
              <w:spacing w:after="40"/>
              <w:rPr>
                <w:snapToGrid w:val="0"/>
                <w:sz w:val="19"/>
                <w:lang w:val="en-US"/>
              </w:rPr>
            </w:pPr>
            <w:r>
              <w:rPr>
                <w:snapToGrid w:val="0"/>
                <w:sz w:val="19"/>
                <w:lang w:val="en-US"/>
              </w:rPr>
              <w:t>28 Oct 2010</w:t>
            </w:r>
          </w:p>
        </w:tc>
        <w:tc>
          <w:tcPr>
            <w:tcW w:w="2552" w:type="dxa"/>
            <w:tcBorders>
              <w:bottom w:val="nil"/>
            </w:tcBorders>
          </w:tcPr>
          <w:p>
            <w:pPr>
              <w:pStyle w:val="nTable"/>
              <w:spacing w:after="40"/>
              <w:rPr>
                <w:snapToGrid w:val="0"/>
                <w:sz w:val="19"/>
                <w:lang w:val="en-US"/>
              </w:rPr>
            </w:pPr>
            <w:r>
              <w:rPr>
                <w:snapToGrid w:val="0"/>
                <w:sz w:val="19"/>
                <w:lang w:val="en-US"/>
              </w:rPr>
              <w:t>To be proclaimed (see s. 2(b))</w:t>
            </w:r>
          </w:p>
        </w:tc>
      </w:tr>
      <w:tr>
        <w:tc>
          <w:tcPr>
            <w:tcW w:w="2268" w:type="dxa"/>
            <w:tcBorders>
              <w:top w:val="nil"/>
            </w:tcBorders>
          </w:tcPr>
          <w:p>
            <w:pPr>
              <w:pStyle w:val="nTable"/>
              <w:spacing w:after="40"/>
              <w:rPr>
                <w:snapToGrid w:val="0"/>
                <w:sz w:val="19"/>
                <w:lang w:val="en-US"/>
              </w:rPr>
            </w:pPr>
            <w:r>
              <w:rPr>
                <w:i/>
                <w:iCs/>
                <w:snapToGrid w:val="0"/>
                <w:sz w:val="19"/>
                <w:lang w:val="en-US"/>
              </w:rPr>
              <w:t>Cannabis Law Reform Act 2010</w:t>
            </w:r>
            <w:r>
              <w:rPr>
                <w:snapToGrid w:val="0"/>
                <w:sz w:val="19"/>
                <w:lang w:val="en-US"/>
              </w:rPr>
              <w:t xml:space="preserve"> Pt. 3 </w:t>
            </w:r>
            <w:r>
              <w:rPr>
                <w:snapToGrid w:val="0"/>
                <w:sz w:val="19"/>
                <w:vertAlign w:val="superscript"/>
                <w:lang w:val="en-US"/>
              </w:rPr>
              <w:t>6</w:t>
            </w:r>
          </w:p>
        </w:tc>
        <w:tc>
          <w:tcPr>
            <w:tcW w:w="1118" w:type="dxa"/>
            <w:tcBorders>
              <w:top w:val="nil"/>
            </w:tcBorders>
          </w:tcPr>
          <w:p>
            <w:pPr>
              <w:pStyle w:val="nTable"/>
              <w:spacing w:after="40"/>
              <w:rPr>
                <w:snapToGrid w:val="0"/>
                <w:sz w:val="19"/>
                <w:lang w:val="en-US"/>
              </w:rPr>
            </w:pPr>
            <w:r>
              <w:rPr>
                <w:snapToGrid w:val="0"/>
                <w:sz w:val="19"/>
                <w:lang w:val="en-US"/>
              </w:rPr>
              <w:t>45 of 2010</w:t>
            </w:r>
          </w:p>
        </w:tc>
        <w:tc>
          <w:tcPr>
            <w:tcW w:w="1134" w:type="dxa"/>
            <w:tcBorders>
              <w:top w:val="nil"/>
            </w:tcBorders>
          </w:tcPr>
          <w:p>
            <w:pPr>
              <w:pStyle w:val="nTable"/>
              <w:spacing w:after="40"/>
              <w:rPr>
                <w:snapToGrid w:val="0"/>
                <w:sz w:val="19"/>
                <w:lang w:val="en-US"/>
              </w:rPr>
            </w:pPr>
            <w:r>
              <w:rPr>
                <w:snapToGrid w:val="0"/>
                <w:sz w:val="19"/>
                <w:lang w:val="en-US"/>
              </w:rPr>
              <w:t>28 Oct 2010</w:t>
            </w:r>
          </w:p>
        </w:tc>
        <w:tc>
          <w:tcPr>
            <w:tcW w:w="2552" w:type="dxa"/>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spacing w:before="160"/>
      </w:pPr>
      <w:r>
        <w:rPr>
          <w:snapToGrid w:val="0"/>
          <w:vertAlign w:val="superscript"/>
        </w:rPr>
        <w:t>2</w:t>
      </w:r>
      <w:r>
        <w:rPr>
          <w:snapToGrid w:val="0"/>
        </w:rPr>
        <w:tab/>
        <w:t xml:space="preserve">The </w:t>
      </w:r>
      <w:r>
        <w:rPr>
          <w:i/>
          <w:snapToGrid w:val="0"/>
        </w:rPr>
        <w:t>Misuse of Drugs Amendment Act 1995</w:t>
      </w:r>
      <w:r>
        <w:rPr>
          <w:snapToGrid w:val="0"/>
        </w:rPr>
        <w:t xml:space="preserve"> s. 16 is a transitional provision that is of no </w:t>
      </w:r>
      <w:r>
        <w:t>further</w:t>
      </w:r>
      <w:r>
        <w:rPr>
          <w:snapToGrid w:val="0"/>
        </w:rPr>
        <w:t xml:space="preserve"> effect.</w:t>
      </w:r>
    </w:p>
    <w:p>
      <w:pPr>
        <w:pStyle w:val="nSubsection"/>
        <w:keepNext/>
      </w:pPr>
      <w:r>
        <w:rPr>
          <w:vertAlign w:val="superscript"/>
        </w:rPr>
        <w:t>3</w:t>
      </w:r>
      <w:r>
        <w:tab/>
        <w:t xml:space="preserve">The </w:t>
      </w:r>
      <w:r>
        <w:rPr>
          <w:i/>
        </w:rPr>
        <w:t>Criminal Property Confiscation (Consequential Provisions) Act 2000</w:t>
      </w:r>
      <w:r>
        <w:t xml:space="preserve"> s. 3 and 6</w:t>
      </w:r>
      <w:r>
        <w:noBreakHyphen/>
        <w:t xml:space="preserve">11 read as follows: </w:t>
      </w:r>
    </w:p>
    <w:p>
      <w:pPr>
        <w:pStyle w:val="MiscOpen"/>
        <w:rPr>
          <w:highlight w:val="cyan"/>
        </w:rPr>
      </w:pPr>
      <w:r>
        <w:t>“</w:t>
      </w:r>
    </w:p>
    <w:p>
      <w:pPr>
        <w:pStyle w:val="nzHeading5"/>
      </w:pPr>
      <w:bookmarkStart w:id="808" w:name="_Toc492865684"/>
      <w:r>
        <w:t>3.</w:t>
      </w:r>
      <w:r>
        <w:tab/>
      </w:r>
      <w:bookmarkStart w:id="809" w:name="_Toc492865681"/>
      <w:bookmarkStart w:id="810" w:name="_Toc502733466"/>
      <w:r>
        <w:t>Interpretation</w:t>
      </w:r>
      <w:bookmarkEnd w:id="809"/>
      <w:bookmarkEnd w:id="810"/>
    </w:p>
    <w:p>
      <w:pPr>
        <w:pStyle w:val="nzSubsection"/>
        <w:keepNext/>
      </w:pPr>
      <w:r>
        <w:tab/>
      </w:r>
      <w:r>
        <w:tab/>
        <w:t xml:space="preserve">In this Act, unless the contrary intention appears — </w:t>
      </w:r>
    </w:p>
    <w:p>
      <w:pPr>
        <w:pStyle w:val="nzDefstart"/>
      </w:pPr>
      <w:r>
        <w:tab/>
      </w:r>
      <w:r>
        <w:rPr>
          <w:rStyle w:val="CharDefText"/>
          <w:snapToGrid/>
        </w:rPr>
        <w:t>appeal period</w:t>
      </w:r>
      <w:r>
        <w:rPr>
          <w:b/>
          <w:bCs/>
        </w:rPr>
        <w:t xml:space="preserve">, </w:t>
      </w:r>
      <w:r>
        <w:t>in relation to a forfeiture order, has the same meaning as in the repealed Act;</w:t>
      </w:r>
    </w:p>
    <w:p>
      <w:pPr>
        <w:pStyle w:val="nzDefstart"/>
      </w:pPr>
      <w:r>
        <w:tab/>
      </w:r>
      <w:r>
        <w:rPr>
          <w:rStyle w:val="CharDefText"/>
          <w:snapToGrid/>
        </w:rPr>
        <w:t>embargo notice</w:t>
      </w:r>
      <w:r>
        <w:t xml:space="preserve"> has the same meaning as in the repealed Part;</w:t>
      </w:r>
    </w:p>
    <w:p>
      <w:pPr>
        <w:pStyle w:val="nzDefstart"/>
      </w:pPr>
      <w:r>
        <w:tab/>
      </w:r>
      <w:r>
        <w:rPr>
          <w:rStyle w:val="CharDefText"/>
          <w:snapToGrid/>
        </w:rPr>
        <w:t>forfeiture order</w:t>
      </w:r>
      <w:r>
        <w:t xml:space="preserve"> has the same meaning as in the repealed Act;</w:t>
      </w:r>
    </w:p>
    <w:p>
      <w:pPr>
        <w:pStyle w:val="nzDefstart"/>
      </w:pPr>
      <w:r>
        <w:tab/>
      </w:r>
      <w:r>
        <w:rPr>
          <w:rStyle w:val="CharDefText"/>
          <w:snapToGrid/>
        </w:rPr>
        <w:t>holding order</w:t>
      </w:r>
      <w:r>
        <w:rPr>
          <w:b/>
          <w:bCs/>
        </w:rPr>
        <w:t xml:space="preserve"> </w:t>
      </w:r>
      <w:r>
        <w:t>has the same meaning as in the repealed Part;</w:t>
      </w:r>
    </w:p>
    <w:p>
      <w:pPr>
        <w:pStyle w:val="nzDefstart"/>
      </w:pPr>
      <w:r>
        <w:tab/>
      </w:r>
      <w:r>
        <w:rPr>
          <w:rStyle w:val="CharDefText"/>
          <w:snapToGrid/>
        </w:rPr>
        <w:t>interstate forfeiture order</w:t>
      </w:r>
      <w:r>
        <w:t xml:space="preserve"> has the same meaning as in the repealed Act;</w:t>
      </w:r>
    </w:p>
    <w:p>
      <w:pPr>
        <w:pStyle w:val="nzDefstart"/>
      </w:pPr>
      <w:r>
        <w:tab/>
      </w:r>
      <w:r>
        <w:rPr>
          <w:rStyle w:val="CharDefText"/>
          <w:snapToGrid/>
        </w:rPr>
        <w:t>interstate restraining order</w:t>
      </w:r>
      <w:r>
        <w:rPr>
          <w:b/>
          <w:bCs/>
        </w:rPr>
        <w:t xml:space="preserve"> </w:t>
      </w:r>
      <w:r>
        <w:t>has the same meaning as in the repealed Act;</w:t>
      </w:r>
    </w:p>
    <w:p>
      <w:pPr>
        <w:pStyle w:val="nzDefstart"/>
      </w:pPr>
      <w:r>
        <w:tab/>
      </w:r>
      <w:r>
        <w:rPr>
          <w:rStyle w:val="CharDefText"/>
          <w:snapToGrid/>
        </w:rPr>
        <w:t>repealed Act</w:t>
      </w:r>
      <w:r>
        <w:t xml:space="preserve"> means the </w:t>
      </w:r>
      <w:r>
        <w:rPr>
          <w:i/>
          <w:iCs/>
        </w:rPr>
        <w:t xml:space="preserve">Crimes (Confiscation of Profits) Act 1988 </w:t>
      </w:r>
      <w:r>
        <w:t>as in force before its repeal by section </w:t>
      </w:r>
      <w:bookmarkStart w:id="811" w:name="_Hlt491586115"/>
      <w:r>
        <w:t>4</w:t>
      </w:r>
      <w:bookmarkEnd w:id="811"/>
      <w:r>
        <w:t>;</w:t>
      </w:r>
    </w:p>
    <w:p>
      <w:pPr>
        <w:pStyle w:val="nzDefstart"/>
      </w:pPr>
      <w:r>
        <w:tab/>
      </w:r>
      <w:r>
        <w:rPr>
          <w:rStyle w:val="CharDefText"/>
          <w:snapToGrid/>
        </w:rPr>
        <w:t>repealed Part</w:t>
      </w:r>
      <w:r>
        <w:t xml:space="preserve"> means Part IV of the </w:t>
      </w:r>
      <w:r>
        <w:rPr>
          <w:i/>
          <w:iCs/>
        </w:rPr>
        <w:t>Misuse of Drugs Act 1981</w:t>
      </w:r>
      <w:r>
        <w:t xml:space="preserve"> as in force before its repeal by section </w:t>
      </w:r>
      <w:bookmarkStart w:id="812" w:name="_Hlt491586161"/>
      <w:r>
        <w:t>5</w:t>
      </w:r>
      <w:bookmarkEnd w:id="812"/>
      <w:r>
        <w:t>.</w:t>
      </w:r>
    </w:p>
    <w:p>
      <w:pPr>
        <w:pStyle w:val="nzHeading5"/>
      </w:pPr>
      <w:r>
        <w:t>6.</w:t>
      </w:r>
      <w:r>
        <w:tab/>
        <w:t>Applications to court under repealed law — savings</w:t>
      </w:r>
      <w:bookmarkEnd w:id="808"/>
    </w:p>
    <w:p>
      <w:pPr>
        <w:pStyle w:val="nzSubsection"/>
      </w:pPr>
      <w:r>
        <w:tab/>
      </w:r>
      <w:r>
        <w:tab/>
        <w:t>If an application made to a court under the repealed Act or the repealed Part was not withdrawn, discontinued or otherwise finally determined before the commencement of this Act, the application may be dealt with on and after that commencement as if the repealed Act or the repealed Part had not been repealed.</w:t>
      </w:r>
    </w:p>
    <w:p>
      <w:pPr>
        <w:pStyle w:val="nzHeading5"/>
      </w:pPr>
      <w:bookmarkStart w:id="813" w:name="_Toc492865685"/>
      <w:r>
        <w:t>7.</w:t>
      </w:r>
      <w:r>
        <w:tab/>
        <w:t>Court orders under repealed law — savings</w:t>
      </w:r>
      <w:bookmarkEnd w:id="813"/>
    </w:p>
    <w:p>
      <w:pPr>
        <w:pStyle w:val="nzSubsection"/>
      </w:pPr>
      <w:r>
        <w:tab/>
        <w:t>(1)</w:t>
      </w:r>
      <w:r>
        <w:tab/>
        <w:t>If an order made by a court under the repealed Act or the repealed Part was in force immediately before the commencement of this Act, the order has effect on and after that commencement, and may be executed, varied, discharged, set aside or appealed against, as if the repealed Act or repealed Part had not been repealed.</w:t>
      </w:r>
    </w:p>
    <w:p>
      <w:pPr>
        <w:pStyle w:val="nzSubsection"/>
      </w:pPr>
      <w:r>
        <w:tab/>
        <w:t>(2)</w:t>
      </w:r>
      <w:r>
        <w:tab/>
        <w:t xml:space="preserve">If an interstate forfeiture order or interstate restraining order was registered under the repealed Act, and its registration was not cancelled before the commencement of this Act, Part 10 of the </w:t>
      </w:r>
      <w:r>
        <w:rPr>
          <w:i/>
        </w:rPr>
        <w:t>Criminal Property Confiscation Act 2000</w:t>
      </w:r>
      <w:r>
        <w:t xml:space="preserve"> applies, on and after that commencement, to the order and to any charge created under the repealed Act on the property to which the order relates, as if the order were an interstate confiscation order or interstate freezing order registered under section 118 of the </w:t>
      </w:r>
      <w:r>
        <w:rPr>
          <w:i/>
        </w:rPr>
        <w:t>Criminal Property Confiscation Act 2000</w:t>
      </w:r>
      <w:r>
        <w:t xml:space="preserve"> and as if the charge had been created under section 123 of the </w:t>
      </w:r>
      <w:r>
        <w:rPr>
          <w:i/>
        </w:rPr>
        <w:t>Criminal Property Confiscation Act 2000</w:t>
      </w:r>
      <w:r>
        <w:t>.</w:t>
      </w:r>
    </w:p>
    <w:p>
      <w:pPr>
        <w:pStyle w:val="nzHeading5"/>
      </w:pPr>
      <w:bookmarkStart w:id="814" w:name="_Toc492865686"/>
      <w:r>
        <w:t>8.</w:t>
      </w:r>
      <w:r>
        <w:tab/>
        <w:t>Holding orders and embargo notices — savings</w:t>
      </w:r>
      <w:bookmarkEnd w:id="814"/>
    </w:p>
    <w:p>
      <w:pPr>
        <w:pStyle w:val="nzSubsection"/>
      </w:pPr>
      <w:r>
        <w:tab/>
        <w:t>(1)</w:t>
      </w:r>
      <w:r>
        <w:tab/>
        <w:t>If a holding order or an embargo notice was in force under the repealed Part immediately before the commencement of this Act, the holding order or embargo notice has effect on and after that commencement, and the repealed Part continues to apply to the holding order or embargo notice, as if the repealed Part had not been repealed.</w:t>
      </w:r>
    </w:p>
    <w:p>
      <w:pPr>
        <w:pStyle w:val="nzSubsection"/>
      </w:pPr>
      <w:r>
        <w:tab/>
        <w:t>(2)</w:t>
      </w:r>
      <w:r>
        <w:tab/>
        <w:t xml:space="preserve">Without limiting subsection (1), if, immediately before the commencement of this Act, a person was entitled under section 19 of the </w:t>
      </w:r>
      <w:r>
        <w:rPr>
          <w:i/>
        </w:rPr>
        <w:t>Misuse of Drugs Act 1981</w:t>
      </w:r>
      <w:r>
        <w:t xml:space="preserve"> to apply for an order in respect of the property to which a holding order or embargo notice relates, the person may apply for the order after that commencement, and the application may be dealt with, as if the repealed Part had not been repealed.</w:t>
      </w:r>
    </w:p>
    <w:p>
      <w:pPr>
        <w:pStyle w:val="nzSubsection"/>
      </w:pPr>
      <w:r>
        <w:tab/>
        <w:t>(3)</w:t>
      </w:r>
      <w:r>
        <w:tab/>
        <w:t>However, subsection (2) does not entitle the person to apply for the order more than 21 days after the date of the holding order or embargo notice.</w:t>
      </w:r>
    </w:p>
    <w:p>
      <w:pPr>
        <w:pStyle w:val="nzHeading5"/>
      </w:pPr>
      <w:bookmarkStart w:id="815" w:name="_Toc492865687"/>
      <w:r>
        <w:t>9.</w:t>
      </w:r>
      <w:r>
        <w:tab/>
        <w:t>Warrants issued under repealed law — savings</w:t>
      </w:r>
      <w:bookmarkEnd w:id="815"/>
    </w:p>
    <w:p>
      <w:pPr>
        <w:pStyle w:val="nzSubsection"/>
      </w:pPr>
      <w:r>
        <w:tab/>
      </w:r>
      <w:r>
        <w:tab/>
        <w:t xml:space="preserve">If, immediately before the commencement of this Act, a warrant issued under the repealed Act or the repealed Part was capable of execution to any extent, then the warrant may be executed on and after that commencement, to that extent, as if the repealed Act or the repealed Part had not been repealed. </w:t>
      </w:r>
    </w:p>
    <w:p>
      <w:pPr>
        <w:pStyle w:val="nzHeading5"/>
      </w:pPr>
      <w:bookmarkStart w:id="816" w:name="_Toc492865688"/>
      <w:r>
        <w:t>10.</w:t>
      </w:r>
      <w:r>
        <w:tab/>
        <w:t>Property subject to a forfeiture order</w:t>
      </w:r>
      <w:bookmarkEnd w:id="816"/>
    </w:p>
    <w:p>
      <w:pPr>
        <w:pStyle w:val="nzSubsection"/>
      </w:pPr>
      <w:r>
        <w:tab/>
        <w:t>(1)</w:t>
      </w:r>
      <w:r>
        <w:tab/>
        <w:t xml:space="preserve">This section applies to property for which a forfeiture order was made under the repealed Act if — </w:t>
      </w:r>
    </w:p>
    <w:p>
      <w:pPr>
        <w:pStyle w:val="nzIndenta"/>
      </w:pPr>
      <w:r>
        <w:tab/>
        <w:t>(a)</w:t>
      </w:r>
      <w:r>
        <w:tab/>
        <w:t>the appeal period for the forfeiture order had not ended before the commencement of this Act; or</w:t>
      </w:r>
    </w:p>
    <w:p>
      <w:pPr>
        <w:pStyle w:val="nzIndenta"/>
      </w:pPr>
      <w:r>
        <w:tab/>
        <w:t>(b)</w:t>
      </w:r>
      <w:r>
        <w:tab/>
        <w:t>if the appeal period has ended (whether before or after the commencement of this Act), but the forfeiture order has not been discharged, and the property was not disposed of or otherwise dealt with under section 11(5) of the repealed Act before that commencement.</w:t>
      </w:r>
    </w:p>
    <w:p>
      <w:pPr>
        <w:pStyle w:val="nzSubsection"/>
      </w:pPr>
      <w:r>
        <w:tab/>
        <w:t>(2)</w:t>
      </w:r>
      <w:r>
        <w:tab/>
        <w:t>Sections 11(3), 11(4), 11(6), 12, 13 and 14 of the repealed Act continue to apply in relation to the forfeiture order and the property as if the repealed Act had not been repealed.</w:t>
      </w:r>
    </w:p>
    <w:p>
      <w:pPr>
        <w:pStyle w:val="nzSubsection"/>
      </w:pPr>
      <w:r>
        <w:tab/>
        <w:t>(3)</w:t>
      </w:r>
      <w:r>
        <w:tab/>
        <w:t xml:space="preserve">If the appeal period for the forfeiture order has not ended, sections 89, 90, 92 and 94 of the </w:t>
      </w:r>
      <w:r>
        <w:rPr>
          <w:i/>
        </w:rPr>
        <w:t xml:space="preserve">Criminal Property Confiscation Act 2000 </w:t>
      </w:r>
      <w:r>
        <w:t>apply to the property as if it were subject to a freezing order under that Act.</w:t>
      </w:r>
    </w:p>
    <w:p>
      <w:pPr>
        <w:pStyle w:val="nzSubsection"/>
      </w:pPr>
      <w:r>
        <w:tab/>
        <w:t>(4)</w:t>
      </w:r>
      <w:r>
        <w:tab/>
        <w:t xml:space="preserve">If the appeal period for the forfeiture order has ended, and the order has not been discharged — </w:t>
      </w:r>
    </w:p>
    <w:p>
      <w:pPr>
        <w:pStyle w:val="nzIndenta"/>
      </w:pPr>
      <w:r>
        <w:tab/>
        <w:t>(a)</w:t>
      </w:r>
      <w:r>
        <w:tab/>
        <w:t xml:space="preserve">sections 89, 90, 92 and 94 of the </w:t>
      </w:r>
      <w:r>
        <w:rPr>
          <w:i/>
        </w:rPr>
        <w:t xml:space="preserve">Criminal Property Confiscation Act 2000 </w:t>
      </w:r>
      <w:r>
        <w:t>apply to the property as if it had been confiscated under that Act; and</w:t>
      </w:r>
    </w:p>
    <w:p>
      <w:pPr>
        <w:pStyle w:val="nzIndenta"/>
      </w:pPr>
      <w:r>
        <w:tab/>
        <w:t>(b)</w:t>
      </w:r>
      <w:r>
        <w:tab/>
        <w:t xml:space="preserve">if the property has vested in the Crown, whether under clause 11(3)(b) or under the repealed Act, the property is to be disposed of as if it had been confiscated under the </w:t>
      </w:r>
      <w:r>
        <w:rPr>
          <w:i/>
        </w:rPr>
        <w:t>Criminal Property Confiscation Act 2000</w:t>
      </w:r>
      <w:r>
        <w:t>.</w:t>
      </w:r>
    </w:p>
    <w:p>
      <w:pPr>
        <w:pStyle w:val="nzSubsection"/>
      </w:pPr>
      <w:r>
        <w:tab/>
        <w:t>(5)</w:t>
      </w:r>
      <w:r>
        <w:tab/>
        <w:t>The following are to be paid into the Confiscation Proceeds Account established under section 130 of the</w:t>
      </w:r>
      <w:r>
        <w:rPr>
          <w:i/>
        </w:rPr>
        <w:t xml:space="preserve"> Criminal Property Confiscation Act 2000</w:t>
      </w:r>
      <w:r>
        <w:t xml:space="preserve"> — </w:t>
      </w:r>
    </w:p>
    <w:p>
      <w:pPr>
        <w:pStyle w:val="nzIndenta"/>
      </w:pPr>
      <w:r>
        <w:tab/>
        <w:t>(a)</w:t>
      </w:r>
      <w:r>
        <w:tab/>
        <w:t>subject to section 11(4) of the repealed Act as continued by subsection (2), any money vested in the Crown under section 11 of the repealed Act that has not been disposed of or otherwise dealt with under the repealed Act;</w:t>
      </w:r>
    </w:p>
    <w:p>
      <w:pPr>
        <w:pStyle w:val="nzIndenta"/>
      </w:pPr>
      <w:r>
        <w:tab/>
        <w:t>(b)</w:t>
      </w:r>
      <w:r>
        <w:tab/>
        <w:t>any proceeds obtained by the Crown after the commencement of this Act from the disposal of property under the repealed Act;</w:t>
      </w:r>
    </w:p>
    <w:p>
      <w:pPr>
        <w:pStyle w:val="nzIndenta"/>
      </w:pPr>
      <w:r>
        <w:tab/>
        <w:t>(c)</w:t>
      </w:r>
      <w:r>
        <w:tab/>
        <w:t xml:space="preserve">any proceeds obtained from the disposal of property under subsection (4)(b). </w:t>
      </w:r>
    </w:p>
    <w:p>
      <w:pPr>
        <w:pStyle w:val="nzSubsection"/>
      </w:pPr>
      <w:r>
        <w:tab/>
        <w:t>(6)</w:t>
      </w:r>
      <w:r>
        <w:tab/>
        <w:t>Nothing in this section limits the generality of section 7(1) in its application to a forfeiture order.</w:t>
      </w:r>
    </w:p>
    <w:p>
      <w:pPr>
        <w:pStyle w:val="nzHeading5"/>
      </w:pPr>
      <w:bookmarkStart w:id="817" w:name="_Toc492865689"/>
      <w:r>
        <w:t>11.</w:t>
      </w:r>
      <w:r>
        <w:tab/>
        <w:t>Real property subject to forfeiture order</w:t>
      </w:r>
      <w:bookmarkEnd w:id="817"/>
    </w:p>
    <w:p>
      <w:pPr>
        <w:pStyle w:val="nzSubsection"/>
      </w:pPr>
      <w:r>
        <w:tab/>
        <w:t>(1)</w:t>
      </w:r>
      <w:r>
        <w:tab/>
        <w:t xml:space="preserve">If property to which section 10 applies is land registered under the </w:t>
      </w:r>
      <w:r>
        <w:rPr>
          <w:i/>
        </w:rPr>
        <w:t>Transfer of Land Act 1893</w:t>
      </w:r>
      <w:r>
        <w:t>, then, without limiting the application of section 10 to the property, this section also applies to the property.</w:t>
      </w:r>
    </w:p>
    <w:p>
      <w:pPr>
        <w:pStyle w:val="nzSubsection"/>
      </w:pPr>
      <w:r>
        <w:tab/>
        <w:t>(2)</w:t>
      </w:r>
      <w:r>
        <w:tab/>
        <w:t>If the property has not vested in the Crown under section 11 of the repealed Act, the Director of Public Prosecutions may lodge with the Registrar of Titles a memorial of the forfeiture order in a form approved by the Registrar.</w:t>
      </w:r>
    </w:p>
    <w:p>
      <w:pPr>
        <w:pStyle w:val="nzSubsection"/>
      </w:pPr>
      <w:r>
        <w:tab/>
        <w:t>(3)</w:t>
      </w:r>
      <w:r>
        <w:tab/>
        <w:t xml:space="preserve">When a memorial is lodged under subsection (2) — </w:t>
      </w:r>
    </w:p>
    <w:p>
      <w:pPr>
        <w:pStyle w:val="nzIndenta"/>
      </w:pPr>
      <w:r>
        <w:tab/>
        <w:t>(a)</w:t>
      </w:r>
      <w:r>
        <w:tab/>
        <w:t>the Registrar of Titles is to register the memorial;</w:t>
      </w:r>
    </w:p>
    <w:p>
      <w:pPr>
        <w:pStyle w:val="nzIndenta"/>
      </w:pPr>
      <w:r>
        <w:tab/>
        <w:t>(b)</w:t>
      </w:r>
      <w:r>
        <w:tab/>
        <w:t>on the registration of the memorial, the property vests in the State of Western Australia free from all interests, whether registered or not, including trusts, mortgages, charges, obligations and estates (except rights</w:t>
      </w:r>
      <w:r>
        <w:noBreakHyphen/>
        <w:t>of</w:t>
      </w:r>
      <w:r>
        <w:noBreakHyphen/>
        <w:t>way, easements and restrictive covenants);</w:t>
      </w:r>
    </w:p>
    <w:p>
      <w:pPr>
        <w:pStyle w:val="nzIndenta"/>
      </w:pPr>
      <w:r>
        <w:tab/>
        <w:t>(c)</w:t>
      </w:r>
      <w:r>
        <w:tab/>
        <w:t>any caveat in force in relation to the property is taken to have been withdrawn; and</w:t>
      </w:r>
    </w:p>
    <w:p>
      <w:pPr>
        <w:pStyle w:val="nzIndenta"/>
      </w:pPr>
      <w:r>
        <w:tab/>
        <w:t>(d)</w:t>
      </w:r>
      <w:r>
        <w:tab/>
        <w:t>the title in the property passes to the State.</w:t>
      </w:r>
    </w:p>
    <w:p>
      <w:pPr>
        <w:pStyle w:val="nzSubsection"/>
      </w:pPr>
      <w:r>
        <w:tab/>
        <w:t>(4)</w:t>
      </w:r>
      <w:r>
        <w:tab/>
        <w:t xml:space="preserve">When a memorial is lodged under subsection (2) then, in addition to registering the memorial, the Registrar of Titles is to — </w:t>
      </w:r>
    </w:p>
    <w:p>
      <w:pPr>
        <w:pStyle w:val="nzIndenta"/>
      </w:pPr>
      <w:r>
        <w:tab/>
        <w:t>(a)</w:t>
      </w:r>
      <w:r>
        <w:tab/>
        <w:t xml:space="preserve">register the State of </w:t>
      </w:r>
      <w:smartTag w:uri="urn:schemas-microsoft-com:office:smarttags" w:element="State">
        <w:smartTag w:uri="urn:schemas-microsoft-com:office:smarttags" w:element="place">
          <w:r>
            <w:t>Western Australia</w:t>
          </w:r>
        </w:smartTag>
      </w:smartTag>
      <w:r>
        <w:t xml:space="preserve"> as the proprietor of the property; and</w:t>
      </w:r>
    </w:p>
    <w:p>
      <w:pPr>
        <w:pStyle w:val="nzIndenta"/>
      </w:pPr>
      <w:r>
        <w:tab/>
        <w:t>(b)</w:t>
      </w:r>
      <w:r>
        <w:tab/>
        <w:t>endorse the certificate of title of the property to the effect that, when the memorial was registered, the property ceased to be subject to or affected by any interests recorded on the certificate of title, including caveats, mortgages, charges, obligations and estates (except rights</w:t>
      </w:r>
      <w:r>
        <w:noBreakHyphen/>
        <w:t>of</w:t>
      </w:r>
      <w:r>
        <w:noBreakHyphen/>
        <w:t>way, easements and restrictive covenants) to which it was subject immediately before the registration of the memorial, or by which it was affected immediately before the registration of the memorial.</w:t>
      </w:r>
    </w:p>
    <w:p>
      <w:pPr>
        <w:pStyle w:val="nzSubsection"/>
      </w:pPr>
      <w:r>
        <w:tab/>
        <w:t>(5)</w:t>
      </w:r>
      <w:r>
        <w:tab/>
        <w:t xml:space="preserve">The Registrar of Titles may dispense with the production of any duplicate certificate of title or any duplicate instrument for the purposes of entering on the duplicate certificate or duplicate instrument any memorandum that would, but for this subsection, be required to be entered under the </w:t>
      </w:r>
      <w:r>
        <w:rPr>
          <w:i/>
        </w:rPr>
        <w:t>Transfer of Land Act 1893</w:t>
      </w:r>
      <w:r>
        <w:t xml:space="preserve"> as a result of registering a memorial under subsection (3) or of doing anything else required or permitted by this section.</w:t>
      </w:r>
    </w:p>
    <w:p>
      <w:pPr>
        <w:pStyle w:val="nzSubsection"/>
      </w:pPr>
      <w:r>
        <w:tab/>
        <w:t>(6)</w:t>
      </w:r>
      <w:r>
        <w:tab/>
        <w:t xml:space="preserve">If, under subsection (5), the Registrar of Titles dispenses with the production of a duplicate certificate of title or duplicate instrument — </w:t>
      </w:r>
    </w:p>
    <w:p>
      <w:pPr>
        <w:pStyle w:val="nzIndenta"/>
      </w:pPr>
      <w:r>
        <w:tab/>
        <w:t>(a)</w:t>
      </w:r>
      <w:r>
        <w:tab/>
        <w:t>the Registrar must endorse the certificate of title to the effect that the memorandum concerned has not been entered on the duplicate certificate of title or the duplicate instrument; and</w:t>
      </w:r>
    </w:p>
    <w:p>
      <w:pPr>
        <w:pStyle w:val="nzIndenta"/>
      </w:pPr>
      <w:r>
        <w:tab/>
        <w:t>(b)</w:t>
      </w:r>
      <w:r>
        <w:tab/>
        <w:t>any subsequent dealing in the property has effect as if the memorandum had been entered on the duplicate certificate of title or the duplicate instrument.</w:t>
      </w:r>
    </w:p>
    <w:p>
      <w:pPr>
        <w:pStyle w:val="nzSubsection"/>
      </w:pPr>
      <w:r>
        <w:tab/>
        <w:t>(7)</w:t>
      </w:r>
      <w:r>
        <w:tab/>
        <w:t>If, under subsection (5), the Registrar of Titles dispenses with the production of a duplicate certificate of title, then, on the application of the registered proprietor, the Registrar may cancel the certificate of title for which the duplicate was issued, and create and register a new certificate of title for the property.</w:t>
      </w:r>
    </w:p>
    <w:p>
      <w:pPr>
        <w:pStyle w:val="nzSubsection"/>
      </w:pPr>
      <w:r>
        <w:tab/>
        <w:t>(8)</w:t>
      </w:r>
      <w:r>
        <w:tab/>
        <w:t>The Registrar of Titles is not required to obtain the consent or direction of the Commissioner of Titles to perform a function conferred on the Registrar under this section.</w:t>
      </w:r>
    </w:p>
    <w:p>
      <w:pPr>
        <w:pStyle w:val="nzSubsection"/>
      </w:pPr>
      <w:r>
        <w:tab/>
        <w:t>(9)</w:t>
      </w:r>
      <w:r>
        <w:tab/>
        <w:t xml:space="preserve">To the extent that a provision of this section relating to any property is inconsistent with the </w:t>
      </w:r>
      <w:r>
        <w:rPr>
          <w:i/>
        </w:rPr>
        <w:t>Transfer of Land Act 1983</w:t>
      </w:r>
      <w:r>
        <w:rPr>
          <w:i/>
          <w:vertAlign w:val="superscript"/>
        </w:rPr>
        <w:t> </w:t>
      </w:r>
      <w:r>
        <w:rPr>
          <w:iCs/>
          <w:vertAlign w:val="superscript"/>
        </w:rPr>
        <w:t>4</w:t>
      </w:r>
      <w:r>
        <w:rPr>
          <w:iCs/>
        </w:rPr>
        <w:t>,</w:t>
      </w:r>
      <w:r>
        <w:t xml:space="preserve"> the provision prevails, but this section does not otherwise affect the operation of that Act in relation to the property. </w:t>
      </w:r>
    </w:p>
    <w:p>
      <w:pPr>
        <w:pStyle w:val="MiscClose"/>
      </w:pPr>
      <w:r>
        <w:t>”.</w:t>
      </w:r>
    </w:p>
    <w:p>
      <w:pPr>
        <w:pStyle w:val="nSubsection"/>
      </w:pPr>
      <w:r>
        <w:rPr>
          <w:vertAlign w:val="superscript"/>
        </w:rPr>
        <w:t>4</w:t>
      </w:r>
      <w:r>
        <w:tab/>
        <w:t>This should read “</w:t>
      </w:r>
      <w:r>
        <w:rPr>
          <w:i/>
          <w:iCs/>
        </w:rPr>
        <w:t>1893</w:t>
      </w:r>
      <w:r>
        <w:t>”.</w:t>
      </w:r>
    </w:p>
    <w:p>
      <w:pPr>
        <w:pStyle w:val="nSubsection"/>
        <w:rPr>
          <w:snapToGrid w:val="0"/>
        </w:rPr>
      </w:pPr>
      <w:r>
        <w:rPr>
          <w:snapToGrid w:val="0"/>
          <w:vertAlign w:val="superscript"/>
        </w:rPr>
        <w:t>5</w:t>
      </w:r>
      <w:r>
        <w:rPr>
          <w:snapToGrid w:val="0"/>
        </w:rPr>
        <w:tab/>
        <w:t xml:space="preserve">On the date as at which this compilation was prepared, the </w:t>
      </w:r>
      <w:r>
        <w:rPr>
          <w:i/>
          <w:iCs/>
          <w:snapToGrid w:val="0"/>
          <w:sz w:val="19"/>
          <w:lang w:val="en-US"/>
        </w:rPr>
        <w:t>Misuse of Drugs Amendment Act 2010</w:t>
      </w:r>
      <w:r>
        <w:rPr>
          <w:snapToGrid w:val="0"/>
          <w:sz w:val="19"/>
          <w:lang w:val="en-US"/>
        </w:rPr>
        <w:t xml:space="preserve"> s. 5</w:t>
      </w:r>
      <w:r>
        <w:rPr>
          <w:snapToGrid w:val="0"/>
          <w:sz w:val="19"/>
          <w:lang w:val="en-US"/>
        </w:rPr>
        <w:noBreakHyphen/>
        <w:t>7(1) and (2), 8</w:t>
      </w:r>
      <w:r>
        <w:rPr>
          <w:snapToGrid w:val="0"/>
          <w:sz w:val="19"/>
          <w:lang w:val="en-US"/>
        </w:rPr>
        <w:noBreakHyphen/>
        <w:t>10</w:t>
      </w:r>
      <w:r>
        <w:rPr>
          <w:snapToGrid w:val="0"/>
        </w:rPr>
        <w:t xml:space="preserve"> had not come into operation.  They read as follows:</w:t>
      </w:r>
    </w:p>
    <w:p>
      <w:pPr>
        <w:pStyle w:val="BlankOpen"/>
      </w:pPr>
    </w:p>
    <w:p>
      <w:pPr>
        <w:pStyle w:val="nzHeading5"/>
      </w:pPr>
      <w:bookmarkStart w:id="818" w:name="_Toc253488807"/>
      <w:bookmarkStart w:id="819" w:name="_Toc276115428"/>
      <w:bookmarkStart w:id="820" w:name="_Toc276384538"/>
      <w:bookmarkStart w:id="821" w:name="_Toc106600738"/>
      <w:r>
        <w:rPr>
          <w:rStyle w:val="CharSectno"/>
        </w:rPr>
        <w:t>5</w:t>
      </w:r>
      <w:r>
        <w:t>.</w:t>
      </w:r>
      <w:r>
        <w:tab/>
        <w:t>Section 21 amended</w:t>
      </w:r>
      <w:bookmarkEnd w:id="818"/>
      <w:bookmarkEnd w:id="819"/>
      <w:bookmarkEnd w:id="820"/>
    </w:p>
    <w:p>
      <w:pPr>
        <w:pStyle w:val="nzSubsection"/>
      </w:pPr>
      <w:r>
        <w:tab/>
      </w:r>
      <w:r>
        <w:tab/>
        <w:t xml:space="preserve">In section 21 delete the definition of </w:t>
      </w:r>
      <w:r>
        <w:rPr>
          <w:b/>
          <w:bCs/>
          <w:i/>
          <w:iCs/>
        </w:rPr>
        <w:t>holding order</w:t>
      </w:r>
      <w:r>
        <w:t>.</w:t>
      </w:r>
    </w:p>
    <w:p>
      <w:pPr>
        <w:pStyle w:val="nzHeading5"/>
      </w:pPr>
      <w:bookmarkStart w:id="822" w:name="_Toc253488808"/>
      <w:bookmarkStart w:id="823" w:name="_Toc276115429"/>
      <w:bookmarkStart w:id="824" w:name="_Toc276384539"/>
      <w:r>
        <w:rPr>
          <w:rStyle w:val="CharSectno"/>
        </w:rPr>
        <w:t>6</w:t>
      </w:r>
      <w:r>
        <w:t>.</w:t>
      </w:r>
      <w:r>
        <w:tab/>
        <w:t>Section 26 amended</w:t>
      </w:r>
      <w:bookmarkEnd w:id="822"/>
      <w:bookmarkEnd w:id="823"/>
      <w:bookmarkEnd w:id="824"/>
    </w:p>
    <w:p>
      <w:pPr>
        <w:pStyle w:val="nzSubsection"/>
      </w:pPr>
      <w:r>
        <w:tab/>
        <w:t>(1)</w:t>
      </w:r>
      <w:r>
        <w:tab/>
        <w:t>In section 26(1):</w:t>
      </w:r>
    </w:p>
    <w:p>
      <w:pPr>
        <w:pStyle w:val="nzIndenta"/>
      </w:pPr>
      <w:r>
        <w:tab/>
        <w:t>(a)</w:t>
      </w:r>
      <w:r>
        <w:tab/>
        <w:t>delete “requires, may seize that thing and —” and insert:</w:t>
      </w:r>
    </w:p>
    <w:p>
      <w:pPr>
        <w:pStyle w:val="BlankOpen"/>
      </w:pPr>
    </w:p>
    <w:p>
      <w:pPr>
        <w:pStyle w:val="nzIndenta"/>
      </w:pPr>
      <w:r>
        <w:tab/>
      </w:r>
      <w:r>
        <w:tab/>
        <w:t>requires —</w:t>
      </w:r>
    </w:p>
    <w:p>
      <w:pPr>
        <w:pStyle w:val="BlankClose"/>
      </w:pPr>
    </w:p>
    <w:p>
      <w:pPr>
        <w:pStyle w:val="nzIndenta"/>
      </w:pPr>
      <w:r>
        <w:tab/>
        <w:t>(b)</w:t>
      </w:r>
      <w:r>
        <w:tab/>
        <w:t>delete paragraphs (a) and (b) and insert:</w:t>
      </w:r>
    </w:p>
    <w:p>
      <w:pPr>
        <w:pStyle w:val="BlankOpen"/>
      </w:pPr>
    </w:p>
    <w:p>
      <w:pPr>
        <w:pStyle w:val="nzIndenta"/>
      </w:pPr>
      <w:r>
        <w:tab/>
        <w:t>(a)</w:t>
      </w:r>
      <w:r>
        <w:tab/>
        <w:t xml:space="preserve">in the case of — </w:t>
      </w:r>
    </w:p>
    <w:p>
      <w:pPr>
        <w:pStyle w:val="nzIndenti"/>
      </w:pPr>
      <w:r>
        <w:tab/>
        <w:t>(i)</w:t>
      </w:r>
      <w:r>
        <w:tab/>
        <w:t>a thing that is a prohibited drug, prohibited plant or dangerous substance; or</w:t>
      </w:r>
    </w:p>
    <w:p>
      <w:pPr>
        <w:pStyle w:val="nzIndenti"/>
      </w:pPr>
      <w:r>
        <w:tab/>
        <w:t>(ii)</w:t>
      </w:r>
      <w:r>
        <w:tab/>
        <w:t>a thing that is contaminated by a dangerous substance,</w:t>
      </w:r>
    </w:p>
    <w:p>
      <w:pPr>
        <w:pStyle w:val="nzIndenta"/>
      </w:pPr>
      <w:r>
        <w:tab/>
      </w:r>
      <w:r>
        <w:tab/>
        <w:t>may seize and detain the thing until it is dealt with under section 27; or</w:t>
      </w:r>
    </w:p>
    <w:p>
      <w:pPr>
        <w:pStyle w:val="nzIndenta"/>
      </w:pPr>
      <w:r>
        <w:tab/>
        <w:t>(b)</w:t>
      </w:r>
      <w:r>
        <w:tab/>
        <w:t>in the case of any other thing, may seize it.</w:t>
      </w:r>
    </w:p>
    <w:p>
      <w:pPr>
        <w:pStyle w:val="BlankClose"/>
      </w:pPr>
    </w:p>
    <w:p>
      <w:pPr>
        <w:pStyle w:val="nzSubsection"/>
      </w:pPr>
      <w:r>
        <w:tab/>
        <w:t>(2)</w:t>
      </w:r>
      <w:r>
        <w:tab/>
        <w:t>After section 26(1) insert:</w:t>
      </w:r>
    </w:p>
    <w:p>
      <w:pPr>
        <w:pStyle w:val="BlankOpen"/>
      </w:pPr>
    </w:p>
    <w:p>
      <w:pPr>
        <w:pStyle w:val="nzSubsection"/>
      </w:pPr>
      <w:r>
        <w:tab/>
        <w:t>(2A)</w:t>
      </w:r>
      <w:r>
        <w:tab/>
        <w:t xml:space="preserve">If under subsection (1)(b) a thing may be seized, the </w:t>
      </w:r>
      <w:r>
        <w:rPr>
          <w:i/>
        </w:rPr>
        <w:t>Criminal Investigation Act 2006</w:t>
      </w:r>
      <w:r>
        <w:t xml:space="preserve"> Part 13, with any necessary changes, applies to and in relation to the exercise of the power to seize the thing.</w:t>
      </w:r>
    </w:p>
    <w:p>
      <w:pPr>
        <w:pStyle w:val="nzSubsection"/>
      </w:pPr>
      <w:r>
        <w:tab/>
        <w:t>(2B)</w:t>
      </w:r>
      <w:r>
        <w:tab/>
        <w:t xml:space="preserve">If under subsection (1)(b) a thing is seized, the </w:t>
      </w:r>
      <w:r>
        <w:rPr>
          <w:i/>
        </w:rPr>
        <w:t>Criminal Investigation Act 2006</w:t>
      </w:r>
      <w:r>
        <w:t xml:space="preserve"> Part 13 and the </w:t>
      </w:r>
      <w:r>
        <w:rPr>
          <w:i/>
        </w:rPr>
        <w:t>Criminal and Found Property Disposal Act 2006</w:t>
      </w:r>
      <w:r>
        <w:t>, with any necessary changes, apply to and in relation to it.</w:t>
      </w:r>
    </w:p>
    <w:p>
      <w:pPr>
        <w:pStyle w:val="BlankClose"/>
      </w:pPr>
    </w:p>
    <w:p>
      <w:pPr>
        <w:pStyle w:val="nzHeading5"/>
      </w:pPr>
      <w:bookmarkStart w:id="825" w:name="_Toc253488809"/>
      <w:bookmarkStart w:id="826" w:name="_Toc276115430"/>
      <w:bookmarkStart w:id="827" w:name="_Toc276384540"/>
      <w:r>
        <w:rPr>
          <w:rStyle w:val="CharSectno"/>
        </w:rPr>
        <w:t>7</w:t>
      </w:r>
      <w:r>
        <w:t>.</w:t>
      </w:r>
      <w:r>
        <w:tab/>
        <w:t>Section 27 amended</w:t>
      </w:r>
      <w:bookmarkEnd w:id="825"/>
      <w:bookmarkEnd w:id="826"/>
      <w:bookmarkEnd w:id="827"/>
    </w:p>
    <w:p>
      <w:pPr>
        <w:pStyle w:val="nzSubsection"/>
      </w:pPr>
      <w:r>
        <w:tab/>
        <w:t>(1)</w:t>
      </w:r>
      <w:r>
        <w:tab/>
        <w:t>In section 27(1) delete “prohibited drug, prohibited plant or dangerous substance” (each occurrence) and insert:</w:t>
      </w:r>
    </w:p>
    <w:p>
      <w:pPr>
        <w:pStyle w:val="BlankOpen"/>
      </w:pPr>
    </w:p>
    <w:p>
      <w:pPr>
        <w:pStyle w:val="nzSubsection"/>
      </w:pPr>
      <w:r>
        <w:tab/>
      </w:r>
      <w:r>
        <w:tab/>
        <w:t>relevant thing</w:t>
      </w:r>
    </w:p>
    <w:p>
      <w:pPr>
        <w:pStyle w:val="BlankClose"/>
      </w:pPr>
    </w:p>
    <w:p>
      <w:pPr>
        <w:pStyle w:val="nzSubsection"/>
      </w:pPr>
      <w:r>
        <w:tab/>
        <w:t>(2)</w:t>
      </w:r>
      <w:r>
        <w:tab/>
        <w:t>In section 27(2):</w:t>
      </w:r>
    </w:p>
    <w:p>
      <w:pPr>
        <w:pStyle w:val="nzIndenta"/>
      </w:pPr>
      <w:r>
        <w:tab/>
        <w:t>(a)</w:t>
      </w:r>
      <w:r>
        <w:tab/>
        <w:t>delete “prohibited drug, prohibited plant or dangerous substance” and insert:</w:t>
      </w:r>
    </w:p>
    <w:p>
      <w:pPr>
        <w:pStyle w:val="BlankOpen"/>
      </w:pPr>
    </w:p>
    <w:p>
      <w:pPr>
        <w:pStyle w:val="nzIndenta"/>
      </w:pPr>
      <w:r>
        <w:tab/>
      </w:r>
      <w:r>
        <w:tab/>
        <w:t>relevant thing</w:t>
      </w:r>
    </w:p>
    <w:p>
      <w:pPr>
        <w:pStyle w:val="BlankClose"/>
      </w:pPr>
    </w:p>
    <w:p>
      <w:pPr>
        <w:pStyle w:val="nzIndenta"/>
      </w:pPr>
      <w:r>
        <w:tab/>
        <w:t>(b)</w:t>
      </w:r>
      <w:r>
        <w:tab/>
        <w:t>delete paragraph (b) and insert:</w:t>
      </w:r>
    </w:p>
    <w:p>
      <w:pPr>
        <w:pStyle w:val="BlankOpen"/>
      </w:pPr>
    </w:p>
    <w:p>
      <w:pPr>
        <w:pStyle w:val="nzIndenta"/>
      </w:pPr>
      <w:r>
        <w:tab/>
        <w:t>(b)</w:t>
      </w:r>
      <w:r>
        <w:tab/>
        <w:t>sufficient samples have been taken of or from the thing,</w:t>
      </w:r>
    </w:p>
    <w:p>
      <w:pPr>
        <w:pStyle w:val="BlankClose"/>
      </w:pPr>
    </w:p>
    <w:p>
      <w:pPr>
        <w:pStyle w:val="nzHeading5"/>
      </w:pPr>
      <w:bookmarkStart w:id="828" w:name="_Toc253488810"/>
      <w:bookmarkStart w:id="829" w:name="_Toc276115431"/>
      <w:bookmarkStart w:id="830" w:name="_Toc276384541"/>
      <w:r>
        <w:rPr>
          <w:rStyle w:val="CharSectno"/>
        </w:rPr>
        <w:t>8</w:t>
      </w:r>
      <w:r>
        <w:t>.</w:t>
      </w:r>
      <w:r>
        <w:tab/>
        <w:t>Section 28 replaced</w:t>
      </w:r>
      <w:bookmarkEnd w:id="828"/>
      <w:bookmarkEnd w:id="829"/>
      <w:bookmarkEnd w:id="830"/>
    </w:p>
    <w:p>
      <w:pPr>
        <w:pStyle w:val="nzSubsection"/>
      </w:pPr>
      <w:r>
        <w:tab/>
      </w:r>
      <w:r>
        <w:tab/>
        <w:t>Delete section 28 and insert:</w:t>
      </w:r>
    </w:p>
    <w:p>
      <w:pPr>
        <w:pStyle w:val="BlankOpen"/>
      </w:pPr>
    </w:p>
    <w:p>
      <w:pPr>
        <w:pStyle w:val="nzHeading5"/>
      </w:pPr>
      <w:bookmarkStart w:id="831" w:name="_Toc253488811"/>
      <w:bookmarkStart w:id="832" w:name="_Toc276115432"/>
      <w:bookmarkStart w:id="833" w:name="_Toc276384542"/>
      <w:r>
        <w:t>28.</w:t>
      </w:r>
      <w:r>
        <w:tab/>
        <w:t>Compensation for destroyed seized property</w:t>
      </w:r>
      <w:bookmarkEnd w:id="831"/>
      <w:bookmarkEnd w:id="832"/>
      <w:bookmarkEnd w:id="833"/>
    </w:p>
    <w:p>
      <w:pPr>
        <w:pStyle w:val="nzSubsection"/>
      </w:pPr>
      <w:r>
        <w:tab/>
        <w:t>(1)</w:t>
      </w:r>
      <w:r>
        <w:tab/>
        <w:t xml:space="preserve">In this section — </w:t>
      </w:r>
    </w:p>
    <w:p>
      <w:pPr>
        <w:pStyle w:val="nzDefstart"/>
      </w:pPr>
      <w:r>
        <w:rPr>
          <w:b/>
        </w:rPr>
        <w:tab/>
      </w:r>
      <w:r>
        <w:rPr>
          <w:rStyle w:val="CharDefText"/>
        </w:rPr>
        <w:t>seized property</w:t>
      </w:r>
      <w:r>
        <w:t xml:space="preserve"> means a dangerous substance, or a thing contaminated with a dangerous substance, seized under section 26.</w:t>
      </w:r>
    </w:p>
    <w:p>
      <w:pPr>
        <w:pStyle w:val="nzSubsection"/>
      </w:pPr>
      <w:r>
        <w:tab/>
        <w:t>(2)</w:t>
      </w:r>
      <w:r>
        <w:tab/>
        <w:t>This section does not apply to or in respect of any seized property that has been forfeited to the Crown.</w:t>
      </w:r>
    </w:p>
    <w:p>
      <w:pPr>
        <w:pStyle w:val="nzSubsection"/>
      </w:pPr>
      <w:r>
        <w:tab/>
        <w:t>(3)</w:t>
      </w:r>
      <w:r>
        <w:tab/>
        <w:t xml:space="preserve">If any seized property is destroyed — </w:t>
      </w:r>
    </w:p>
    <w:p>
      <w:pPr>
        <w:pStyle w:val="nzIndenta"/>
      </w:pPr>
      <w:r>
        <w:tab/>
        <w:t>(a)</w:t>
      </w:r>
      <w:r>
        <w:tab/>
        <w:t>under section 27(1)(a)(i); or</w:t>
      </w:r>
    </w:p>
    <w:p>
      <w:pPr>
        <w:pStyle w:val="nzIndenta"/>
      </w:pPr>
      <w:r>
        <w:tab/>
        <w:t>(b)</w:t>
      </w:r>
      <w:r>
        <w:tab/>
        <w:t>under an order made under section 27(1)(b),</w:t>
      </w:r>
    </w:p>
    <w:p>
      <w:pPr>
        <w:pStyle w:val="nzSubsection"/>
      </w:pPr>
      <w:r>
        <w:tab/>
      </w:r>
      <w:r>
        <w:tab/>
        <w:t>a person who was entitled to possession of it when it was seized is entitled to recover from the State (if necessary, by action in a court of competent jurisdiction) compensation equal to its market value at the time it was seized.</w:t>
      </w:r>
    </w:p>
    <w:p>
      <w:pPr>
        <w:pStyle w:val="nzSubsection"/>
      </w:pPr>
      <w:r>
        <w:tab/>
        <w:t>(4)</w:t>
      </w:r>
      <w:r>
        <w:tab/>
        <w:t>If under section 27(4) any seized property is destroyed and —</w:t>
      </w:r>
    </w:p>
    <w:p>
      <w:pPr>
        <w:pStyle w:val="nzIndenta"/>
      </w:pPr>
      <w:r>
        <w:tab/>
        <w:t>(a)</w:t>
      </w:r>
      <w:r>
        <w:tab/>
        <w:t>in the 12 months after the date on which the property was seized no person is charged with an offence that involved the possession, use, sale or supply of it; or</w:t>
      </w:r>
    </w:p>
    <w:p>
      <w:pPr>
        <w:pStyle w:val="nzIndenta"/>
      </w:pPr>
      <w:r>
        <w:tab/>
        <w:t>(b)</w:t>
      </w:r>
      <w:r>
        <w:tab/>
        <w:t>a person is charged with such an offence but is acquitted, whether at trial or on appeal, and any appeal against the acquittal is concluded,</w:t>
      </w:r>
    </w:p>
    <w:p>
      <w:pPr>
        <w:pStyle w:val="nzSubsection"/>
      </w:pPr>
      <w:r>
        <w:tab/>
      </w:r>
      <w:r>
        <w:tab/>
        <w:t>any person who was entitled to possession of the property when it was seized is entitled to recover from the State (if necessary, by action in a court of competent jurisdiction) compensation equal to its market value at the time it was seized.</w:t>
      </w:r>
    </w:p>
    <w:p>
      <w:pPr>
        <w:pStyle w:val="BlankClose"/>
      </w:pPr>
    </w:p>
    <w:p>
      <w:pPr>
        <w:pStyle w:val="nzHeading5"/>
      </w:pPr>
      <w:bookmarkStart w:id="834" w:name="_Toc253488812"/>
      <w:bookmarkStart w:id="835" w:name="_Toc276115433"/>
      <w:bookmarkStart w:id="836" w:name="_Toc276384543"/>
      <w:r>
        <w:rPr>
          <w:rStyle w:val="CharSectno"/>
        </w:rPr>
        <w:t>9</w:t>
      </w:r>
      <w:r>
        <w:t>.</w:t>
      </w:r>
      <w:r>
        <w:tab/>
        <w:t>Section 43 inserted</w:t>
      </w:r>
      <w:bookmarkEnd w:id="834"/>
      <w:bookmarkEnd w:id="835"/>
      <w:bookmarkEnd w:id="836"/>
    </w:p>
    <w:p>
      <w:pPr>
        <w:pStyle w:val="nzSubsection"/>
      </w:pPr>
      <w:r>
        <w:tab/>
      </w:r>
      <w:r>
        <w:tab/>
        <w:t>After section 42 insert:</w:t>
      </w:r>
    </w:p>
    <w:p>
      <w:pPr>
        <w:pStyle w:val="BlankOpen"/>
      </w:pPr>
    </w:p>
    <w:p>
      <w:pPr>
        <w:pStyle w:val="nzHeading5"/>
      </w:pPr>
      <w:bookmarkStart w:id="837" w:name="_Toc253488813"/>
      <w:bookmarkStart w:id="838" w:name="_Toc276115434"/>
      <w:bookmarkStart w:id="839" w:name="_Toc276384544"/>
      <w:r>
        <w:t>43.</w:t>
      </w:r>
      <w:r>
        <w:tab/>
        <w:t>Transitional provisions (Sch. IX)</w:t>
      </w:r>
      <w:bookmarkEnd w:id="837"/>
      <w:bookmarkEnd w:id="838"/>
      <w:bookmarkEnd w:id="839"/>
    </w:p>
    <w:p>
      <w:pPr>
        <w:pStyle w:val="nzSubsection"/>
      </w:pPr>
      <w:r>
        <w:tab/>
      </w:r>
      <w:r>
        <w:tab/>
        <w:t>Schedule IX sets out transitional provisions.</w:t>
      </w:r>
    </w:p>
    <w:p>
      <w:pPr>
        <w:pStyle w:val="BlankClose"/>
      </w:pPr>
    </w:p>
    <w:p>
      <w:pPr>
        <w:pStyle w:val="nzHeading5"/>
      </w:pPr>
      <w:bookmarkStart w:id="840" w:name="_Toc253488814"/>
      <w:bookmarkStart w:id="841" w:name="_Toc276115435"/>
      <w:bookmarkStart w:id="842" w:name="_Toc276384545"/>
      <w:r>
        <w:rPr>
          <w:rStyle w:val="CharSectno"/>
        </w:rPr>
        <w:t>10</w:t>
      </w:r>
      <w:r>
        <w:t>.</w:t>
      </w:r>
      <w:r>
        <w:tab/>
        <w:t>Schedule IX inserted</w:t>
      </w:r>
      <w:bookmarkEnd w:id="840"/>
      <w:bookmarkEnd w:id="841"/>
      <w:bookmarkEnd w:id="842"/>
    </w:p>
    <w:p>
      <w:pPr>
        <w:pStyle w:val="nzSubsection"/>
      </w:pPr>
      <w:r>
        <w:tab/>
      </w:r>
      <w:r>
        <w:tab/>
        <w:t>After Schedule VIII insert:</w:t>
      </w:r>
    </w:p>
    <w:p>
      <w:pPr>
        <w:pStyle w:val="BlankOpen"/>
      </w:pPr>
    </w:p>
    <w:p>
      <w:pPr>
        <w:pStyle w:val="nzHeading2"/>
      </w:pPr>
      <w:bookmarkStart w:id="843" w:name="_Toc253486535"/>
      <w:bookmarkStart w:id="844" w:name="_Toc253488815"/>
      <w:bookmarkStart w:id="845" w:name="_Toc276115436"/>
      <w:bookmarkStart w:id="846" w:name="_Toc276384546"/>
      <w:r>
        <w:t>Schedule IX — Transitional provisions</w:t>
      </w:r>
      <w:bookmarkEnd w:id="843"/>
      <w:bookmarkEnd w:id="844"/>
      <w:bookmarkEnd w:id="845"/>
      <w:bookmarkEnd w:id="846"/>
    </w:p>
    <w:p>
      <w:pPr>
        <w:pStyle w:val="nzMiscellaneousBody"/>
        <w:jc w:val="right"/>
      </w:pPr>
      <w:r>
        <w:t>[s. 43]</w:t>
      </w:r>
    </w:p>
    <w:p>
      <w:pPr>
        <w:pStyle w:val="nzHeading5"/>
      </w:pPr>
      <w:bookmarkStart w:id="847" w:name="_Toc253488816"/>
      <w:bookmarkStart w:id="848" w:name="_Toc276115437"/>
      <w:bookmarkStart w:id="849" w:name="_Toc276384547"/>
      <w:r>
        <w:t>1.</w:t>
      </w:r>
      <w:r>
        <w:rPr>
          <w:b w:val="0"/>
        </w:rPr>
        <w:tab/>
      </w:r>
      <w:r>
        <w:t>Property subject to holding orders under repealed s. 28</w:t>
      </w:r>
      <w:bookmarkEnd w:id="847"/>
      <w:bookmarkEnd w:id="848"/>
      <w:bookmarkEnd w:id="849"/>
    </w:p>
    <w:p>
      <w:pPr>
        <w:pStyle w:val="nzSubsection"/>
      </w:pPr>
      <w:r>
        <w:tab/>
        <w:t>(1)</w:t>
      </w:r>
      <w:r>
        <w:tab/>
        <w:t>In this clause —</w:t>
      </w:r>
    </w:p>
    <w:p>
      <w:pPr>
        <w:pStyle w:val="nzDefstart"/>
      </w:pPr>
      <w:r>
        <w:tab/>
      </w:r>
      <w:r>
        <w:rPr>
          <w:rStyle w:val="CharDefText"/>
        </w:rPr>
        <w:t>repeal day</w:t>
      </w:r>
      <w:r>
        <w:t xml:space="preserve"> means the day on which section 28 is repealed by the </w:t>
      </w:r>
      <w:r>
        <w:rPr>
          <w:i/>
        </w:rPr>
        <w:t>Misuse of Drugs Amendment Act 2010</w:t>
      </w:r>
      <w:r>
        <w:t xml:space="preserve"> section 8.</w:t>
      </w:r>
    </w:p>
    <w:p>
      <w:pPr>
        <w:pStyle w:val="nzSubsection"/>
      </w:pPr>
      <w:r>
        <w:tab/>
        <w:t>(2)</w:t>
      </w:r>
      <w:r>
        <w:tab/>
        <w:t>If immediately before repeal day any property is subject to a holding order granted under section 28, then on repeal day —</w:t>
      </w:r>
    </w:p>
    <w:p>
      <w:pPr>
        <w:pStyle w:val="nzIndenta"/>
      </w:pPr>
      <w:r>
        <w:tab/>
        <w:t>(a)</w:t>
      </w:r>
      <w:r>
        <w:tab/>
        <w:t>the repealed section 28 ceases to apply to and in respect of the property and the holding order; and</w:t>
      </w:r>
    </w:p>
    <w:p>
      <w:pPr>
        <w:pStyle w:val="nzIndenta"/>
      </w:pPr>
      <w:r>
        <w:tab/>
        <w:t>(b)</w:t>
      </w:r>
      <w:r>
        <w:tab/>
        <w:t xml:space="preserve">the property is to be taken to be seized property for the purposes of the </w:t>
      </w:r>
      <w:r>
        <w:rPr>
          <w:i/>
        </w:rPr>
        <w:t>Criminal and Found Property Disposal Act 2006</w:t>
      </w:r>
      <w:r>
        <w:t xml:space="preserve"> and that Act applies to and in respect of it accordingly.</w:t>
      </w:r>
    </w:p>
    <w:p>
      <w:pPr>
        <w:pStyle w:val="BlankClose"/>
      </w:pPr>
    </w:p>
    <w:p>
      <w:pPr>
        <w:pStyle w:val="BlankClose"/>
      </w:pPr>
    </w:p>
    <w:p>
      <w:pPr>
        <w:pStyle w:val="nSubsection"/>
        <w:rPr>
          <w:snapToGrid w:val="0"/>
        </w:rPr>
      </w:pPr>
      <w:r>
        <w:rPr>
          <w:snapToGrid w:val="0"/>
          <w:vertAlign w:val="superscript"/>
        </w:rPr>
        <w:t>6</w:t>
      </w:r>
      <w:r>
        <w:rPr>
          <w:snapToGrid w:val="0"/>
        </w:rPr>
        <w:tab/>
        <w:t xml:space="preserve">On the date as at which this compilation was prepared, the </w:t>
      </w:r>
      <w:r>
        <w:rPr>
          <w:i/>
          <w:iCs/>
          <w:snapToGrid w:val="0"/>
          <w:sz w:val="19"/>
          <w:lang w:val="en-US"/>
        </w:rPr>
        <w:t>Cannabis Law Reform Act 2010</w:t>
      </w:r>
      <w:r>
        <w:rPr>
          <w:snapToGrid w:val="0"/>
          <w:sz w:val="19"/>
          <w:lang w:val="en-US"/>
        </w:rPr>
        <w:t xml:space="preserve"> Pt. 3</w:t>
      </w:r>
      <w:r>
        <w:rPr>
          <w:snapToGrid w:val="0"/>
        </w:rPr>
        <w:t xml:space="preserve"> had not come into operation.  It reads as follows:</w:t>
      </w:r>
    </w:p>
    <w:p>
      <w:pPr>
        <w:pStyle w:val="BlankOpen"/>
      </w:pPr>
    </w:p>
    <w:p>
      <w:pPr>
        <w:pStyle w:val="nzHeading2"/>
      </w:pPr>
      <w:bookmarkStart w:id="850" w:name="_Toc275420350"/>
      <w:bookmarkStart w:id="851" w:name="_Toc276115383"/>
      <w:bookmarkStart w:id="852" w:name="_Toc276385316"/>
      <w:r>
        <w:rPr>
          <w:rStyle w:val="CharPartNo"/>
        </w:rPr>
        <w:t>Part 3</w:t>
      </w:r>
      <w:r>
        <w:rPr>
          <w:rStyle w:val="CharDivNo"/>
          <w:i/>
          <w:iCs/>
        </w:rPr>
        <w:t> </w:t>
      </w:r>
      <w:r>
        <w:rPr>
          <w:i/>
          <w:iCs/>
        </w:rPr>
        <w:t>—</w:t>
      </w:r>
      <w:r>
        <w:rPr>
          <w:rStyle w:val="CharDivText"/>
          <w:i/>
          <w:iCs/>
        </w:rPr>
        <w:t> </w:t>
      </w:r>
      <w:r>
        <w:rPr>
          <w:rStyle w:val="CharPartText"/>
          <w:i/>
          <w:iCs/>
        </w:rPr>
        <w:t>Misuse of Drugs Act 1981 amended</w:t>
      </w:r>
      <w:bookmarkEnd w:id="850"/>
      <w:bookmarkEnd w:id="851"/>
      <w:bookmarkEnd w:id="852"/>
    </w:p>
    <w:p>
      <w:pPr>
        <w:pStyle w:val="nzHeading5"/>
        <w:rPr>
          <w:snapToGrid w:val="0"/>
        </w:rPr>
      </w:pPr>
      <w:bookmarkStart w:id="853" w:name="_Toc275420351"/>
      <w:bookmarkStart w:id="854" w:name="_Toc276115384"/>
      <w:bookmarkStart w:id="855" w:name="_Toc276385317"/>
      <w:r>
        <w:rPr>
          <w:rStyle w:val="CharSectno"/>
        </w:rPr>
        <w:t>4</w:t>
      </w:r>
      <w:r>
        <w:rPr>
          <w:snapToGrid w:val="0"/>
        </w:rPr>
        <w:t>.</w:t>
      </w:r>
      <w:r>
        <w:rPr>
          <w:snapToGrid w:val="0"/>
        </w:rPr>
        <w:tab/>
        <w:t>Act amended</w:t>
      </w:r>
      <w:bookmarkEnd w:id="853"/>
      <w:bookmarkEnd w:id="854"/>
      <w:bookmarkEnd w:id="855"/>
    </w:p>
    <w:p>
      <w:pPr>
        <w:pStyle w:val="nzSubsection"/>
      </w:pPr>
      <w:r>
        <w:tab/>
      </w:r>
      <w:r>
        <w:tab/>
        <w:t xml:space="preserve">This Part amends the </w:t>
      </w:r>
      <w:r>
        <w:rPr>
          <w:i/>
          <w:iCs/>
        </w:rPr>
        <w:t>Misuse of Drugs Act 1981</w:t>
      </w:r>
      <w:r>
        <w:t>.</w:t>
      </w:r>
    </w:p>
    <w:p>
      <w:pPr>
        <w:pStyle w:val="nzHeading5"/>
      </w:pPr>
      <w:bookmarkStart w:id="856" w:name="_Toc275420352"/>
      <w:bookmarkStart w:id="857" w:name="_Toc276115385"/>
      <w:bookmarkStart w:id="858" w:name="_Toc276385318"/>
      <w:r>
        <w:rPr>
          <w:rStyle w:val="CharSectno"/>
        </w:rPr>
        <w:t>5</w:t>
      </w:r>
      <w:r>
        <w:t>.</w:t>
      </w:r>
      <w:r>
        <w:tab/>
        <w:t>Section 3 amended</w:t>
      </w:r>
      <w:bookmarkEnd w:id="856"/>
      <w:bookmarkEnd w:id="857"/>
      <w:bookmarkEnd w:id="858"/>
    </w:p>
    <w:p>
      <w:pPr>
        <w:pStyle w:val="nzSubsection"/>
      </w:pPr>
      <w:r>
        <w:tab/>
      </w:r>
      <w:r>
        <w:tab/>
        <w:t>In section 3(1) insert in alphabetical order:</w:t>
      </w:r>
    </w:p>
    <w:p>
      <w:pPr>
        <w:pStyle w:val="BlankOpen"/>
      </w:pPr>
    </w:p>
    <w:p>
      <w:pPr>
        <w:pStyle w:val="nzDefstart"/>
      </w:pPr>
      <w:r>
        <w:rPr>
          <w:b/>
          <w:i/>
          <w:szCs w:val="22"/>
        </w:rPr>
        <w:tab/>
        <w:t xml:space="preserve">child </w:t>
      </w:r>
      <w:r>
        <w:rPr>
          <w:szCs w:val="22"/>
        </w:rPr>
        <w:t>means a person who is under 18 years of age;</w:t>
      </w:r>
    </w:p>
    <w:p>
      <w:pPr>
        <w:pStyle w:val="BlankClose"/>
      </w:pPr>
    </w:p>
    <w:p>
      <w:pPr>
        <w:pStyle w:val="nzHeading5"/>
      </w:pPr>
      <w:bookmarkStart w:id="859" w:name="_Toc275420353"/>
      <w:bookmarkStart w:id="860" w:name="_Toc276115386"/>
      <w:bookmarkStart w:id="861" w:name="_Toc276385319"/>
      <w:r>
        <w:rPr>
          <w:rStyle w:val="CharSectno"/>
        </w:rPr>
        <w:t>6</w:t>
      </w:r>
      <w:r>
        <w:t>.</w:t>
      </w:r>
      <w:r>
        <w:tab/>
        <w:t>Part IIIA inserted</w:t>
      </w:r>
      <w:bookmarkEnd w:id="859"/>
      <w:bookmarkEnd w:id="860"/>
      <w:bookmarkEnd w:id="861"/>
    </w:p>
    <w:p>
      <w:pPr>
        <w:pStyle w:val="nzSubsection"/>
      </w:pPr>
      <w:r>
        <w:tab/>
      </w:r>
      <w:r>
        <w:tab/>
        <w:t>After section 8A insert:</w:t>
      </w:r>
    </w:p>
    <w:p>
      <w:pPr>
        <w:pStyle w:val="BlankOpen"/>
      </w:pPr>
    </w:p>
    <w:p>
      <w:pPr>
        <w:pStyle w:val="nzHeading2"/>
      </w:pPr>
      <w:bookmarkStart w:id="862" w:name="_Toc275420354"/>
      <w:bookmarkStart w:id="863" w:name="_Toc276115387"/>
      <w:bookmarkStart w:id="864" w:name="_Toc276385320"/>
      <w:r>
        <w:t>Part IIIA</w:t>
      </w:r>
      <w:r>
        <w:rPr>
          <w:b w:val="0"/>
        </w:rPr>
        <w:t> </w:t>
      </w:r>
      <w:r>
        <w:t>—</w:t>
      </w:r>
      <w:r>
        <w:rPr>
          <w:b w:val="0"/>
        </w:rPr>
        <w:t> </w:t>
      </w:r>
      <w:r>
        <w:t>Cannabis intervention</w:t>
      </w:r>
      <w:bookmarkEnd w:id="862"/>
      <w:bookmarkEnd w:id="863"/>
      <w:bookmarkEnd w:id="864"/>
    </w:p>
    <w:p>
      <w:pPr>
        <w:pStyle w:val="nzHeading3"/>
      </w:pPr>
      <w:bookmarkStart w:id="865" w:name="_Toc275420355"/>
      <w:bookmarkStart w:id="866" w:name="_Toc276115388"/>
      <w:bookmarkStart w:id="867" w:name="_Toc276385321"/>
      <w:r>
        <w:t>Division 1 — Preliminary</w:t>
      </w:r>
      <w:bookmarkEnd w:id="865"/>
      <w:bookmarkEnd w:id="866"/>
      <w:bookmarkEnd w:id="867"/>
    </w:p>
    <w:p>
      <w:pPr>
        <w:pStyle w:val="nzHeading5"/>
      </w:pPr>
      <w:bookmarkStart w:id="868" w:name="_Toc275420356"/>
      <w:bookmarkStart w:id="869" w:name="_Toc276115389"/>
      <w:bookmarkStart w:id="870" w:name="_Toc276385322"/>
      <w:r>
        <w:t>8B.</w:t>
      </w:r>
      <w:r>
        <w:tab/>
        <w:t>Terms and abbreviations used in this Part</w:t>
      </w:r>
      <w:bookmarkEnd w:id="868"/>
      <w:bookmarkEnd w:id="869"/>
      <w:bookmarkEnd w:id="870"/>
    </w:p>
    <w:p>
      <w:pPr>
        <w:pStyle w:val="nzSubsection"/>
      </w:pPr>
      <w:r>
        <w:tab/>
        <w:t>(1)</w:t>
      </w:r>
      <w:r>
        <w:tab/>
        <w:t xml:space="preserve">In this Part — </w:t>
      </w:r>
    </w:p>
    <w:p>
      <w:pPr>
        <w:pStyle w:val="nzDefstart"/>
      </w:pPr>
      <w:r>
        <w:tab/>
      </w:r>
      <w:r>
        <w:rPr>
          <w:b/>
          <w:i/>
          <w:szCs w:val="22"/>
        </w:rPr>
        <w:t>adult</w:t>
      </w:r>
      <w:r>
        <w:rPr>
          <w:szCs w:val="22"/>
        </w:rPr>
        <w:t xml:space="preserve"> means a person who is not a young person;</w:t>
      </w:r>
    </w:p>
    <w:p>
      <w:pPr>
        <w:pStyle w:val="nzDefstart"/>
      </w:pPr>
      <w:r>
        <w:tab/>
      </w:r>
      <w:r>
        <w:rPr>
          <w:rStyle w:val="CharDefText"/>
        </w:rPr>
        <w:t>authorised person</w:t>
      </w:r>
      <w:r>
        <w:t>, in section 8I or 8J, means a person appointed under section 8D to be an authorised person for the purposes of the section in which the term is used;</w:t>
      </w:r>
    </w:p>
    <w:p>
      <w:pPr>
        <w:pStyle w:val="nzDefstart"/>
      </w:pPr>
      <w:r>
        <w:tab/>
      </w:r>
      <w:r>
        <w:rPr>
          <w:rStyle w:val="CharDefText"/>
        </w:rPr>
        <w:t>cannabis intervention requirement</w:t>
      </w:r>
      <w:r>
        <w:t xml:space="preserve"> means a notice referred to in section 8F;</w:t>
      </w:r>
    </w:p>
    <w:p>
      <w:pPr>
        <w:pStyle w:val="nzDefstart"/>
      </w:pPr>
      <w:r>
        <w:tab/>
      </w:r>
      <w:r>
        <w:rPr>
          <w:rStyle w:val="CharDefText"/>
        </w:rPr>
        <w:t>cannabis intervention session</w:t>
      </w:r>
      <w:r>
        <w:t xml:space="preserve"> means a cannabis intervention session — </w:t>
      </w:r>
    </w:p>
    <w:p>
      <w:pPr>
        <w:pStyle w:val="nzDefpara"/>
      </w:pPr>
      <w:r>
        <w:tab/>
        <w:t>(a)</w:t>
      </w:r>
      <w:r>
        <w:tab/>
        <w:t>provided by a treatment provider approved under section 8J(2)(b); and</w:t>
      </w:r>
    </w:p>
    <w:p>
      <w:pPr>
        <w:pStyle w:val="nzDefpara"/>
      </w:pPr>
      <w:r>
        <w:tab/>
        <w:t>(b)</w:t>
      </w:r>
      <w:r>
        <w:tab/>
        <w:t>the content of which is approved under section 8J(2)(a);</w:t>
      </w:r>
    </w:p>
    <w:p>
      <w:pPr>
        <w:pStyle w:val="nzDefstart"/>
      </w:pPr>
      <w:r>
        <w:tab/>
      </w:r>
      <w:r>
        <w:rPr>
          <w:rStyle w:val="CharDefText"/>
        </w:rPr>
        <w:t xml:space="preserve">CEO (Health) </w:t>
      </w:r>
      <w:r>
        <w:t>has the meaning given in section 38D(1);</w:t>
      </w:r>
    </w:p>
    <w:p>
      <w:pPr>
        <w:pStyle w:val="nzDefstart"/>
      </w:pPr>
      <w:r>
        <w:tab/>
      </w:r>
      <w:r>
        <w:rPr>
          <w:rStyle w:val="CharDefText"/>
        </w:rPr>
        <w:t>minor cannabis related offence</w:t>
      </w:r>
      <w:r>
        <w:t xml:space="preserve"> means — </w:t>
      </w:r>
    </w:p>
    <w:p>
      <w:pPr>
        <w:pStyle w:val="nzDefpara"/>
      </w:pPr>
      <w:r>
        <w:tab/>
        <w:t>(a)</w:t>
      </w:r>
      <w:r>
        <w:tab/>
        <w:t>an offence under section 5(1)(d)(i) that involves cannabis; and</w:t>
      </w:r>
    </w:p>
    <w:p>
      <w:pPr>
        <w:pStyle w:val="nzDefpara"/>
      </w:pPr>
      <w:r>
        <w:tab/>
        <w:t>(b)</w:t>
      </w:r>
      <w:r>
        <w:tab/>
        <w:t>an offence under</w:t>
      </w:r>
      <w:r>
        <w:rPr>
          <w:i/>
        </w:rPr>
        <w:t xml:space="preserve"> </w:t>
      </w:r>
      <w:r>
        <w:t>section 6(2) that involves cannabis —</w:t>
      </w:r>
    </w:p>
    <w:p>
      <w:pPr>
        <w:pStyle w:val="nzDefsubpara"/>
      </w:pPr>
      <w:r>
        <w:tab/>
        <w:t>(i)</w:t>
      </w:r>
      <w:r>
        <w:tab/>
        <w:t>if the amount is not more than 10 grams, or such other amount as is prescribed by the regulations; and</w:t>
      </w:r>
    </w:p>
    <w:p>
      <w:pPr>
        <w:pStyle w:val="nzDefsubpara"/>
      </w:pPr>
      <w:r>
        <w:tab/>
        <w:t>(ii)</w:t>
      </w:r>
      <w:r>
        <w:tab/>
        <w:t>if the offence does not involve a cannabis plant under cultivation, cannabis resin or any other cannabis derivative;</w:t>
      </w:r>
    </w:p>
    <w:p>
      <w:pPr>
        <w:pStyle w:val="nzDefstart"/>
      </w:pPr>
      <w:r>
        <w:tab/>
      </w:r>
      <w:r>
        <w:rPr>
          <w:rStyle w:val="CharDefText"/>
        </w:rPr>
        <w:t>police officer</w:t>
      </w:r>
      <w:r>
        <w:t xml:space="preserve"> does not include a person appointed by the Commissioner as an authorised person under section 8D;</w:t>
      </w:r>
    </w:p>
    <w:p>
      <w:pPr>
        <w:pStyle w:val="nzDefstart"/>
      </w:pPr>
      <w:r>
        <w:rPr>
          <w:b/>
        </w:rPr>
        <w:tab/>
      </w:r>
      <w:r>
        <w:rPr>
          <w:rStyle w:val="CharDefText"/>
        </w:rPr>
        <w:t>responsible adult</w:t>
      </w:r>
      <w:r>
        <w:rPr>
          <w:bCs/>
        </w:rPr>
        <w:t xml:space="preserve"> </w:t>
      </w:r>
      <w:r>
        <w:t xml:space="preserve">has the meaning given in the </w:t>
      </w:r>
      <w:r>
        <w:rPr>
          <w:i/>
          <w:iCs/>
        </w:rPr>
        <w:t>Young Offenders Act 1994</w:t>
      </w:r>
      <w:r>
        <w:t xml:space="preserve"> section 3;</w:t>
      </w:r>
    </w:p>
    <w:p>
      <w:pPr>
        <w:pStyle w:val="nzDefstart"/>
        <w:rPr>
          <w:szCs w:val="22"/>
        </w:rPr>
      </w:pPr>
      <w:r>
        <w:tab/>
      </w:r>
      <w:r>
        <w:rPr>
          <w:rStyle w:val="CharDefText"/>
          <w:szCs w:val="22"/>
        </w:rPr>
        <w:t>young person</w:t>
      </w:r>
      <w:r>
        <w:rPr>
          <w:szCs w:val="22"/>
        </w:rPr>
        <w:t xml:space="preserve"> means a person who — </w:t>
      </w:r>
    </w:p>
    <w:p>
      <w:pPr>
        <w:pStyle w:val="nzDefpara"/>
      </w:pPr>
      <w:r>
        <w:rPr>
          <w:szCs w:val="22"/>
        </w:rPr>
        <w:tab/>
        <w:t>(a)</w:t>
      </w:r>
      <w:r>
        <w:rPr>
          <w:szCs w:val="22"/>
        </w:rPr>
        <w:tab/>
        <w:t>is under 18 years of age; or</w:t>
      </w:r>
    </w:p>
    <w:p>
      <w:pPr>
        <w:pStyle w:val="nzDefpara"/>
      </w:pPr>
      <w:r>
        <w:tab/>
        <w:t>(b)</w:t>
      </w:r>
      <w:r>
        <w:tab/>
        <w:t>in relation to the commission, or alleged commission, of a minor cannabis related offence, was under 18 years of age when the offence was committed, or allegedly committed.</w:t>
      </w:r>
    </w:p>
    <w:p>
      <w:pPr>
        <w:pStyle w:val="nzSubsection"/>
      </w:pPr>
      <w:r>
        <w:tab/>
        <w:t>(2)</w:t>
      </w:r>
      <w:r>
        <w:tab/>
        <w:t>In this Part the following abbreviations are used —</w:t>
      </w:r>
    </w:p>
    <w:p>
      <w:pPr>
        <w:pStyle w:val="nzDefstart"/>
      </w:pPr>
      <w:r>
        <w:tab/>
      </w:r>
      <w:r>
        <w:rPr>
          <w:rStyle w:val="CharDefText"/>
        </w:rPr>
        <w:t>CIR</w:t>
      </w:r>
      <w:r>
        <w:t xml:space="preserve"> for cannabis intervention requirement;</w:t>
      </w:r>
    </w:p>
    <w:p>
      <w:pPr>
        <w:pStyle w:val="nzDefstart"/>
      </w:pPr>
      <w:r>
        <w:tab/>
      </w:r>
      <w:r>
        <w:rPr>
          <w:rStyle w:val="CharDefText"/>
        </w:rPr>
        <w:t>CIS</w:t>
      </w:r>
      <w:r>
        <w:t xml:space="preserve"> for cannabis intervention session.</w:t>
      </w:r>
    </w:p>
    <w:p>
      <w:pPr>
        <w:pStyle w:val="nzHeading5"/>
      </w:pPr>
      <w:bookmarkStart w:id="871" w:name="_Toc275420357"/>
      <w:bookmarkStart w:id="872" w:name="_Toc276115390"/>
      <w:bookmarkStart w:id="873" w:name="_Toc276385323"/>
      <w:r>
        <w:t>8C.</w:t>
      </w:r>
      <w:r>
        <w:tab/>
        <w:t xml:space="preserve">Operation of </w:t>
      </w:r>
      <w:r>
        <w:rPr>
          <w:i/>
          <w:iCs/>
        </w:rPr>
        <w:t>Young Offenders Act 1994</w:t>
      </w:r>
      <w:r>
        <w:t xml:space="preserve"> unaffected</w:t>
      </w:r>
      <w:bookmarkEnd w:id="871"/>
      <w:bookmarkEnd w:id="872"/>
      <w:bookmarkEnd w:id="873"/>
    </w:p>
    <w:p>
      <w:pPr>
        <w:pStyle w:val="nzSubsection"/>
      </w:pPr>
      <w:r>
        <w:tab/>
      </w:r>
      <w:r>
        <w:tab/>
        <w:t xml:space="preserve">Nothing in this Part prevents a young person from being dealt with under the </w:t>
      </w:r>
      <w:r>
        <w:rPr>
          <w:i/>
          <w:iCs/>
        </w:rPr>
        <w:t>Young Offenders Act 1994</w:t>
      </w:r>
      <w:r>
        <w:t xml:space="preserve"> Part 5 in respect of a minor cannabis related offence.</w:t>
      </w:r>
    </w:p>
    <w:p>
      <w:pPr>
        <w:pStyle w:val="nzHeading5"/>
      </w:pPr>
      <w:bookmarkStart w:id="874" w:name="_Toc275420358"/>
      <w:bookmarkStart w:id="875" w:name="_Toc276115391"/>
      <w:bookmarkStart w:id="876" w:name="_Toc276385324"/>
      <w:r>
        <w:t>8D.</w:t>
      </w:r>
      <w:r>
        <w:tab/>
        <w:t>Appointment of authorised persons</w:t>
      </w:r>
      <w:bookmarkEnd w:id="874"/>
      <w:bookmarkEnd w:id="875"/>
      <w:bookmarkEnd w:id="876"/>
    </w:p>
    <w:p>
      <w:pPr>
        <w:pStyle w:val="nzSubsection"/>
      </w:pPr>
      <w:r>
        <w:tab/>
      </w:r>
      <w:r>
        <w:tab/>
        <w:t>The Commissioner may, in writing, appoint persons or classes of persons to be authorised persons for the purposes of section 8I or 8L, or for the purposes of both of those sections.</w:t>
      </w:r>
    </w:p>
    <w:p>
      <w:pPr>
        <w:pStyle w:val="nzHeading3"/>
      </w:pPr>
      <w:bookmarkStart w:id="877" w:name="_Toc275420359"/>
      <w:bookmarkStart w:id="878" w:name="_Toc276115392"/>
      <w:bookmarkStart w:id="879" w:name="_Toc276385325"/>
      <w:r>
        <w:t>Division 2 — Cannabis intervention requirements</w:t>
      </w:r>
      <w:bookmarkEnd w:id="877"/>
      <w:bookmarkEnd w:id="878"/>
      <w:bookmarkEnd w:id="879"/>
    </w:p>
    <w:p>
      <w:pPr>
        <w:pStyle w:val="nzHeading5"/>
      </w:pPr>
      <w:bookmarkStart w:id="880" w:name="_Toc275420360"/>
      <w:bookmarkStart w:id="881" w:name="_Toc276115393"/>
      <w:bookmarkStart w:id="882" w:name="_Toc276385326"/>
      <w:r>
        <w:t>8E.</w:t>
      </w:r>
      <w:r>
        <w:tab/>
        <w:t>CIR may be given for minor cannabis related offence</w:t>
      </w:r>
      <w:bookmarkEnd w:id="880"/>
      <w:bookmarkEnd w:id="881"/>
      <w:bookmarkEnd w:id="882"/>
    </w:p>
    <w:p>
      <w:pPr>
        <w:pStyle w:val="nzSubsection"/>
      </w:pPr>
      <w:r>
        <w:tab/>
        <w:t>(1)</w:t>
      </w:r>
      <w:r>
        <w:tab/>
        <w:t>A police officer who has reason to believe that a person has committed a minor cannabis related offence may give a cannabis intervention requirement to the alleged offender, unless subsection (4) or section 8G(1) applies.</w:t>
      </w:r>
    </w:p>
    <w:p>
      <w:pPr>
        <w:pStyle w:val="nzSubsection"/>
      </w:pPr>
      <w:r>
        <w:tab/>
        <w:t>(2)</w:t>
      </w:r>
      <w:r>
        <w:tab/>
        <w:t xml:space="preserve">A police officer who believes — </w:t>
      </w:r>
    </w:p>
    <w:p>
      <w:pPr>
        <w:pStyle w:val="nzIndenta"/>
      </w:pPr>
      <w:r>
        <w:tab/>
        <w:t>(a)</w:t>
      </w:r>
      <w:r>
        <w:tab/>
        <w:t>that an alleged offender has committed more than one minor cannabis related offence; and</w:t>
      </w:r>
    </w:p>
    <w:p>
      <w:pPr>
        <w:pStyle w:val="nzIndenta"/>
      </w:pPr>
      <w:r>
        <w:tab/>
        <w:t>(b)</w:t>
      </w:r>
      <w:r>
        <w:tab/>
        <w:t>that the alleged offences have arisen out of the same incident,</w:t>
      </w:r>
    </w:p>
    <w:p>
      <w:pPr>
        <w:pStyle w:val="nzSubsection"/>
      </w:pPr>
      <w:r>
        <w:tab/>
      </w:r>
      <w:r>
        <w:tab/>
        <w:t>may give a single CIR in respect of all or some of the offences.</w:t>
      </w:r>
    </w:p>
    <w:p>
      <w:pPr>
        <w:pStyle w:val="nzSubsection"/>
      </w:pPr>
      <w:r>
        <w:tab/>
        <w:t>(3)</w:t>
      </w:r>
      <w:r>
        <w:tab/>
        <w:t>A CIR is to be given as soon as practicable, and in any event within 60 days, after an alleged offence is believed to have been committed.</w:t>
      </w:r>
    </w:p>
    <w:p>
      <w:pPr>
        <w:pStyle w:val="nzSubsection"/>
      </w:pPr>
      <w:r>
        <w:tab/>
        <w:t>(4)</w:t>
      </w:r>
      <w:r>
        <w:tab/>
        <w:t>A CIR cannot be given in respect of an alleged offence (the</w:t>
      </w:r>
      <w:r>
        <w:rPr>
          <w:b/>
          <w:bCs/>
        </w:rPr>
        <w:t xml:space="preserve"> </w:t>
      </w:r>
      <w:r>
        <w:rPr>
          <w:rStyle w:val="CharDefText"/>
        </w:rPr>
        <w:t>new offence</w:t>
      </w:r>
      <w:r>
        <w:t xml:space="preserve">) if the alleged offender — </w:t>
      </w:r>
    </w:p>
    <w:p>
      <w:pPr>
        <w:pStyle w:val="nzIndenta"/>
      </w:pPr>
      <w:r>
        <w:tab/>
        <w:t>(a)</w:t>
      </w:r>
      <w:r>
        <w:tab/>
        <w:t>is an adult who, before the new offence was allegedly committed, had been convicted of a minor cannabis related offence or given a CIR; and</w:t>
      </w:r>
    </w:p>
    <w:p>
      <w:pPr>
        <w:pStyle w:val="nzIndenta"/>
      </w:pPr>
      <w:r>
        <w:tab/>
        <w:t>(b)</w:t>
      </w:r>
      <w:r>
        <w:tab/>
        <w:t>was an adult when so convicted or given the CIR.</w:t>
      </w:r>
    </w:p>
    <w:p>
      <w:pPr>
        <w:pStyle w:val="nzHeading5"/>
      </w:pPr>
      <w:bookmarkStart w:id="883" w:name="_Toc275420361"/>
      <w:bookmarkStart w:id="884" w:name="_Toc276115394"/>
      <w:bookmarkStart w:id="885" w:name="_Toc276385327"/>
      <w:r>
        <w:t>8F.</w:t>
      </w:r>
      <w:r>
        <w:tab/>
        <w:t>Cannabis intervention requirement</w:t>
      </w:r>
      <w:bookmarkEnd w:id="883"/>
      <w:bookmarkEnd w:id="884"/>
      <w:bookmarkEnd w:id="885"/>
    </w:p>
    <w:p>
      <w:pPr>
        <w:pStyle w:val="nzSubsection"/>
      </w:pPr>
      <w:r>
        <w:tab/>
        <w:t>(1)</w:t>
      </w:r>
      <w:r>
        <w:tab/>
        <w:t xml:space="preserve">A CIR is a notice in a form prescribed by the regulations — </w:t>
      </w:r>
    </w:p>
    <w:p>
      <w:pPr>
        <w:pStyle w:val="nzIndenta"/>
      </w:pPr>
      <w:r>
        <w:tab/>
        <w:t>(a)</w:t>
      </w:r>
      <w:r>
        <w:tab/>
        <w:t>containing a description of the alleged offence, or offences; and</w:t>
      </w:r>
    </w:p>
    <w:p>
      <w:pPr>
        <w:pStyle w:val="nzIndenta"/>
      </w:pPr>
      <w:r>
        <w:tab/>
        <w:t>(b)</w:t>
      </w:r>
      <w:r>
        <w:tab/>
        <w:t xml:space="preserve">informing the alleged offender that — </w:t>
      </w:r>
    </w:p>
    <w:p>
      <w:pPr>
        <w:pStyle w:val="nzIndenti"/>
      </w:pPr>
      <w:r>
        <w:tab/>
        <w:t>(i)</w:t>
      </w:r>
      <w:r>
        <w:tab/>
        <w:t>he or she may, in writing, elect to be prosecuted for the alleged offence, or offences, in a court, and informing the alleged offender how to make that election; and</w:t>
      </w:r>
    </w:p>
    <w:p>
      <w:pPr>
        <w:pStyle w:val="nzIndenti"/>
      </w:pPr>
      <w:r>
        <w:tab/>
        <w:t>(ii)</w:t>
      </w:r>
      <w:r>
        <w:tab/>
        <w:t>if he or she does not wish to be prosecuted for the alleged offence, or offences, in a court, the alleged offender may, within a period of 28 days after the giving of the CIR, complete a CIS;</w:t>
      </w:r>
    </w:p>
    <w:p>
      <w:pPr>
        <w:pStyle w:val="nzIndenta"/>
      </w:pPr>
      <w:r>
        <w:tab/>
      </w:r>
      <w:r>
        <w:tab/>
        <w:t>and</w:t>
      </w:r>
    </w:p>
    <w:p>
      <w:pPr>
        <w:pStyle w:val="nzIndenta"/>
      </w:pPr>
      <w:r>
        <w:tab/>
        <w:t>(c)</w:t>
      </w:r>
      <w:r>
        <w:tab/>
        <w:t>informing the alleged offender as to how the alleged offender may arrange to complete a CIS.</w:t>
      </w:r>
    </w:p>
    <w:p>
      <w:pPr>
        <w:pStyle w:val="nzSubsection"/>
      </w:pPr>
      <w:r>
        <w:tab/>
        <w:t>(2)</w:t>
      </w:r>
      <w:r>
        <w:tab/>
        <w:t>A person need only complete a single CIS for each CIR given to the person, even if the CIR is given in respect of more than one alleged offence.</w:t>
      </w:r>
    </w:p>
    <w:p>
      <w:pPr>
        <w:pStyle w:val="nzHeading5"/>
      </w:pPr>
      <w:bookmarkStart w:id="886" w:name="_Toc275420362"/>
      <w:bookmarkStart w:id="887" w:name="_Toc276115395"/>
      <w:bookmarkStart w:id="888" w:name="_Toc276385328"/>
      <w:r>
        <w:t>8G.</w:t>
      </w:r>
      <w:r>
        <w:tab/>
        <w:t>Young persons — special requirements about CIRs</w:t>
      </w:r>
      <w:bookmarkEnd w:id="886"/>
      <w:bookmarkEnd w:id="887"/>
      <w:bookmarkEnd w:id="888"/>
    </w:p>
    <w:p>
      <w:pPr>
        <w:pStyle w:val="nzSubsection"/>
      </w:pPr>
      <w:r>
        <w:tab/>
        <w:t>(1)</w:t>
      </w:r>
      <w:r>
        <w:tab/>
        <w:t>A CIR cannot be given in respect of an alleged offence (the</w:t>
      </w:r>
      <w:r>
        <w:rPr>
          <w:b/>
          <w:bCs/>
        </w:rPr>
        <w:t xml:space="preserve"> </w:t>
      </w:r>
      <w:r>
        <w:rPr>
          <w:rStyle w:val="CharDefText"/>
        </w:rPr>
        <w:t>new offence</w:t>
      </w:r>
      <w:r>
        <w:t xml:space="preserve">) if the alleged offender — </w:t>
      </w:r>
    </w:p>
    <w:p>
      <w:pPr>
        <w:pStyle w:val="nzIndenta"/>
      </w:pPr>
      <w:r>
        <w:tab/>
        <w:t>(a)</w:t>
      </w:r>
      <w:r>
        <w:tab/>
        <w:t>is a young person who, before the new offence was allegedly committed, had been convicted of, or given a CIR in respect of, 2 or more minor cannabis related offences; and</w:t>
      </w:r>
    </w:p>
    <w:p>
      <w:pPr>
        <w:pStyle w:val="nzIndenta"/>
      </w:pPr>
      <w:r>
        <w:tab/>
        <w:t>(b)</w:t>
      </w:r>
      <w:r>
        <w:tab/>
        <w:t>at least 2 of those offences arose out of separate incidents, or are alleged to have done so.</w:t>
      </w:r>
    </w:p>
    <w:p>
      <w:pPr>
        <w:pStyle w:val="nzSubsection"/>
      </w:pPr>
      <w:r>
        <w:tab/>
        <w:t>(2)</w:t>
      </w:r>
      <w:r>
        <w:tab/>
        <w:t xml:space="preserve">A police officer who gives a young person a CIR is to ensure that a responsible adult is given a copy of the CIR as soon as is reasonably practicable after the CIR is given to the young person, unless — </w:t>
      </w:r>
    </w:p>
    <w:p>
      <w:pPr>
        <w:pStyle w:val="nzIndenta"/>
      </w:pPr>
      <w:r>
        <w:tab/>
        <w:t>(a)</w:t>
      </w:r>
      <w:r>
        <w:tab/>
        <w:t>after reasonable enquiry, neither the whereabouts nor the address of a responsible adult can be ascertained; or</w:t>
      </w:r>
    </w:p>
    <w:p>
      <w:pPr>
        <w:pStyle w:val="nzIndenta"/>
      </w:pPr>
      <w:r>
        <w:tab/>
        <w:t>(b)</w:t>
      </w:r>
      <w:r>
        <w:tab/>
        <w:t>in the circumstances it would be inappropriate to give a responsible adult a copy of the CIR.</w:t>
      </w:r>
    </w:p>
    <w:p>
      <w:pPr>
        <w:pStyle w:val="nzSubsection"/>
      </w:pPr>
      <w:r>
        <w:tab/>
        <w:t>(3)</w:t>
      </w:r>
      <w:r>
        <w:tab/>
        <w:t>A young person who has been given 2 CIRs need only complete a single CIS in respect of the CIRs if both CIRs were given before the completion of the CIS.</w:t>
      </w:r>
    </w:p>
    <w:p>
      <w:pPr>
        <w:pStyle w:val="nzHeading5"/>
      </w:pPr>
      <w:bookmarkStart w:id="889" w:name="_Toc275420363"/>
      <w:bookmarkStart w:id="890" w:name="_Toc276115396"/>
      <w:bookmarkStart w:id="891" w:name="_Toc276385329"/>
      <w:r>
        <w:t>8H.</w:t>
      </w:r>
      <w:r>
        <w:tab/>
        <w:t>Referral of young persons at risk to juvenile justice teams</w:t>
      </w:r>
      <w:bookmarkEnd w:id="889"/>
      <w:bookmarkEnd w:id="890"/>
      <w:bookmarkEnd w:id="891"/>
    </w:p>
    <w:p>
      <w:pPr>
        <w:pStyle w:val="nzSubsection"/>
      </w:pPr>
      <w:r>
        <w:tab/>
        <w:t>(1)</w:t>
      </w:r>
      <w:r>
        <w:tab/>
        <w:t xml:space="preserve">A police officer is to refer a young person at risk to a juvenile justice team where appropriate under the </w:t>
      </w:r>
      <w:r>
        <w:rPr>
          <w:i/>
          <w:iCs/>
        </w:rPr>
        <w:t>Young Offenders Act 1994</w:t>
      </w:r>
      <w:r>
        <w:t xml:space="preserve"> in preference to charging the young person under this Act.</w:t>
      </w:r>
    </w:p>
    <w:p>
      <w:pPr>
        <w:pStyle w:val="nzSubsection"/>
      </w:pPr>
      <w:r>
        <w:tab/>
        <w:t>(2)</w:t>
      </w:r>
      <w:r>
        <w:tab/>
        <w:t xml:space="preserve">In subsection (1) — </w:t>
      </w:r>
    </w:p>
    <w:p>
      <w:pPr>
        <w:pStyle w:val="nzDefstart"/>
      </w:pPr>
      <w:r>
        <w:tab/>
      </w:r>
      <w:r>
        <w:rPr>
          <w:rStyle w:val="CharDefText"/>
        </w:rPr>
        <w:t>young person at risk</w:t>
      </w:r>
      <w:r>
        <w:t xml:space="preserve"> means an alleged offender who is a young person — </w:t>
      </w:r>
    </w:p>
    <w:p>
      <w:pPr>
        <w:pStyle w:val="nzDefpara"/>
      </w:pPr>
      <w:r>
        <w:tab/>
        <w:t>(a)</w:t>
      </w:r>
      <w:r>
        <w:tab/>
        <w:t>to whom the police officer would have given a CIR, but for section 8G(1); or</w:t>
      </w:r>
    </w:p>
    <w:p>
      <w:pPr>
        <w:pStyle w:val="nzDefpara"/>
      </w:pPr>
      <w:r>
        <w:tab/>
        <w:t>(b)</w:t>
      </w:r>
      <w:r>
        <w:tab/>
        <w:t xml:space="preserve">who has been given a CIR and has not completed a CIS within 28 days or any further time allowed under section 8L, unless — </w:t>
      </w:r>
    </w:p>
    <w:p>
      <w:pPr>
        <w:pStyle w:val="nzDefsubpara"/>
      </w:pPr>
      <w:r>
        <w:tab/>
        <w:t>(i)</w:t>
      </w:r>
      <w:r>
        <w:tab/>
        <w:t>the CIR has been withdrawn under section 8I; or</w:t>
      </w:r>
    </w:p>
    <w:p>
      <w:pPr>
        <w:pStyle w:val="nzDefsubpara"/>
      </w:pPr>
      <w:r>
        <w:tab/>
        <w:t>(ii)</w:t>
      </w:r>
      <w:r>
        <w:tab/>
        <w:t>the young person has elected to be prosecuted for the alleged offence in a court.</w:t>
      </w:r>
    </w:p>
    <w:p>
      <w:pPr>
        <w:pStyle w:val="nzHeading5"/>
      </w:pPr>
      <w:bookmarkStart w:id="892" w:name="_Toc275420364"/>
      <w:bookmarkStart w:id="893" w:name="_Toc276115397"/>
      <w:bookmarkStart w:id="894" w:name="_Toc276385330"/>
      <w:r>
        <w:t>8I.</w:t>
      </w:r>
      <w:r>
        <w:tab/>
        <w:t>Withdrawal of CIR</w:t>
      </w:r>
      <w:bookmarkEnd w:id="892"/>
      <w:bookmarkEnd w:id="893"/>
      <w:bookmarkEnd w:id="894"/>
    </w:p>
    <w:p>
      <w:pPr>
        <w:pStyle w:val="nzSubsection"/>
      </w:pPr>
      <w:r>
        <w:tab/>
        <w:t>(1)</w:t>
      </w:r>
      <w:r>
        <w:tab/>
        <w:t>An authorised person may withdraw a CIR by sending to the alleged offender a notice in a form prescribed by the regulations stating that the CIR has been withdrawn.</w:t>
      </w:r>
    </w:p>
    <w:p>
      <w:pPr>
        <w:pStyle w:val="nzSubsection"/>
      </w:pPr>
      <w:r>
        <w:tab/>
        <w:t>(2)</w:t>
      </w:r>
      <w:r>
        <w:tab/>
        <w:t>A CIR cannot be withdrawn if the alleged offender has completed a CIS in relation to the CIR.</w:t>
      </w:r>
    </w:p>
    <w:p>
      <w:pPr>
        <w:pStyle w:val="nzSubsection"/>
      </w:pPr>
      <w:r>
        <w:tab/>
        <w:t>(3)</w:t>
      </w:r>
      <w:r>
        <w:tab/>
        <w:t>A CIR that is withdrawn is taken not to have been given to an alleged offender for the purposes of sections 8E(4) and 8G(1).</w:t>
      </w:r>
    </w:p>
    <w:p>
      <w:pPr>
        <w:pStyle w:val="nzHeading3"/>
      </w:pPr>
      <w:bookmarkStart w:id="895" w:name="_Toc275420365"/>
      <w:bookmarkStart w:id="896" w:name="_Toc276115398"/>
      <w:bookmarkStart w:id="897" w:name="_Toc276385331"/>
      <w:r>
        <w:t>Division 3 — Cannabis intervention sessions</w:t>
      </w:r>
      <w:bookmarkEnd w:id="895"/>
      <w:bookmarkEnd w:id="896"/>
      <w:bookmarkEnd w:id="897"/>
    </w:p>
    <w:p>
      <w:pPr>
        <w:pStyle w:val="nzHeading5"/>
      </w:pPr>
      <w:bookmarkStart w:id="898" w:name="_Toc275420366"/>
      <w:bookmarkStart w:id="899" w:name="_Toc276115399"/>
      <w:bookmarkStart w:id="900" w:name="_Toc276385332"/>
      <w:r>
        <w:t>8J.</w:t>
      </w:r>
      <w:r>
        <w:tab/>
        <w:t>Cannabis intervention session</w:t>
      </w:r>
      <w:bookmarkEnd w:id="898"/>
      <w:bookmarkEnd w:id="899"/>
      <w:bookmarkEnd w:id="900"/>
    </w:p>
    <w:p>
      <w:pPr>
        <w:pStyle w:val="nzSubsection"/>
      </w:pPr>
      <w:r>
        <w:tab/>
        <w:t>(1)</w:t>
      </w:r>
      <w:r>
        <w:tab/>
        <w:t xml:space="preserve">The purpose of a cannabis intervention session is to inform those who complete it about — </w:t>
      </w:r>
    </w:p>
    <w:p>
      <w:pPr>
        <w:pStyle w:val="nzIndenta"/>
      </w:pPr>
      <w:r>
        <w:tab/>
        <w:t>(a)</w:t>
      </w:r>
      <w:r>
        <w:tab/>
        <w:t>the adverse health and social consequences of cannabis use; and</w:t>
      </w:r>
    </w:p>
    <w:p>
      <w:pPr>
        <w:pStyle w:val="nzIndenta"/>
      </w:pPr>
      <w:r>
        <w:tab/>
        <w:t>(b)</w:t>
      </w:r>
      <w:r>
        <w:tab/>
        <w:t>the laws relating to the use, possession and cultivation of cannabis; and</w:t>
      </w:r>
    </w:p>
    <w:p>
      <w:pPr>
        <w:pStyle w:val="nzIndenta"/>
      </w:pPr>
      <w:r>
        <w:tab/>
        <w:t>(c)</w:t>
      </w:r>
      <w:r>
        <w:tab/>
        <w:t>effective strategies to address cannabis using behaviour.</w:t>
      </w:r>
    </w:p>
    <w:p>
      <w:pPr>
        <w:pStyle w:val="nzSubsection"/>
      </w:pPr>
      <w:r>
        <w:tab/>
        <w:t>(2)</w:t>
      </w:r>
      <w:r>
        <w:tab/>
        <w:t>The CEO (Health) may, in writing, do any of the following —</w:t>
      </w:r>
    </w:p>
    <w:p>
      <w:pPr>
        <w:pStyle w:val="nzIndenta"/>
      </w:pPr>
      <w:r>
        <w:tab/>
        <w:t>(a)</w:t>
      </w:r>
      <w:r>
        <w:tab/>
        <w:t>having regard to subsection (1), approve the content of a cannabis intervention session;</w:t>
      </w:r>
    </w:p>
    <w:p>
      <w:pPr>
        <w:pStyle w:val="nzIndenta"/>
      </w:pPr>
      <w:r>
        <w:tab/>
        <w:t>(b)</w:t>
      </w:r>
      <w:r>
        <w:tab/>
        <w:t>approve treatment providers to provide cannabis intervention sessions;</w:t>
      </w:r>
    </w:p>
    <w:p>
      <w:pPr>
        <w:pStyle w:val="nzIndenta"/>
      </w:pPr>
      <w:r>
        <w:tab/>
        <w:t>(c)</w:t>
      </w:r>
      <w:r>
        <w:tab/>
        <w:t>give an approval under paragraph (b) subject to conditions to be obeyed by the treatment provider approved;</w:t>
      </w:r>
    </w:p>
    <w:p>
      <w:pPr>
        <w:pStyle w:val="nzIndenta"/>
      </w:pPr>
      <w:r>
        <w:tab/>
        <w:t>(d)</w:t>
      </w:r>
      <w:r>
        <w:tab/>
        <w:t>cancel or amend an approval given under paragraph (a) or (b).</w:t>
      </w:r>
    </w:p>
    <w:p>
      <w:pPr>
        <w:pStyle w:val="nzSubsection"/>
      </w:pPr>
      <w:r>
        <w:tab/>
        <w:t>(3)</w:t>
      </w:r>
      <w:r>
        <w:tab/>
        <w:t xml:space="preserve">For the purposes of this section, this Act is to be taken to be a relevant Act as referred to in the </w:t>
      </w:r>
      <w:r>
        <w:rPr>
          <w:i/>
          <w:iCs/>
        </w:rPr>
        <w:t>Health Legislation Administration Act 1984</w:t>
      </w:r>
      <w:r>
        <w:t xml:space="preserve"> section 9.</w:t>
      </w:r>
    </w:p>
    <w:p>
      <w:pPr>
        <w:pStyle w:val="nzHeading5"/>
      </w:pPr>
      <w:bookmarkStart w:id="901" w:name="_Toc275420367"/>
      <w:bookmarkStart w:id="902" w:name="_Toc276115400"/>
      <w:bookmarkStart w:id="903" w:name="_Toc276385333"/>
      <w:r>
        <w:t>8K.</w:t>
      </w:r>
      <w:r>
        <w:tab/>
        <w:t>Benefit of completing CIS</w:t>
      </w:r>
      <w:bookmarkEnd w:id="901"/>
      <w:bookmarkEnd w:id="902"/>
      <w:bookmarkEnd w:id="903"/>
    </w:p>
    <w:p>
      <w:pPr>
        <w:pStyle w:val="nzSubsection"/>
      </w:pPr>
      <w:r>
        <w:tab/>
        <w:t>(1)</w:t>
      </w:r>
      <w:r>
        <w:tab/>
        <w:t>If the alleged offender has completed a CIS in respect of a CIR within 28 days or such further time as is allowed under section 8L, the bringing of proceedings and the imposition of penalties are prevented to the same extent that they would be prevented if the alleged offender had been convicted by a court of, and punished for, the alleged offence.</w:t>
      </w:r>
    </w:p>
    <w:p>
      <w:pPr>
        <w:pStyle w:val="nzSubsection"/>
      </w:pPr>
      <w:r>
        <w:tab/>
        <w:t>(2)</w:t>
      </w:r>
      <w:r>
        <w:tab/>
        <w:t>Completion of a CIS is not to be regarded as an admission for the purposes of any proceedings, whether civil or criminal.</w:t>
      </w:r>
    </w:p>
    <w:p>
      <w:pPr>
        <w:pStyle w:val="nzHeading5"/>
      </w:pPr>
      <w:bookmarkStart w:id="904" w:name="_Toc275420368"/>
      <w:bookmarkStart w:id="905" w:name="_Toc276115401"/>
      <w:bookmarkStart w:id="906" w:name="_Toc276385334"/>
      <w:r>
        <w:t>8L.</w:t>
      </w:r>
      <w:r>
        <w:tab/>
        <w:t>Extension of time to complete CIS</w:t>
      </w:r>
      <w:bookmarkEnd w:id="904"/>
      <w:bookmarkEnd w:id="905"/>
      <w:bookmarkEnd w:id="906"/>
    </w:p>
    <w:p>
      <w:pPr>
        <w:pStyle w:val="nzSubsection"/>
      </w:pPr>
      <w:r>
        <w:tab/>
        <w:t>(1)</w:t>
      </w:r>
      <w:r>
        <w:tab/>
        <w:t>An authorised person may, in a particular case, extend the period of 28 days within which the alleged offender may complete a CIS.</w:t>
      </w:r>
    </w:p>
    <w:p>
      <w:pPr>
        <w:pStyle w:val="nzSubsection"/>
      </w:pPr>
      <w:r>
        <w:tab/>
        <w:t>(2)</w:t>
      </w:r>
      <w:r>
        <w:tab/>
        <w:t>The extension may be allowed whether or not the period of 28 days has elapsed.</w:t>
      </w:r>
    </w:p>
    <w:p>
      <w:pPr>
        <w:pStyle w:val="nzHeading5"/>
      </w:pPr>
      <w:bookmarkStart w:id="907" w:name="_Toc275420369"/>
      <w:bookmarkStart w:id="908" w:name="_Toc276115402"/>
      <w:bookmarkStart w:id="909" w:name="_Toc276385335"/>
      <w:r>
        <w:t>8M.</w:t>
      </w:r>
      <w:r>
        <w:tab/>
        <w:t>Certificate of completion of CIS</w:t>
      </w:r>
      <w:bookmarkEnd w:id="907"/>
      <w:bookmarkEnd w:id="908"/>
      <w:bookmarkEnd w:id="909"/>
    </w:p>
    <w:p>
      <w:pPr>
        <w:pStyle w:val="nzSubsection"/>
      </w:pPr>
      <w:r>
        <w:tab/>
        <w:t>(1)</w:t>
      </w:r>
      <w:r>
        <w:tab/>
        <w:t>A treatment provider approved to provide a CIS under section 8J(2)(b) is to —</w:t>
      </w:r>
    </w:p>
    <w:p>
      <w:pPr>
        <w:pStyle w:val="nzIndenta"/>
      </w:pPr>
      <w:r>
        <w:tab/>
        <w:t>(a)</w:t>
      </w:r>
      <w:r>
        <w:tab/>
        <w:t>give to a person who has completed a CIS a certificate of completion; and</w:t>
      </w:r>
    </w:p>
    <w:p>
      <w:pPr>
        <w:pStyle w:val="nzIndenta"/>
      </w:pPr>
      <w:r>
        <w:tab/>
        <w:t>(b)</w:t>
      </w:r>
      <w:r>
        <w:tab/>
        <w:t>send a copy of the certificate to the Commissioner.</w:t>
      </w:r>
    </w:p>
    <w:p>
      <w:pPr>
        <w:pStyle w:val="nzSubsection"/>
      </w:pPr>
      <w:r>
        <w:tab/>
        <w:t>(2)</w:t>
      </w:r>
      <w:r>
        <w:tab/>
        <w:t>A certificate of completion is to be in a form prescribed by the regulations and is to set out —</w:t>
      </w:r>
    </w:p>
    <w:p>
      <w:pPr>
        <w:pStyle w:val="nzIndenta"/>
      </w:pPr>
      <w:r>
        <w:tab/>
        <w:t>(a)</w:t>
      </w:r>
      <w:r>
        <w:tab/>
        <w:t>the name and address of the person who has completed the CIS; and</w:t>
      </w:r>
    </w:p>
    <w:p>
      <w:pPr>
        <w:pStyle w:val="nzIndenta"/>
      </w:pPr>
      <w:r>
        <w:tab/>
        <w:t>(b)</w:t>
      </w:r>
      <w:r>
        <w:tab/>
        <w:t>the date of completion; and</w:t>
      </w:r>
    </w:p>
    <w:p>
      <w:pPr>
        <w:pStyle w:val="nzIndenta"/>
      </w:pPr>
      <w:r>
        <w:tab/>
        <w:t>(c)</w:t>
      </w:r>
      <w:r>
        <w:tab/>
        <w:t>the details of the CIR in respect of which the CIS was completed.</w:t>
      </w:r>
    </w:p>
    <w:p>
      <w:pPr>
        <w:pStyle w:val="BlankClose"/>
      </w:pPr>
    </w:p>
    <w:p>
      <w:pPr>
        <w:pStyle w:val="nzHeading5"/>
      </w:pPr>
      <w:bookmarkStart w:id="910" w:name="_Toc275420370"/>
      <w:bookmarkStart w:id="911" w:name="_Toc276115403"/>
      <w:bookmarkStart w:id="912" w:name="_Toc276385336"/>
      <w:r>
        <w:rPr>
          <w:rStyle w:val="CharSectno"/>
        </w:rPr>
        <w:t>7</w:t>
      </w:r>
      <w:r>
        <w:t>.</w:t>
      </w:r>
      <w:r>
        <w:tab/>
        <w:t>Section 19A inserted</w:t>
      </w:r>
      <w:bookmarkEnd w:id="910"/>
      <w:bookmarkEnd w:id="911"/>
      <w:bookmarkEnd w:id="912"/>
    </w:p>
    <w:p>
      <w:pPr>
        <w:pStyle w:val="nzSubsection"/>
      </w:pPr>
      <w:r>
        <w:tab/>
      </w:r>
      <w:r>
        <w:tab/>
        <w:t>After section 18 insert:</w:t>
      </w:r>
    </w:p>
    <w:p>
      <w:pPr>
        <w:pStyle w:val="BlankOpen"/>
      </w:pPr>
    </w:p>
    <w:p>
      <w:pPr>
        <w:pStyle w:val="nzHeading5"/>
      </w:pPr>
      <w:bookmarkStart w:id="913" w:name="_Toc275420371"/>
      <w:bookmarkStart w:id="914" w:name="_Toc276115404"/>
      <w:bookmarkStart w:id="915" w:name="_Toc276385337"/>
      <w:r>
        <w:t>19A.</w:t>
      </w:r>
      <w:r>
        <w:tab/>
        <w:t>Selling cannabis smoking paraphernalia</w:t>
      </w:r>
      <w:bookmarkEnd w:id="913"/>
      <w:bookmarkEnd w:id="914"/>
      <w:bookmarkEnd w:id="915"/>
    </w:p>
    <w:p>
      <w:pPr>
        <w:pStyle w:val="nzSubsection"/>
      </w:pPr>
      <w:r>
        <w:tab/>
        <w:t>(1)</w:t>
      </w:r>
      <w:r>
        <w:tab/>
        <w:t xml:space="preserve">In this section — </w:t>
      </w:r>
    </w:p>
    <w:p>
      <w:pPr>
        <w:pStyle w:val="nzDefstart"/>
      </w:pPr>
      <w:r>
        <w:tab/>
      </w:r>
      <w:r>
        <w:rPr>
          <w:rStyle w:val="CharDefText"/>
        </w:rPr>
        <w:t>cannabis smoking paraphernalia</w:t>
      </w:r>
      <w:r>
        <w:t xml:space="preserve"> means — </w:t>
      </w:r>
    </w:p>
    <w:p>
      <w:pPr>
        <w:pStyle w:val="nzDefpara"/>
      </w:pPr>
      <w:r>
        <w:tab/>
        <w:t>(a)</w:t>
      </w:r>
      <w:r>
        <w:tab/>
        <w:t>anything made or modified to be used in smoking cannabis;</w:t>
      </w:r>
    </w:p>
    <w:p>
      <w:pPr>
        <w:pStyle w:val="nzDefpara"/>
      </w:pPr>
      <w:r>
        <w:tab/>
        <w:t>(b)</w:t>
      </w:r>
      <w:r>
        <w:tab/>
        <w:t>any other thing that is prescribed to be cannabis smoking paraphernalia,</w:t>
      </w:r>
    </w:p>
    <w:p>
      <w:pPr>
        <w:pStyle w:val="nzSubsection"/>
      </w:pPr>
      <w:r>
        <w:tab/>
      </w:r>
      <w:r>
        <w:tab/>
        <w:t>but does not include anything prescribed, or belonging to a class prescribed, as excluded from this definition.</w:t>
      </w:r>
    </w:p>
    <w:p>
      <w:pPr>
        <w:pStyle w:val="nzSubsection"/>
        <w:rPr>
          <w:szCs w:val="22"/>
        </w:rPr>
      </w:pPr>
      <w:r>
        <w:rPr>
          <w:szCs w:val="22"/>
        </w:rPr>
        <w:tab/>
        <w:t>(2)</w:t>
      </w:r>
      <w:r>
        <w:rPr>
          <w:szCs w:val="22"/>
        </w:rPr>
        <w:tab/>
        <w:t>A person who sells, or offers to sell, cannabis smoking paraphernalia to a child commits a simple offence.</w:t>
      </w:r>
    </w:p>
    <w:p>
      <w:pPr>
        <w:pStyle w:val="nzPenstart"/>
      </w:pPr>
      <w:r>
        <w:tab/>
        <w:t>Penalty: a fine of $24 000 or imprisonment for 2 years or both.</w:t>
      </w:r>
    </w:p>
    <w:p>
      <w:pPr>
        <w:pStyle w:val="nzSubsection"/>
      </w:pPr>
      <w:r>
        <w:rPr>
          <w:szCs w:val="22"/>
        </w:rPr>
        <w:tab/>
        <w:t>(3)</w:t>
      </w:r>
      <w:r>
        <w:rPr>
          <w:szCs w:val="22"/>
        </w:rPr>
        <w:tab/>
        <w:t xml:space="preserve">A person — </w:t>
      </w:r>
    </w:p>
    <w:p>
      <w:pPr>
        <w:pStyle w:val="nzIndenta"/>
      </w:pPr>
      <w:r>
        <w:rPr>
          <w:szCs w:val="22"/>
        </w:rPr>
        <w:tab/>
        <w:t>(a)</w:t>
      </w:r>
      <w:r>
        <w:rPr>
          <w:szCs w:val="22"/>
        </w:rPr>
        <w:tab/>
        <w:t>who sells, or offers to sell, cannabis smoking paraphernalia to an adult; or</w:t>
      </w:r>
    </w:p>
    <w:p>
      <w:pPr>
        <w:pStyle w:val="nzIndenta"/>
      </w:pPr>
      <w:r>
        <w:tab/>
        <w:t>(b)</w:t>
      </w:r>
      <w:r>
        <w:tab/>
        <w:t>who displays cannabis smoking paraphernalia, or authorises or allows cannabis smoking paraphernalia to be displayed, for sale in a shop or other retail outlet,</w:t>
      </w:r>
    </w:p>
    <w:p>
      <w:pPr>
        <w:pStyle w:val="nzSubsection"/>
      </w:pPr>
      <w:r>
        <w:rPr>
          <w:szCs w:val="22"/>
        </w:rPr>
        <w:tab/>
      </w:r>
      <w:r>
        <w:rPr>
          <w:szCs w:val="22"/>
        </w:rPr>
        <w:tab/>
        <w:t>commits a simple offence.</w:t>
      </w:r>
    </w:p>
    <w:p>
      <w:pPr>
        <w:pStyle w:val="nzPenstart"/>
      </w:pPr>
      <w:r>
        <w:rPr>
          <w:szCs w:val="22"/>
        </w:rPr>
        <w:tab/>
        <w:t>Penalty: a fine of $10 000.</w:t>
      </w:r>
    </w:p>
    <w:p>
      <w:pPr>
        <w:pStyle w:val="BlankClose"/>
      </w:pPr>
    </w:p>
    <w:p>
      <w:pPr>
        <w:pStyle w:val="nzHeading5"/>
      </w:pPr>
      <w:bookmarkStart w:id="916" w:name="_Toc275420372"/>
      <w:bookmarkStart w:id="917" w:name="_Toc276115405"/>
      <w:bookmarkStart w:id="918" w:name="_Toc276385338"/>
      <w:r>
        <w:rPr>
          <w:rStyle w:val="CharSectno"/>
        </w:rPr>
        <w:t>8</w:t>
      </w:r>
      <w:r>
        <w:t>.</w:t>
      </w:r>
      <w:r>
        <w:tab/>
        <w:t>Part VII inserted</w:t>
      </w:r>
      <w:bookmarkEnd w:id="916"/>
      <w:bookmarkEnd w:id="917"/>
      <w:bookmarkEnd w:id="918"/>
    </w:p>
    <w:p>
      <w:pPr>
        <w:pStyle w:val="nzSubsection"/>
      </w:pPr>
      <w:r>
        <w:tab/>
      </w:r>
      <w:r>
        <w:tab/>
        <w:t>After section 42 insert:</w:t>
      </w:r>
    </w:p>
    <w:p>
      <w:pPr>
        <w:pStyle w:val="BlankOpen"/>
      </w:pPr>
    </w:p>
    <w:p>
      <w:pPr>
        <w:pStyle w:val="nzHeading2"/>
      </w:pPr>
      <w:bookmarkStart w:id="919" w:name="_Toc275420373"/>
      <w:bookmarkStart w:id="920" w:name="_Toc276115406"/>
      <w:bookmarkStart w:id="921" w:name="_Toc276385339"/>
      <w:r>
        <w:t>Part VII</w:t>
      </w:r>
      <w:r>
        <w:rPr>
          <w:b w:val="0"/>
        </w:rPr>
        <w:t> </w:t>
      </w:r>
      <w:r>
        <w:t>—</w:t>
      </w:r>
      <w:r>
        <w:rPr>
          <w:b w:val="0"/>
        </w:rPr>
        <w:t> </w:t>
      </w:r>
      <w:r>
        <w:t>Transitional provisions</w:t>
      </w:r>
      <w:bookmarkEnd w:id="919"/>
      <w:bookmarkEnd w:id="920"/>
      <w:bookmarkEnd w:id="921"/>
    </w:p>
    <w:p>
      <w:pPr>
        <w:pStyle w:val="nzHeading3"/>
      </w:pPr>
      <w:bookmarkStart w:id="922" w:name="_Toc275420374"/>
      <w:bookmarkStart w:id="923" w:name="_Toc276115407"/>
      <w:bookmarkStart w:id="924" w:name="_Toc276385340"/>
      <w:r>
        <w:t>Division 1 — Preliminary</w:t>
      </w:r>
      <w:bookmarkEnd w:id="922"/>
      <w:bookmarkEnd w:id="923"/>
      <w:bookmarkEnd w:id="924"/>
    </w:p>
    <w:p>
      <w:pPr>
        <w:pStyle w:val="nzHeading5"/>
      </w:pPr>
      <w:bookmarkStart w:id="925" w:name="_Toc275420375"/>
      <w:bookmarkStart w:id="926" w:name="_Toc276115408"/>
      <w:bookmarkStart w:id="927" w:name="_Toc276385341"/>
      <w:r>
        <w:t>43.</w:t>
      </w:r>
      <w:r>
        <w:tab/>
      </w:r>
      <w:r>
        <w:rPr>
          <w:i/>
          <w:iCs/>
        </w:rPr>
        <w:t>Interpretation Act 1984</w:t>
      </w:r>
      <w:r>
        <w:t xml:space="preserve"> not limited</w:t>
      </w:r>
      <w:bookmarkEnd w:id="925"/>
      <w:bookmarkEnd w:id="926"/>
      <w:bookmarkEnd w:id="927"/>
    </w:p>
    <w:p>
      <w:pPr>
        <w:pStyle w:val="nzSubsection"/>
      </w:pPr>
      <w:r>
        <w:tab/>
      </w:r>
      <w:r>
        <w:tab/>
        <w:t xml:space="preserve">This Part does not limit the operation of the </w:t>
      </w:r>
      <w:r>
        <w:rPr>
          <w:i/>
          <w:iCs/>
        </w:rPr>
        <w:t>Interpretation Act 1984</w:t>
      </w:r>
      <w:r>
        <w:t xml:space="preserve"> Part V.</w:t>
      </w:r>
    </w:p>
    <w:p>
      <w:pPr>
        <w:pStyle w:val="nzHeading5"/>
      </w:pPr>
      <w:bookmarkStart w:id="928" w:name="_Toc275420376"/>
      <w:bookmarkStart w:id="929" w:name="_Toc276115409"/>
      <w:bookmarkStart w:id="930" w:name="_Toc276385342"/>
      <w:r>
        <w:t>44.</w:t>
      </w:r>
      <w:r>
        <w:tab/>
        <w:t>Transitional regulations</w:t>
      </w:r>
      <w:bookmarkEnd w:id="928"/>
      <w:bookmarkEnd w:id="929"/>
      <w:bookmarkEnd w:id="930"/>
    </w:p>
    <w:p>
      <w:pPr>
        <w:pStyle w:val="nzSubsection"/>
      </w:pPr>
      <w:r>
        <w:tab/>
        <w:t>(1)</w:t>
      </w:r>
      <w:r>
        <w:tab/>
        <w:t xml:space="preserve">Regulations may prescribe all matters that are required or necessary or convenient to be prescribed for dealing with any issue or matter of a savings or transitional nature — </w:t>
      </w:r>
    </w:p>
    <w:p>
      <w:pPr>
        <w:pStyle w:val="nzIndenta"/>
      </w:pPr>
      <w:r>
        <w:tab/>
        <w:t>(a)</w:t>
      </w:r>
      <w:r>
        <w:tab/>
        <w:t>that arises as a result of the amendment of this Act by another Act (</w:t>
      </w:r>
      <w:r>
        <w:rPr>
          <w:rStyle w:val="CharDefText"/>
        </w:rPr>
        <w:t>an amending Act</w:t>
      </w:r>
      <w:r>
        <w:t>); and</w:t>
      </w:r>
    </w:p>
    <w:p>
      <w:pPr>
        <w:pStyle w:val="nzIndenta"/>
      </w:pPr>
      <w:r>
        <w:tab/>
        <w:t>(b)</w:t>
      </w:r>
      <w:r>
        <w:tab/>
        <w:t>for which there is no sufficient provision in this Act or the amending Act.</w:t>
      </w:r>
    </w:p>
    <w:p>
      <w:pPr>
        <w:pStyle w:val="nzSubsection"/>
      </w:pPr>
      <w:r>
        <w:tab/>
        <w:t>(2)</w:t>
      </w:r>
      <w:r>
        <w:tab/>
        <w:t>Regulations made under this section may provide that specified provisions of this Act do not apply, or apply with modifications specified in the regulations, to or in relation to any matter.</w:t>
      </w:r>
    </w:p>
    <w:p>
      <w:pPr>
        <w:pStyle w:val="nzSubsection"/>
      </w:pPr>
      <w:r>
        <w:tab/>
        <w:t>(3)</w:t>
      </w:r>
      <w:r>
        <w:tab/>
        <w:t>Regulations made under this section may provide that a state of affairs specified in the regulations is to be taken to have existed, or not to have existed, on and from a day that is earlier than the day on which the regulations come into operation but not earlier than the day on which the relevant amending Act, or the relevant provision or provisions of that Act, came into operation.</w:t>
      </w:r>
    </w:p>
    <w:p>
      <w:pPr>
        <w:pStyle w:val="nzSubsection"/>
      </w:pPr>
      <w:r>
        <w:tab/>
        <w:t>(4)</w:t>
      </w:r>
      <w:r>
        <w:tab/>
        <w:t xml:space="preserve">If the regulations contain a provision referred to in subsection (3), the provision does not operate so as — </w:t>
      </w:r>
    </w:p>
    <w:p>
      <w:pPr>
        <w:pStyle w:val="nzIndenta"/>
      </w:pPr>
      <w:r>
        <w:tab/>
        <w:t>(a)</w:t>
      </w:r>
      <w:r>
        <w:tab/>
        <w:t>to affect in a manner prejudicial to any person (other than the State), the rights of that person existing before the regulations commenced; or</w:t>
      </w:r>
    </w:p>
    <w:p>
      <w:pPr>
        <w:pStyle w:val="nzIndenta"/>
      </w:pPr>
      <w:r>
        <w:tab/>
        <w:t>(b)</w:t>
      </w:r>
      <w:r>
        <w:tab/>
        <w:t>to impose liabilities on any person (other than the State) in respect of anything done or omitted to be done before the regulations commenced.</w:t>
      </w:r>
    </w:p>
    <w:p>
      <w:pPr>
        <w:pStyle w:val="nzHeading3"/>
        <w:rPr>
          <w:highlight w:val="cyan"/>
        </w:rPr>
      </w:pPr>
      <w:bookmarkStart w:id="931" w:name="_Toc275420377"/>
      <w:bookmarkStart w:id="932" w:name="_Toc276115410"/>
      <w:bookmarkStart w:id="933" w:name="_Toc276385343"/>
      <w:r>
        <w:t>Division 2</w:t>
      </w:r>
      <w:r>
        <w:rPr>
          <w:b w:val="0"/>
        </w:rPr>
        <w:t> — </w:t>
      </w:r>
      <w:r>
        <w:t xml:space="preserve">Provisions for </w:t>
      </w:r>
      <w:r>
        <w:rPr>
          <w:i/>
          <w:iCs/>
        </w:rPr>
        <w:t>Cannabis Law Reform Act 2010</w:t>
      </w:r>
      <w:bookmarkEnd w:id="931"/>
      <w:bookmarkEnd w:id="932"/>
      <w:bookmarkEnd w:id="933"/>
    </w:p>
    <w:p>
      <w:pPr>
        <w:pStyle w:val="nzHeading5"/>
      </w:pPr>
      <w:bookmarkStart w:id="934" w:name="_Toc275420378"/>
      <w:bookmarkStart w:id="935" w:name="_Toc276115411"/>
      <w:bookmarkStart w:id="936" w:name="_Toc276385344"/>
      <w:r>
        <w:t>45.</w:t>
      </w:r>
      <w:r>
        <w:tab/>
        <w:t>Terms used</w:t>
      </w:r>
      <w:bookmarkEnd w:id="934"/>
      <w:bookmarkEnd w:id="935"/>
      <w:bookmarkEnd w:id="936"/>
    </w:p>
    <w:p>
      <w:pPr>
        <w:pStyle w:val="nzSubsection"/>
      </w:pPr>
      <w:r>
        <w:tab/>
      </w:r>
      <w:r>
        <w:tab/>
        <w:t xml:space="preserve">In this Division — </w:t>
      </w:r>
    </w:p>
    <w:p>
      <w:pPr>
        <w:pStyle w:val="nzDefstart"/>
      </w:pPr>
      <w:r>
        <w:tab/>
      </w:r>
      <w:r>
        <w:rPr>
          <w:rStyle w:val="CharDefText"/>
        </w:rPr>
        <w:t>CIN</w:t>
      </w:r>
      <w:r>
        <w:t xml:space="preserve"> means a cannabis infringement notice given under the </w:t>
      </w:r>
      <w:r>
        <w:rPr>
          <w:i/>
          <w:iCs/>
        </w:rPr>
        <w:t>Cannabis Control Act </w:t>
      </w:r>
      <w:r>
        <w:rPr>
          <w:i/>
        </w:rPr>
        <w:t>2003</w:t>
      </w:r>
      <w:r>
        <w:rPr>
          <w:iCs/>
        </w:rPr>
        <w:t xml:space="preserve"> </w:t>
      </w:r>
      <w:r>
        <w:t>and in force immediately before the repeal of that Act;</w:t>
      </w:r>
    </w:p>
    <w:p>
      <w:pPr>
        <w:pStyle w:val="nzDefstart"/>
      </w:pPr>
      <w:r>
        <w:tab/>
      </w:r>
      <w:r>
        <w:rPr>
          <w:rStyle w:val="CharDefText"/>
        </w:rPr>
        <w:t>commencement day</w:t>
      </w:r>
      <w:r>
        <w:t xml:space="preserve"> means the day on which the </w:t>
      </w:r>
      <w:r>
        <w:rPr>
          <w:i/>
          <w:iCs/>
        </w:rPr>
        <w:t>Cannabis Law Reform Act 2010</w:t>
      </w:r>
      <w:r>
        <w:t xml:space="preserve"> Part 2 comes into operation.</w:t>
      </w:r>
    </w:p>
    <w:p>
      <w:pPr>
        <w:pStyle w:val="nzHeading5"/>
      </w:pPr>
      <w:bookmarkStart w:id="937" w:name="_Toc275420379"/>
      <w:bookmarkStart w:id="938" w:name="_Toc276115412"/>
      <w:bookmarkStart w:id="939" w:name="_Toc276385345"/>
      <w:r>
        <w:t>46.</w:t>
      </w:r>
      <w:r>
        <w:tab/>
        <w:t>CINs continue in force</w:t>
      </w:r>
      <w:bookmarkEnd w:id="937"/>
      <w:bookmarkEnd w:id="938"/>
      <w:bookmarkEnd w:id="939"/>
    </w:p>
    <w:p>
      <w:pPr>
        <w:pStyle w:val="nzSubsection"/>
      </w:pPr>
      <w:r>
        <w:tab/>
      </w:r>
      <w:r>
        <w:tab/>
        <w:t xml:space="preserve">Despite the repeal of the </w:t>
      </w:r>
      <w:r>
        <w:rPr>
          <w:i/>
          <w:iCs/>
        </w:rPr>
        <w:t>Cannabis Control Act 2003</w:t>
      </w:r>
      <w:r>
        <w:t xml:space="preserve">, that Act and the </w:t>
      </w:r>
      <w:r>
        <w:rPr>
          <w:i/>
          <w:iCs/>
        </w:rPr>
        <w:t>Fines, Penalties and Infringement Notices Enforcement Act 1994</w:t>
      </w:r>
      <w:r>
        <w:t>, continue to apply in respect of a CIN, except in so far as the contrary intention is provided under this Division.</w:t>
      </w:r>
    </w:p>
    <w:p>
      <w:pPr>
        <w:pStyle w:val="nzHeading5"/>
      </w:pPr>
      <w:bookmarkStart w:id="940" w:name="_Toc275420380"/>
      <w:bookmarkStart w:id="941" w:name="_Toc276115413"/>
      <w:bookmarkStart w:id="942" w:name="_Toc276385346"/>
      <w:r>
        <w:t>47.</w:t>
      </w:r>
      <w:r>
        <w:tab/>
        <w:t>Amounts outstanding in 12 months time under a CIN are to be taken to be paid</w:t>
      </w:r>
      <w:bookmarkEnd w:id="940"/>
      <w:bookmarkEnd w:id="941"/>
      <w:bookmarkEnd w:id="942"/>
    </w:p>
    <w:p>
      <w:pPr>
        <w:pStyle w:val="nzSubsection"/>
      </w:pPr>
      <w:r>
        <w:tab/>
        <w:t>(1)</w:t>
      </w:r>
      <w:r>
        <w:tab/>
        <w:t xml:space="preserve">Subsection (2) applies in respect of a CIN if a licence suspension order was made under the </w:t>
      </w:r>
      <w:r>
        <w:rPr>
          <w:i/>
          <w:iCs/>
        </w:rPr>
        <w:t xml:space="preserve">Fines, Penalties and Infringement Notices Enforcement Act 1994 </w:t>
      </w:r>
      <w:r>
        <w:t>section 19</w:t>
      </w:r>
      <w:r>
        <w:rPr>
          <w:i/>
          <w:iCs/>
        </w:rPr>
        <w:t xml:space="preserve"> </w:t>
      </w:r>
      <w:r>
        <w:t>in respect of the CIN.</w:t>
      </w:r>
    </w:p>
    <w:p>
      <w:pPr>
        <w:pStyle w:val="nzSubsection"/>
      </w:pPr>
      <w:r>
        <w:tab/>
        <w:t>(2)</w:t>
      </w:r>
      <w:r>
        <w:tab/>
        <w:t xml:space="preserve">If, immediately before — </w:t>
      </w:r>
    </w:p>
    <w:p>
      <w:pPr>
        <w:pStyle w:val="nzIndenta"/>
      </w:pPr>
      <w:r>
        <w:tab/>
        <w:t>(a)</w:t>
      </w:r>
      <w:r>
        <w:tab/>
        <w:t>the day that is 12 months after the day on which the licence suspension order is made in respect of the CIN; or</w:t>
      </w:r>
    </w:p>
    <w:p>
      <w:pPr>
        <w:pStyle w:val="nzIndenta"/>
      </w:pPr>
      <w:r>
        <w:tab/>
        <w:t>(b)</w:t>
      </w:r>
      <w:r>
        <w:tab/>
        <w:t>the commencement day,</w:t>
      </w:r>
    </w:p>
    <w:p>
      <w:pPr>
        <w:pStyle w:val="nzSubsection"/>
      </w:pPr>
      <w:r>
        <w:tab/>
      </w:r>
      <w:r>
        <w:tab/>
        <w:t xml:space="preserve">whichever is the later in time — </w:t>
      </w:r>
    </w:p>
    <w:p>
      <w:pPr>
        <w:pStyle w:val="nzIndenta"/>
      </w:pPr>
      <w:r>
        <w:tab/>
        <w:t>(c)</w:t>
      </w:r>
      <w:r>
        <w:tab/>
        <w:t xml:space="preserve">the modified penalty, and enforcement fees, payable under the </w:t>
      </w:r>
      <w:r>
        <w:rPr>
          <w:i/>
          <w:iCs/>
        </w:rPr>
        <w:t xml:space="preserve">Fines, Penalties and Infringement Notices Enforcement Act 1994 </w:t>
      </w:r>
      <w:r>
        <w:t>in respect of the CIN have not been paid; and</w:t>
      </w:r>
    </w:p>
    <w:p>
      <w:pPr>
        <w:pStyle w:val="nzIndenta"/>
      </w:pPr>
      <w:r>
        <w:tab/>
        <w:t>(d)</w:t>
      </w:r>
      <w:r>
        <w:tab/>
        <w:t>an election has not been made under section 21 of that Act,</w:t>
      </w:r>
    </w:p>
    <w:p>
      <w:pPr>
        <w:pStyle w:val="nzSubsection"/>
      </w:pPr>
      <w:r>
        <w:tab/>
      </w:r>
      <w:r>
        <w:tab/>
        <w:t>then, for the purposes of that Act, the amounts referred to in paragraph (c) are to be taken to be paid on that day.</w:t>
      </w:r>
    </w:p>
    <w:p>
      <w:pPr>
        <w:pStyle w:val="nzSubsection"/>
        <w:rPr>
          <w:szCs w:val="24"/>
        </w:rPr>
      </w:pPr>
      <w:r>
        <w:tab/>
        <w:t>(3)</w:t>
      </w:r>
      <w:r>
        <w:tab/>
        <w:t xml:space="preserve">If, due to the operation of subsection (2), a licence suspension order is to be taken as having been cancelled under the </w:t>
      </w:r>
      <w:r>
        <w:rPr>
          <w:i/>
          <w:iCs/>
        </w:rPr>
        <w:t>Fines, Penalties</w:t>
      </w:r>
      <w:r>
        <w:rPr>
          <w:i/>
        </w:rPr>
        <w:t xml:space="preserve"> and Infringement Notices Enforcement Act 1994</w:t>
      </w:r>
      <w:r>
        <w:t> section 20(1)(a), then subsections (3) and (4) of that section apply as if the licence suspension order was cancelled under subsection (2) of that section.</w:t>
      </w:r>
    </w:p>
    <w:p>
      <w:pPr>
        <w:pStyle w:val="BlankClose"/>
      </w:pPr>
    </w:p>
    <w:p>
      <w:pPr>
        <w:pStyle w:val="BlankClose"/>
      </w:pPr>
    </w:p>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pPr>
        <w:pStyle w:val="nHeading2"/>
        <w:rPr>
          <w:sz w:val="28"/>
        </w:rPr>
      </w:pPr>
      <w:bookmarkStart w:id="943" w:name="_Toc190249321"/>
      <w:bookmarkStart w:id="944" w:name="_Toc191703215"/>
      <w:bookmarkStart w:id="945" w:name="_Toc193692132"/>
      <w:bookmarkStart w:id="946" w:name="_Toc199817315"/>
      <w:bookmarkStart w:id="947" w:name="_Toc215543787"/>
      <w:bookmarkStart w:id="948" w:name="_Toc215544047"/>
      <w:bookmarkStart w:id="949" w:name="_Toc248029085"/>
      <w:bookmarkStart w:id="950" w:name="_Toc256085134"/>
      <w:bookmarkStart w:id="951" w:name="_Toc256092198"/>
      <w:bookmarkStart w:id="952" w:name="_Toc268600376"/>
      <w:bookmarkStart w:id="953" w:name="_Toc272237506"/>
      <w:bookmarkStart w:id="954" w:name="_Toc275253584"/>
      <w:bookmarkStart w:id="955" w:name="_Toc283287510"/>
      <w:bookmarkStart w:id="956" w:name="_Toc290558496"/>
      <w:bookmarkStart w:id="957" w:name="_Toc290558572"/>
      <w:r>
        <w:rPr>
          <w:sz w:val="28"/>
        </w:rPr>
        <w:t>Defined Terms</w:t>
      </w:r>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58" w:name="DefinedTerms"/>
      <w:bookmarkEnd w:id="958"/>
      <w:r>
        <w:t>analyst</w:t>
      </w:r>
      <w:r>
        <w:tab/>
        <w:t>3(1)</w:t>
      </w:r>
    </w:p>
    <w:p>
      <w:pPr>
        <w:pStyle w:val="DefinedTerms"/>
      </w:pPr>
      <w:r>
        <w:t>approved analyst</w:t>
      </w:r>
      <w:r>
        <w:tab/>
        <w:t>3(1)</w:t>
      </w:r>
    </w:p>
    <w:p>
      <w:pPr>
        <w:pStyle w:val="DefinedTerms"/>
      </w:pPr>
      <w:r>
        <w:t>approved botanist</w:t>
      </w:r>
      <w:r>
        <w:tab/>
        <w:t>3(1)</w:t>
      </w:r>
    </w:p>
    <w:p>
      <w:pPr>
        <w:pStyle w:val="DefinedTerms"/>
      </w:pPr>
      <w:r>
        <w:t>approved person</w:t>
      </w:r>
      <w:r>
        <w:tab/>
        <w:t>21</w:t>
      </w:r>
    </w:p>
    <w:p>
      <w:pPr>
        <w:pStyle w:val="DefinedTerms"/>
      </w:pPr>
      <w:r>
        <w:t>authorised person</w:t>
      </w:r>
      <w:r>
        <w:tab/>
        <w:t>14(4)(a), 26(3), 31(8)</w:t>
      </w:r>
    </w:p>
    <w:p>
      <w:pPr>
        <w:pStyle w:val="DefinedTerms"/>
      </w:pPr>
      <w:r>
        <w:t>authorised prescription</w:t>
      </w:r>
      <w:r>
        <w:tab/>
        <w:t>3(1)</w:t>
      </w:r>
    </w:p>
    <w:p>
      <w:pPr>
        <w:pStyle w:val="DefinedTerms"/>
      </w:pPr>
      <w:r>
        <w:t>botanist</w:t>
      </w:r>
      <w:r>
        <w:tab/>
        <w:t>3(1)</w:t>
      </w:r>
    </w:p>
    <w:p>
      <w:pPr>
        <w:pStyle w:val="DefinedTerms"/>
      </w:pPr>
      <w:r>
        <w:t>cannabis</w:t>
      </w:r>
      <w:r>
        <w:tab/>
        <w:t>3(1)</w:t>
      </w:r>
    </w:p>
    <w:p>
      <w:pPr>
        <w:pStyle w:val="DefinedTerms"/>
      </w:pPr>
      <w:r>
        <w:t>cannabis resin</w:t>
      </w:r>
      <w:r>
        <w:tab/>
        <w:t>3(1)</w:t>
      </w:r>
    </w:p>
    <w:p>
      <w:pPr>
        <w:pStyle w:val="DefinedTerms"/>
      </w:pPr>
      <w:r>
        <w:t>category 1 item</w:t>
      </w:r>
      <w:r>
        <w:tab/>
        <w:t>12</w:t>
      </w:r>
    </w:p>
    <w:p>
      <w:pPr>
        <w:pStyle w:val="DefinedTerms"/>
      </w:pPr>
      <w:r>
        <w:t>category 2 item</w:t>
      </w:r>
      <w:r>
        <w:tab/>
        <w:t>12</w:t>
      </w:r>
    </w:p>
    <w:p>
      <w:pPr>
        <w:pStyle w:val="DefinedTerms"/>
      </w:pPr>
      <w:r>
        <w:t>CEO (Health)</w:t>
      </w:r>
      <w:r>
        <w:tab/>
        <w:t>38D(1)</w:t>
      </w:r>
    </w:p>
    <w:p>
      <w:pPr>
        <w:pStyle w:val="DefinedTerms"/>
      </w:pPr>
      <w:r>
        <w:t>Commissioner</w:t>
      </w:r>
      <w:r>
        <w:tab/>
        <w:t>3(1)</w:t>
      </w:r>
    </w:p>
    <w:p>
      <w:pPr>
        <w:pStyle w:val="DefinedTerms"/>
      </w:pPr>
      <w:r>
        <w:t>confidential information</w:t>
      </w:r>
      <w:r>
        <w:tab/>
        <w:t>27B(1)</w:t>
      </w:r>
    </w:p>
    <w:p>
      <w:pPr>
        <w:pStyle w:val="DefinedTerms"/>
      </w:pPr>
      <w:r>
        <w:t>dangerous substance</w:t>
      </w:r>
      <w:r>
        <w:tab/>
        <w:t>3(1)</w:t>
      </w:r>
    </w:p>
    <w:p>
      <w:pPr>
        <w:pStyle w:val="DefinedTerms"/>
      </w:pPr>
      <w:r>
        <w:t>dentist</w:t>
      </w:r>
      <w:r>
        <w:tab/>
        <w:t>3(1)</w:t>
      </w:r>
    </w:p>
    <w:p>
      <w:pPr>
        <w:pStyle w:val="DefinedTerms"/>
      </w:pPr>
      <w:r>
        <w:t>drug of addiction</w:t>
      </w:r>
      <w:r>
        <w:tab/>
        <w:t>3(1)</w:t>
      </w:r>
    </w:p>
    <w:p>
      <w:pPr>
        <w:pStyle w:val="DefinedTerms"/>
      </w:pPr>
      <w:r>
        <w:t>external serious drug offence</w:t>
      </w:r>
      <w:r>
        <w:tab/>
        <w:t>32A(3)</w:t>
      </w:r>
    </w:p>
    <w:p>
      <w:pPr>
        <w:pStyle w:val="DefinedTerms"/>
      </w:pPr>
      <w:r>
        <w:t>heroin</w:t>
      </w:r>
      <w:r>
        <w:tab/>
        <w:t>3(1)</w:t>
      </w:r>
    </w:p>
    <w:p>
      <w:pPr>
        <w:pStyle w:val="DefinedTerms"/>
      </w:pPr>
      <w:r>
        <w:t>holding order</w:t>
      </w:r>
      <w:r>
        <w:tab/>
        <w:t>21</w:t>
      </w:r>
    </w:p>
    <w:p>
      <w:pPr>
        <w:pStyle w:val="DefinedTerms"/>
      </w:pPr>
      <w:r>
        <w:t>industrial hemp</w:t>
      </w:r>
      <w:r>
        <w:tab/>
        <w:t>3(1)</w:t>
      </w:r>
    </w:p>
    <w:p>
      <w:pPr>
        <w:pStyle w:val="DefinedTerms"/>
      </w:pPr>
      <w:r>
        <w:t>industrial hemp seed</w:t>
      </w:r>
      <w:r>
        <w:tab/>
        <w:t>3(1)</w:t>
      </w:r>
    </w:p>
    <w:p>
      <w:pPr>
        <w:pStyle w:val="DefinedTerms"/>
      </w:pPr>
      <w:r>
        <w:t>medical practitioner</w:t>
      </w:r>
      <w:r>
        <w:tab/>
        <w:t>3(1)</w:t>
      </w:r>
    </w:p>
    <w:p>
      <w:pPr>
        <w:pStyle w:val="DefinedTerms"/>
      </w:pPr>
      <w:r>
        <w:t>nurse practitioner</w:t>
      </w:r>
      <w:r>
        <w:tab/>
        <w:t>3(1)</w:t>
      </w:r>
    </w:p>
    <w:p>
      <w:pPr>
        <w:pStyle w:val="DefinedTerms"/>
      </w:pPr>
      <w:r>
        <w:t>opium</w:t>
      </w:r>
      <w:r>
        <w:tab/>
        <w:t>3(1)</w:t>
      </w:r>
    </w:p>
    <w:p>
      <w:pPr>
        <w:pStyle w:val="DefinedTerms"/>
      </w:pPr>
      <w:r>
        <w:t>owner</w:t>
      </w:r>
      <w:r>
        <w:tab/>
        <w:t>5(2)</w:t>
      </w:r>
    </w:p>
    <w:p>
      <w:pPr>
        <w:pStyle w:val="DefinedTerms"/>
      </w:pPr>
      <w:r>
        <w:t>principal offence</w:t>
      </w:r>
      <w:r>
        <w:tab/>
        <w:t>33(1), 33(3)</w:t>
      </w:r>
    </w:p>
    <w:p>
      <w:pPr>
        <w:pStyle w:val="DefinedTerms"/>
      </w:pPr>
      <w:r>
        <w:t>processed industrial hemp</w:t>
      </w:r>
      <w:r>
        <w:tab/>
        <w:t>3(1)</w:t>
      </w:r>
    </w:p>
    <w:p>
      <w:pPr>
        <w:pStyle w:val="DefinedTerms"/>
      </w:pPr>
      <w:r>
        <w:t>prohibited drug</w:t>
      </w:r>
      <w:r>
        <w:tab/>
        <w:t>3(1)</w:t>
      </w:r>
    </w:p>
    <w:p>
      <w:pPr>
        <w:pStyle w:val="DefinedTerms"/>
      </w:pPr>
      <w:r>
        <w:t>prohibited plant</w:t>
      </w:r>
      <w:r>
        <w:tab/>
        <w:t>3(1)</w:t>
      </w:r>
    </w:p>
    <w:p>
      <w:pPr>
        <w:pStyle w:val="DefinedTerms"/>
      </w:pPr>
      <w:r>
        <w:t>recipient</w:t>
      </w:r>
      <w:r>
        <w:tab/>
        <w:t>12</w:t>
      </w:r>
    </w:p>
    <w:p>
      <w:pPr>
        <w:pStyle w:val="DefinedTerms"/>
      </w:pPr>
      <w:r>
        <w:t>sample</w:t>
      </w:r>
      <w:r>
        <w:tab/>
        <w:t>3(1)</w:t>
      </w:r>
    </w:p>
    <w:p>
      <w:pPr>
        <w:pStyle w:val="DefinedTerms"/>
      </w:pPr>
      <w:r>
        <w:t>search warrant</w:t>
      </w:r>
      <w:r>
        <w:tab/>
        <w:t>21</w:t>
      </w:r>
    </w:p>
    <w:p>
      <w:pPr>
        <w:pStyle w:val="DefinedTerms"/>
      </w:pPr>
      <w:r>
        <w:t>serious drug offence</w:t>
      </w:r>
      <w:r>
        <w:tab/>
        <w:t>32A(3)</w:t>
      </w:r>
    </w:p>
    <w:p>
      <w:pPr>
        <w:pStyle w:val="DefinedTerms"/>
      </w:pPr>
      <w:r>
        <w:t>simple offence</w:t>
      </w:r>
      <w:r>
        <w:tab/>
        <w:t>3(1)</w:t>
      </w:r>
    </w:p>
    <w:p>
      <w:pPr>
        <w:pStyle w:val="DefinedTerms"/>
      </w:pPr>
      <w:r>
        <w:t>specified</w:t>
      </w:r>
      <w:r>
        <w:tab/>
        <w:t>27A(7)</w:t>
      </w:r>
    </w:p>
    <w:p>
      <w:pPr>
        <w:pStyle w:val="DefinedTerms"/>
      </w:pPr>
      <w:r>
        <w:t>specified drug</w:t>
      </w:r>
      <w:r>
        <w:tab/>
        <w:t>3(1)</w:t>
      </w:r>
    </w:p>
    <w:p>
      <w:pPr>
        <w:pStyle w:val="DefinedTerms"/>
      </w:pPr>
      <w:r>
        <w:t>substance</w:t>
      </w:r>
      <w:r>
        <w:tab/>
        <w:t>12</w:t>
      </w:r>
    </w:p>
    <w:p>
      <w:pPr>
        <w:pStyle w:val="DefinedTerms"/>
      </w:pPr>
      <w:r>
        <w:t>sufficient samples</w:t>
      </w:r>
      <w:r>
        <w:tab/>
        <w:t>27(6)</w:t>
      </w:r>
    </w:p>
    <w:p>
      <w:pPr>
        <w:pStyle w:val="DefinedTerms"/>
      </w:pPr>
      <w:r>
        <w:t>summary court</w:t>
      </w:r>
      <w:r>
        <w:tab/>
        <w:t>3(1)</w:t>
      </w:r>
    </w:p>
    <w:p>
      <w:pPr>
        <w:pStyle w:val="DefinedTerms"/>
      </w:pPr>
      <w:r>
        <w:t>supplier</w:t>
      </w:r>
      <w:r>
        <w:tab/>
        <w:t>12</w:t>
      </w:r>
    </w:p>
    <w:p>
      <w:pPr>
        <w:pStyle w:val="DefinedTerms"/>
      </w:pPr>
      <w:r>
        <w:t>the claimant</w:t>
      </w:r>
      <w:r>
        <w:tab/>
        <w:t>27(1)(b), 28(2)</w:t>
      </w:r>
    </w:p>
    <w:p>
      <w:pPr>
        <w:pStyle w:val="DefinedTerms"/>
      </w:pPr>
      <w:r>
        <w:t xml:space="preserve">the </w:t>
      </w:r>
      <w:r>
        <w:rPr>
          <w:i/>
          <w:iCs/>
        </w:rPr>
        <w:t>Poisons Act 1964</w:t>
      </w:r>
      <w:r>
        <w:tab/>
        <w:t>3(1)</w:t>
      </w:r>
    </w:p>
    <w:p>
      <w:pPr>
        <w:pStyle w:val="DefinedTerms"/>
      </w:pPr>
      <w:r>
        <w:t>the principal offence</w:t>
      </w:r>
      <w:r>
        <w:tab/>
        <w:t>33(2)</w:t>
      </w:r>
    </w:p>
    <w:p>
      <w:pPr>
        <w:pStyle w:val="DefinedTerms"/>
      </w:pPr>
      <w:r>
        <w:t>the regulations</w:t>
      </w:r>
      <w:r>
        <w:tab/>
        <w:t>3(1)</w:t>
      </w:r>
    </w:p>
    <w:p>
      <w:pPr>
        <w:pStyle w:val="DefinedTerms"/>
      </w:pPr>
      <w:r>
        <w:t>to cultivate</w:t>
      </w:r>
      <w:r>
        <w:tab/>
        <w:t>3(1)</w:t>
      </w:r>
    </w:p>
    <w:p>
      <w:pPr>
        <w:pStyle w:val="DefinedTerms"/>
      </w:pPr>
      <w:r>
        <w:t>to possess</w:t>
      </w:r>
      <w:r>
        <w:tab/>
        <w:t>3(1)</w:t>
      </w:r>
    </w:p>
    <w:p>
      <w:pPr>
        <w:pStyle w:val="DefinedTerms"/>
      </w:pPr>
      <w:r>
        <w:t>to supply</w:t>
      </w:r>
      <w:r>
        <w:tab/>
        <w:t>3(1)</w:t>
      </w:r>
    </w:p>
    <w:p>
      <w:pPr>
        <w:pStyle w:val="DefinedTerms"/>
      </w:pPr>
      <w:r>
        <w:t>undercover officer</w:t>
      </w:r>
      <w:r>
        <w:tab/>
        <w:t>26(3), 31(8)</w:t>
      </w:r>
    </w:p>
    <w:p>
      <w:pPr>
        <w:pStyle w:val="DefinedTerms"/>
      </w:pPr>
      <w:r>
        <w:t>vehicle</w:t>
      </w:r>
      <w:r>
        <w:tab/>
        <w:t>21</w:t>
      </w:r>
    </w:p>
    <w:p>
      <w:pPr>
        <w:pStyle w:val="DefinedTerms"/>
      </w:pPr>
      <w:r>
        <w:t>veterinary surgeon</w:t>
      </w:r>
      <w:r>
        <w:tab/>
        <w:t>3(1)</w:t>
      </w:r>
    </w:p>
    <w:p>
      <w:pPr>
        <w:pStyle w:val="DefinedTerms"/>
        <w:sectPr>
          <w:headerReference w:type="even" r:id="rId32"/>
          <w:headerReference w:type="default" r:id="rId33"/>
          <w:headerReference w:type="first" r:id="rId34"/>
          <w:pgSz w:w="11906" w:h="16838" w:code="9"/>
          <w:pgMar w:top="2381" w:right="2409" w:bottom="3543" w:left="2409" w:header="720" w:footer="3380" w:gutter="0"/>
          <w:cols w:space="720"/>
          <w:noEndnote/>
          <w:docGrid w:linePitch="326"/>
        </w:sectPr>
      </w:pPr>
    </w:p>
    <w:bookmarkEnd w:id="821"/>
    <w:p/>
    <w:p/>
    <w:sectPr>
      <w:headerReference w:type="even" r:id="rId35"/>
      <w:headerReference w:type="default" r:id="rId36"/>
      <w:headerReference w:type="first" r:id="rId3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04-n0-01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Apr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04-n0-01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04-n0-01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04-n0-01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Apr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04-n0-01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04-n0-01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04-n0-01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Apr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04-n0-01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04-n0-01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Misuse of Drugs Act 1981</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Borders>
            <w:bottom w:val="single" w:sz="4" w:space="0" w:color="auto"/>
          </w:tcBorders>
        </w:tcPr>
        <w:p>
          <w:pPr>
            <w:pStyle w:val="HeaderTextLeft"/>
          </w:pPr>
          <w:r>
            <w:t>Contents</w:t>
          </w:r>
        </w:p>
      </w:tc>
    </w:tr>
  </w:tbl>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Misuse of Drugs Act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Borders>
            <w:bottom w:val="single" w:sz="4" w:space="0" w:color="auto"/>
          </w:tcBorders>
        </w:tcPr>
        <w:p>
          <w:pPr>
            <w:pStyle w:val="HeaderSectionRight"/>
            <w:ind w:right="17"/>
            <w:rPr>
              <w:b w:val="0"/>
            </w:rPr>
          </w:pPr>
          <w:r>
            <w:rPr>
              <w:b w:val="0"/>
            </w:rPr>
            <w:t>Contents</w:t>
          </w:r>
        </w:p>
      </w:tc>
    </w:tr>
  </w:tbl>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Misuse of Drugs Act 1981</w:t>
            </w:r>
          </w:fldSimple>
        </w:p>
      </w:tc>
    </w:tr>
    <w:tr>
      <w:tc>
        <w:tcPr>
          <w:tcW w:w="1490" w:type="dxa"/>
        </w:tcPr>
        <w:p>
          <w:pPr>
            <w:pStyle w:val="HeaderNumberLeft"/>
            <w:rPr>
              <w:b w:val="0"/>
            </w:rPr>
          </w:pPr>
          <w:r>
            <w:fldChar w:fldCharType="begin"/>
          </w:r>
          <w:r>
            <w:instrText xml:space="preserve"> STYLEREF CharSchNo \* MERGEFORMAT </w:instrText>
          </w:r>
          <w:r>
            <w:rPr>
              <w:noProof/>
            </w:rPr>
            <w:fldChar w:fldCharType="end"/>
          </w:r>
        </w:p>
      </w:tc>
      <w:tc>
        <w:tcPr>
          <w:tcW w:w="5773" w:type="dxa"/>
          <w:vAlign w:val="bottom"/>
        </w:tcPr>
        <w:p>
          <w:pPr>
            <w:pStyle w:val="HeaderTextLeft"/>
          </w:pPr>
          <w:r>
            <w:fldChar w:fldCharType="begin"/>
          </w:r>
          <w:r>
            <w:instrText xml:space="preserve"> STYLEREF CharSchText \* MERGEFORMAT </w:instrText>
          </w:r>
          <w:r>
            <w:rPr>
              <w:noProof/>
            </w:rP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73" w:type="dxa"/>
          <w:vAlign w:val="bottom"/>
        </w:tcPr>
        <w:p>
          <w:pPr>
            <w:pStyle w:val="HeaderSectionRight"/>
            <w:ind w:right="17"/>
            <w:jc w:val="left"/>
            <w:rPr>
              <w:b w:val="0"/>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Misuse of Drugs Act 1981</w:t>
            </w:r>
          </w:fldSimple>
        </w:p>
      </w:tc>
    </w:tr>
    <w:tr>
      <w:tc>
        <w:tcPr>
          <w:tcW w:w="5742" w:type="dxa"/>
          <w:vAlign w:val="bottom"/>
        </w:tcPr>
        <w:p>
          <w:pPr>
            <w:pStyle w:val="HeaderTextRight"/>
          </w:pPr>
          <w:r>
            <w:fldChar w:fldCharType="begin"/>
          </w:r>
          <w:r>
            <w:instrText xml:space="preserve"> STYLEREF CharSchText \* MERGEFORMAT </w:instrText>
          </w:r>
          <w:r>
            <w:rPr>
              <w:noProof/>
            </w:rPr>
            <w:fldChar w:fldCharType="end"/>
          </w: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7263" w:type="dxa"/>
          <w:gridSpan w:val="2"/>
        </w:tcPr>
        <w:p>
          <w:pPr>
            <w:pStyle w:val="HeaderSectionRight"/>
            <w:ind w:right="17"/>
            <w:jc w:val="left"/>
          </w:pPr>
          <w:r>
            <w:t>Defined Terms</w:t>
          </w:r>
          <w:fldSimple w:instr=" STYLEREF CharSchText \* MERGEFORMAT ">
            <w:r>
              <w:rPr>
                <w:noProof/>
              </w:rPr>
              <w:t>Numbers of prohibited plants for purposes of drug trafficking</w:t>
            </w:r>
          </w:fldSimple>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38" w:type="dxa"/>
      <w:tblLayout w:type="fixed"/>
      <w:tblLook w:val="0000" w:firstRow="0" w:lastRow="0" w:firstColumn="0" w:lastColumn="0" w:noHBand="0" w:noVBand="0"/>
    </w:tblPr>
    <w:tblGrid>
      <w:gridCol w:w="5758"/>
      <w:gridCol w:w="1423"/>
    </w:tblGrid>
    <w:tr>
      <w:trPr>
        <w:cantSplit/>
      </w:trPr>
      <w:tc>
        <w:tcPr>
          <w:tcW w:w="7181" w:type="dxa"/>
          <w:gridSpan w:val="2"/>
        </w:tcPr>
        <w:p>
          <w:pPr>
            <w:pStyle w:val="HeaderActNameRight"/>
          </w:pPr>
          <w:fldSimple w:instr=" Styleref &quot;Name of Act/Reg&quot; ">
            <w:r>
              <w:rPr>
                <w:noProof/>
              </w:rPr>
              <w:t>Misuse of Drugs Act 1981</w:t>
            </w:r>
          </w:fldSimple>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rPr>
        <w:cantSplit/>
      </w:trPr>
      <w:tc>
        <w:tcPr>
          <w:tcW w:w="7181" w:type="dxa"/>
          <w:gridSpan w:val="2"/>
        </w:tcPr>
        <w:p>
          <w:pPr>
            <w:pStyle w:val="HeaderSectionRigh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78FED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3087B5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A9E63E8"/>
    <w:lvl w:ilvl="0">
      <w:start w:val="1"/>
      <w:numFmt w:val="decimal"/>
      <w:pStyle w:val="ListNumber3"/>
      <w:lvlText w:val="%1."/>
      <w:lvlJc w:val="left"/>
      <w:pPr>
        <w:tabs>
          <w:tab w:val="num" w:pos="926"/>
        </w:tabs>
        <w:ind w:left="926" w:hanging="360"/>
      </w:pPr>
    </w:lvl>
  </w:abstractNum>
  <w:abstractNum w:abstractNumId="3">
    <w:nsid w:val="FFFFFF7F"/>
    <w:multiLevelType w:val="singleLevel"/>
    <w:tmpl w:val="01D24B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384FE0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EA06A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622E0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63A00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8EC7AE4"/>
    <w:lvl w:ilvl="0">
      <w:start w:val="1"/>
      <w:numFmt w:val="decimal"/>
      <w:pStyle w:val="ListNumber"/>
      <w:lvlText w:val="%1."/>
      <w:lvlJc w:val="left"/>
      <w:pPr>
        <w:tabs>
          <w:tab w:val="num" w:pos="360"/>
        </w:tabs>
        <w:ind w:left="360" w:hanging="360"/>
      </w:pPr>
    </w:lvl>
  </w:abstractNum>
  <w:abstractNum w:abstractNumId="9">
    <w:nsid w:val="FFFFFF89"/>
    <w:multiLevelType w:val="singleLevel"/>
    <w:tmpl w:val="7F1A9B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47DC293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EC5E674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rmula">
    <w:name w:val="Formula"/>
    <w:basedOn w:val="Normal"/>
    <w:pPr>
      <w:ind w:left="113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rmula">
    <w:name w:val="Formula"/>
    <w:basedOn w:val="Normal"/>
    <w:pPr>
      <w:ind w:left="113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97</Pages>
  <Words>20973</Words>
  <Characters>99833</Characters>
  <Application>Microsoft Office Word</Application>
  <DocSecurity>0</DocSecurity>
  <Lines>3697</Lines>
  <Paragraphs>2626</Paragraphs>
  <ScaleCrop>false</ScaleCrop>
  <HeadingPairs>
    <vt:vector size="2" baseType="variant">
      <vt:variant>
        <vt:lpstr>Title</vt:lpstr>
      </vt:variant>
      <vt:variant>
        <vt:i4>1</vt:i4>
      </vt:variant>
    </vt:vector>
  </HeadingPairs>
  <TitlesOfParts>
    <vt:vector size="1" baseType="lpstr">
      <vt:lpstr>Misuse Of Drugs Act 1981</vt:lpstr>
    </vt:vector>
  </TitlesOfParts>
  <Manager/>
  <Company/>
  <LinksUpToDate>false</LinksUpToDate>
  <CharactersWithSpaces>118180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Act 1981 - 04-n0-01</dc:title>
  <dc:subject/>
  <dc:creator/>
  <cp:keywords/>
  <dc:description/>
  <cp:lastModifiedBy>svcMRProcess</cp:lastModifiedBy>
  <cp:revision>4</cp:revision>
  <cp:lastPrinted>2008-03-10T06:08:00Z</cp:lastPrinted>
  <dcterms:created xsi:type="dcterms:W3CDTF">2018-09-05T16:29:00Z</dcterms:created>
  <dcterms:modified xsi:type="dcterms:W3CDTF">2018-09-05T16:29:00Z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1981</vt:lpwstr>
  </property>
  <property fmtid="{D5CDD505-2E9C-101B-9397-08002B2CF9AE}" pid="3" name="CommencementDate">
    <vt:lpwstr>20110416</vt:lpwstr>
  </property>
  <property fmtid="{D5CDD505-2E9C-101B-9397-08002B2CF9AE}" pid="4" name="DocumentType">
    <vt:lpwstr>Act</vt:lpwstr>
  </property>
  <property fmtid="{D5CDD505-2E9C-101B-9397-08002B2CF9AE}" pid="5" name="OwlsUID">
    <vt:i4>522</vt:i4>
  </property>
  <property fmtid="{D5CDD505-2E9C-101B-9397-08002B2CF9AE}" pid="6" name="ReprintNo">
    <vt:lpwstr>4</vt:lpwstr>
  </property>
  <property fmtid="{D5CDD505-2E9C-101B-9397-08002B2CF9AE}" pid="7" name="AsAtDate">
    <vt:lpwstr>16 Apr 2011</vt:lpwstr>
  </property>
  <property fmtid="{D5CDD505-2E9C-101B-9397-08002B2CF9AE}" pid="8" name="Suffix">
    <vt:lpwstr>04-n0-01</vt:lpwstr>
  </property>
</Properties>
</file>