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Stock (Identification and Movement) Act 1970</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Stock (Identification and Movement) Regulations 1972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Stock (Identification and Movement) Regulations 1972</w:t>
      </w:r>
      <w:r>
        <w:fldChar w:fldCharType="end"/>
      </w:r>
    </w:p>
    <w:p>
      <w:pPr>
        <w:pStyle w:val="Arrangement"/>
        <w:spacing w:after="240"/>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_Toc290559685 \h </w:instrText>
      </w:r>
      <w:r>
        <w:fldChar w:fldCharType="separate"/>
      </w:r>
      <w:r>
        <w:t>1</w:t>
      </w:r>
      <w:r>
        <w:fldChar w:fldCharType="end"/>
      </w:r>
    </w:p>
    <w:p>
      <w:pPr>
        <w:pStyle w:val="TOC8"/>
        <w:rPr>
          <w:sz w:val="24"/>
          <w:szCs w:val="24"/>
          <w:lang w:val="en-US"/>
        </w:rPr>
      </w:pPr>
      <w:r>
        <w:t>2.</w:t>
      </w:r>
      <w:r>
        <w:tab/>
        <w:t>Terms used</w:t>
      </w:r>
      <w:r>
        <w:tab/>
      </w:r>
      <w:r>
        <w:fldChar w:fldCharType="begin"/>
      </w:r>
      <w:r>
        <w:instrText xml:space="preserve"> PAGEREF _Toc290559686 \h </w:instrText>
      </w:r>
      <w:r>
        <w:fldChar w:fldCharType="separate"/>
      </w:r>
      <w:r>
        <w:t>1</w:t>
      </w:r>
      <w:r>
        <w:fldChar w:fldCharType="end"/>
      </w:r>
    </w:p>
    <w:p>
      <w:pPr>
        <w:pStyle w:val="TOC8"/>
        <w:rPr>
          <w:sz w:val="24"/>
          <w:szCs w:val="24"/>
          <w:lang w:val="en-US"/>
        </w:rPr>
      </w:pPr>
      <w:r>
        <w:t>3</w:t>
      </w:r>
      <w:r>
        <w:rPr>
          <w:snapToGrid w:val="0"/>
        </w:rPr>
        <w:t>.</w:t>
      </w:r>
      <w:r>
        <w:rPr>
          <w:snapToGrid w:val="0"/>
        </w:rPr>
        <w:tab/>
        <w:t>Persons who may use registered brands or earmarks</w:t>
      </w:r>
      <w:r>
        <w:tab/>
      </w:r>
      <w:r>
        <w:fldChar w:fldCharType="begin"/>
      </w:r>
      <w:r>
        <w:instrText xml:space="preserve"> PAGEREF _Toc290559687 \h </w:instrText>
      </w:r>
      <w:r>
        <w:fldChar w:fldCharType="separate"/>
      </w:r>
      <w:r>
        <w:t>1</w:t>
      </w:r>
      <w:r>
        <w:fldChar w:fldCharType="end"/>
      </w:r>
    </w:p>
    <w:p>
      <w:pPr>
        <w:pStyle w:val="TOC8"/>
        <w:rPr>
          <w:sz w:val="24"/>
          <w:szCs w:val="24"/>
          <w:lang w:val="en-US"/>
        </w:rPr>
      </w:pPr>
      <w:r>
        <w:t>4</w:t>
      </w:r>
      <w:r>
        <w:rPr>
          <w:snapToGrid w:val="0"/>
        </w:rPr>
        <w:t>.</w:t>
      </w:r>
      <w:r>
        <w:rPr>
          <w:snapToGrid w:val="0"/>
        </w:rPr>
        <w:tab/>
        <w:t>Requirements relating to various means of branding</w:t>
      </w:r>
      <w:r>
        <w:tab/>
      </w:r>
      <w:r>
        <w:fldChar w:fldCharType="begin"/>
      </w:r>
      <w:r>
        <w:instrText xml:space="preserve"> PAGEREF _Toc290559688 \h </w:instrText>
      </w:r>
      <w:r>
        <w:fldChar w:fldCharType="separate"/>
      </w:r>
      <w:r>
        <w:t>2</w:t>
      </w:r>
      <w:r>
        <w:fldChar w:fldCharType="end"/>
      </w:r>
    </w:p>
    <w:p>
      <w:pPr>
        <w:pStyle w:val="TOC8"/>
        <w:rPr>
          <w:sz w:val="24"/>
          <w:szCs w:val="24"/>
          <w:lang w:val="en-US"/>
        </w:rPr>
      </w:pPr>
      <w:r>
        <w:t>4A.</w:t>
      </w:r>
      <w:r>
        <w:tab/>
        <w:t>Manufacture and sale of eartags for identifying sheep, goats and camelids</w:t>
      </w:r>
      <w:r>
        <w:tab/>
      </w:r>
      <w:r>
        <w:fldChar w:fldCharType="begin"/>
      </w:r>
      <w:r>
        <w:instrText xml:space="preserve"> PAGEREF _Toc290559689 \h </w:instrText>
      </w:r>
      <w:r>
        <w:fldChar w:fldCharType="separate"/>
      </w:r>
      <w:r>
        <w:t>4</w:t>
      </w:r>
      <w:r>
        <w:fldChar w:fldCharType="end"/>
      </w:r>
    </w:p>
    <w:p>
      <w:pPr>
        <w:pStyle w:val="TOC8"/>
        <w:rPr>
          <w:sz w:val="24"/>
          <w:szCs w:val="24"/>
          <w:lang w:val="en-US"/>
        </w:rPr>
      </w:pPr>
      <w:r>
        <w:t>5</w:t>
      </w:r>
      <w:r>
        <w:rPr>
          <w:snapToGrid w:val="0"/>
        </w:rPr>
        <w:t>.</w:t>
      </w:r>
      <w:r>
        <w:rPr>
          <w:snapToGrid w:val="0"/>
        </w:rPr>
        <w:tab/>
        <w:t>Age marks for sheep</w:t>
      </w:r>
      <w:r>
        <w:tab/>
      </w:r>
      <w:r>
        <w:fldChar w:fldCharType="begin"/>
      </w:r>
      <w:r>
        <w:instrText xml:space="preserve"> PAGEREF _Toc290559690 \h </w:instrText>
      </w:r>
      <w:r>
        <w:fldChar w:fldCharType="separate"/>
      </w:r>
      <w:r>
        <w:t>6</w:t>
      </w:r>
      <w:r>
        <w:fldChar w:fldCharType="end"/>
      </w:r>
    </w:p>
    <w:p>
      <w:pPr>
        <w:pStyle w:val="TOC8"/>
        <w:rPr>
          <w:sz w:val="24"/>
          <w:szCs w:val="24"/>
          <w:lang w:val="en-US"/>
        </w:rPr>
      </w:pPr>
      <w:r>
        <w:t>6</w:t>
      </w:r>
      <w:r>
        <w:rPr>
          <w:snapToGrid w:val="0"/>
        </w:rPr>
        <w:t>.</w:t>
      </w:r>
      <w:r>
        <w:rPr>
          <w:snapToGrid w:val="0"/>
        </w:rPr>
        <w:tab/>
        <w:t>Use of firebrands or freezebrands, and marking stud cattle</w:t>
      </w:r>
      <w:r>
        <w:tab/>
      </w:r>
      <w:r>
        <w:fldChar w:fldCharType="begin"/>
      </w:r>
      <w:r>
        <w:instrText xml:space="preserve"> PAGEREF _Toc290559691 \h </w:instrText>
      </w:r>
      <w:r>
        <w:fldChar w:fldCharType="separate"/>
      </w:r>
      <w:r>
        <w:t>6</w:t>
      </w:r>
      <w:r>
        <w:fldChar w:fldCharType="end"/>
      </w:r>
    </w:p>
    <w:p>
      <w:pPr>
        <w:pStyle w:val="TOC8"/>
        <w:rPr>
          <w:sz w:val="24"/>
          <w:szCs w:val="24"/>
          <w:lang w:val="en-US"/>
        </w:rPr>
      </w:pPr>
      <w:r>
        <w:t>7</w:t>
      </w:r>
      <w:r>
        <w:rPr>
          <w:snapToGrid w:val="0"/>
        </w:rPr>
        <w:t>.</w:t>
      </w:r>
      <w:r>
        <w:rPr>
          <w:snapToGrid w:val="0"/>
        </w:rPr>
        <w:tab/>
        <w:t>Manner of applying registered brands to horses</w:t>
      </w:r>
      <w:r>
        <w:tab/>
      </w:r>
      <w:r>
        <w:fldChar w:fldCharType="begin"/>
      </w:r>
      <w:r>
        <w:instrText xml:space="preserve"> PAGEREF _Toc290559692 \h </w:instrText>
      </w:r>
      <w:r>
        <w:fldChar w:fldCharType="separate"/>
      </w:r>
      <w:r>
        <w:t>7</w:t>
      </w:r>
      <w:r>
        <w:fldChar w:fldCharType="end"/>
      </w:r>
    </w:p>
    <w:p>
      <w:pPr>
        <w:pStyle w:val="TOC8"/>
        <w:rPr>
          <w:sz w:val="24"/>
          <w:szCs w:val="24"/>
          <w:lang w:val="en-US"/>
        </w:rPr>
      </w:pPr>
      <w:r>
        <w:t>7A</w:t>
      </w:r>
      <w:r>
        <w:rPr>
          <w:snapToGrid w:val="0"/>
        </w:rPr>
        <w:t>.</w:t>
      </w:r>
      <w:r>
        <w:rPr>
          <w:snapToGrid w:val="0"/>
        </w:rPr>
        <w:tab/>
        <w:t>Brands and marks for ostriches</w:t>
      </w:r>
      <w:r>
        <w:tab/>
      </w:r>
      <w:r>
        <w:fldChar w:fldCharType="begin"/>
      </w:r>
      <w:r>
        <w:instrText xml:space="preserve"> PAGEREF _Toc290559693 \h </w:instrText>
      </w:r>
      <w:r>
        <w:fldChar w:fldCharType="separate"/>
      </w:r>
      <w:r>
        <w:t>7</w:t>
      </w:r>
      <w:r>
        <w:fldChar w:fldCharType="end"/>
      </w:r>
    </w:p>
    <w:p>
      <w:pPr>
        <w:pStyle w:val="TOC8"/>
        <w:rPr>
          <w:sz w:val="24"/>
          <w:szCs w:val="24"/>
          <w:lang w:val="en-US"/>
        </w:rPr>
      </w:pPr>
      <w:r>
        <w:t>8</w:t>
      </w:r>
      <w:r>
        <w:rPr>
          <w:snapToGrid w:val="0"/>
        </w:rPr>
        <w:t>.</w:t>
      </w:r>
      <w:r>
        <w:rPr>
          <w:snapToGrid w:val="0"/>
        </w:rPr>
        <w:tab/>
        <w:t>Cullmarks and Breed Society marks etc.</w:t>
      </w:r>
      <w:r>
        <w:tab/>
      </w:r>
      <w:r>
        <w:fldChar w:fldCharType="begin"/>
      </w:r>
      <w:r>
        <w:instrText xml:space="preserve"> PAGEREF _Toc290559694 \h </w:instrText>
      </w:r>
      <w:r>
        <w:fldChar w:fldCharType="separate"/>
      </w:r>
      <w:r>
        <w:t>9</w:t>
      </w:r>
      <w:r>
        <w:fldChar w:fldCharType="end"/>
      </w:r>
    </w:p>
    <w:p>
      <w:pPr>
        <w:pStyle w:val="TOC8"/>
        <w:rPr>
          <w:sz w:val="24"/>
          <w:szCs w:val="24"/>
          <w:lang w:val="en-US"/>
        </w:rPr>
      </w:pPr>
      <w:r>
        <w:t>9</w:t>
      </w:r>
      <w:r>
        <w:rPr>
          <w:snapToGrid w:val="0"/>
        </w:rPr>
        <w:t>.</w:t>
      </w:r>
      <w:r>
        <w:rPr>
          <w:snapToGrid w:val="0"/>
        </w:rPr>
        <w:tab/>
        <w:t>Age marks for cattle, buffalo or deer</w:t>
      </w:r>
      <w:r>
        <w:tab/>
      </w:r>
      <w:r>
        <w:fldChar w:fldCharType="begin"/>
      </w:r>
      <w:r>
        <w:instrText xml:space="preserve"> PAGEREF _Toc290559695 \h </w:instrText>
      </w:r>
      <w:r>
        <w:fldChar w:fldCharType="separate"/>
      </w:r>
      <w:r>
        <w:t>10</w:t>
      </w:r>
      <w:r>
        <w:fldChar w:fldCharType="end"/>
      </w:r>
    </w:p>
    <w:p>
      <w:pPr>
        <w:pStyle w:val="TOC8"/>
        <w:rPr>
          <w:sz w:val="24"/>
          <w:szCs w:val="24"/>
          <w:lang w:val="en-US"/>
        </w:rPr>
      </w:pPr>
      <w:r>
        <w:t>9A</w:t>
      </w:r>
      <w:r>
        <w:rPr>
          <w:snapToGrid w:val="0"/>
        </w:rPr>
        <w:t>.</w:t>
      </w:r>
      <w:r>
        <w:rPr>
          <w:snapToGrid w:val="0"/>
        </w:rPr>
        <w:tab/>
        <w:t>Minimum sizes for certain brands and earmark symbols</w:t>
      </w:r>
      <w:r>
        <w:tab/>
      </w:r>
      <w:r>
        <w:fldChar w:fldCharType="begin"/>
      </w:r>
      <w:r>
        <w:instrText xml:space="preserve"> PAGEREF _Toc290559696 \h </w:instrText>
      </w:r>
      <w:r>
        <w:fldChar w:fldCharType="separate"/>
      </w:r>
      <w:r>
        <w:t>10</w:t>
      </w:r>
      <w:r>
        <w:fldChar w:fldCharType="end"/>
      </w:r>
    </w:p>
    <w:p>
      <w:pPr>
        <w:pStyle w:val="TOC8"/>
        <w:rPr>
          <w:sz w:val="24"/>
          <w:szCs w:val="24"/>
          <w:lang w:val="en-US"/>
        </w:rPr>
      </w:pPr>
      <w:r>
        <w:t>10</w:t>
      </w:r>
      <w:r>
        <w:rPr>
          <w:snapToGrid w:val="0"/>
        </w:rPr>
        <w:t>.</w:t>
      </w:r>
      <w:r>
        <w:rPr>
          <w:snapToGrid w:val="0"/>
        </w:rPr>
        <w:tab/>
        <w:t>Manner of applying brands to pigs</w:t>
      </w:r>
      <w:r>
        <w:tab/>
      </w:r>
      <w:r>
        <w:fldChar w:fldCharType="begin"/>
      </w:r>
      <w:r>
        <w:instrText xml:space="preserve"> PAGEREF _Toc290559697 \h </w:instrText>
      </w:r>
      <w:r>
        <w:fldChar w:fldCharType="separate"/>
      </w:r>
      <w:r>
        <w:t>11</w:t>
      </w:r>
      <w:r>
        <w:fldChar w:fldCharType="end"/>
      </w:r>
    </w:p>
    <w:p>
      <w:pPr>
        <w:pStyle w:val="TOC8"/>
        <w:rPr>
          <w:sz w:val="24"/>
          <w:szCs w:val="24"/>
          <w:lang w:val="en-US"/>
        </w:rPr>
      </w:pPr>
      <w:r>
        <w:t>11</w:t>
      </w:r>
      <w:r>
        <w:rPr>
          <w:snapToGrid w:val="0"/>
        </w:rPr>
        <w:t>.</w:t>
      </w:r>
      <w:r>
        <w:rPr>
          <w:snapToGrid w:val="0"/>
        </w:rPr>
        <w:tab/>
        <w:t>Branding of pigs registered with Australian Pig Society</w:t>
      </w:r>
      <w:r>
        <w:tab/>
      </w:r>
      <w:r>
        <w:fldChar w:fldCharType="begin"/>
      </w:r>
      <w:r>
        <w:instrText xml:space="preserve"> PAGEREF _Toc290559698 \h </w:instrText>
      </w:r>
      <w:r>
        <w:fldChar w:fldCharType="separate"/>
      </w:r>
      <w:r>
        <w:t>11</w:t>
      </w:r>
      <w:r>
        <w:fldChar w:fldCharType="end"/>
      </w:r>
    </w:p>
    <w:p>
      <w:pPr>
        <w:pStyle w:val="TOC8"/>
        <w:rPr>
          <w:sz w:val="24"/>
          <w:szCs w:val="24"/>
          <w:lang w:val="en-US"/>
        </w:rPr>
      </w:pPr>
      <w:r>
        <w:t>11A</w:t>
      </w:r>
      <w:r>
        <w:rPr>
          <w:snapToGrid w:val="0"/>
        </w:rPr>
        <w:t>.</w:t>
      </w:r>
      <w:r>
        <w:rPr>
          <w:snapToGrid w:val="0"/>
        </w:rPr>
        <w:tab/>
        <w:t>Prescribed details of identification to appear on waybills</w:t>
      </w:r>
      <w:r>
        <w:tab/>
      </w:r>
      <w:r>
        <w:fldChar w:fldCharType="begin"/>
      </w:r>
      <w:r>
        <w:instrText xml:space="preserve"> PAGEREF _Toc290559699 \h </w:instrText>
      </w:r>
      <w:r>
        <w:fldChar w:fldCharType="separate"/>
      </w:r>
      <w:r>
        <w:t>12</w:t>
      </w:r>
      <w:r>
        <w:fldChar w:fldCharType="end"/>
      </w:r>
    </w:p>
    <w:p>
      <w:pPr>
        <w:pStyle w:val="TOC8"/>
        <w:rPr>
          <w:sz w:val="24"/>
          <w:szCs w:val="24"/>
          <w:lang w:val="en-US"/>
        </w:rPr>
      </w:pPr>
      <w:r>
        <w:t>11B</w:t>
      </w:r>
      <w:r>
        <w:rPr>
          <w:snapToGrid w:val="0"/>
        </w:rPr>
        <w:t>.</w:t>
      </w:r>
      <w:r>
        <w:rPr>
          <w:snapToGrid w:val="0"/>
        </w:rPr>
        <w:tab/>
        <w:t>Prescribed stock — section 50</w:t>
      </w:r>
      <w:r>
        <w:tab/>
      </w:r>
      <w:r>
        <w:fldChar w:fldCharType="begin"/>
      </w:r>
      <w:r>
        <w:instrText xml:space="preserve"> PAGEREF _Toc290559700 \h </w:instrText>
      </w:r>
      <w:r>
        <w:fldChar w:fldCharType="separate"/>
      </w:r>
      <w:r>
        <w:t>12</w:t>
      </w:r>
      <w:r>
        <w:fldChar w:fldCharType="end"/>
      </w:r>
    </w:p>
    <w:p>
      <w:pPr>
        <w:pStyle w:val="TOC8"/>
        <w:rPr>
          <w:sz w:val="24"/>
          <w:szCs w:val="24"/>
          <w:lang w:val="en-US"/>
        </w:rPr>
      </w:pPr>
      <w:r>
        <w:t>11C</w:t>
      </w:r>
      <w:r>
        <w:rPr>
          <w:snapToGrid w:val="0"/>
        </w:rPr>
        <w:t>.</w:t>
      </w:r>
      <w:r>
        <w:rPr>
          <w:snapToGrid w:val="0"/>
        </w:rPr>
        <w:tab/>
        <w:t>Stock required to be marked — section 53B</w:t>
      </w:r>
      <w:r>
        <w:tab/>
      </w:r>
      <w:r>
        <w:fldChar w:fldCharType="begin"/>
      </w:r>
      <w:r>
        <w:instrText xml:space="preserve"> PAGEREF _Toc290559701 \h </w:instrText>
      </w:r>
      <w:r>
        <w:fldChar w:fldCharType="separate"/>
      </w:r>
      <w:r>
        <w:t>13</w:t>
      </w:r>
      <w:r>
        <w:fldChar w:fldCharType="end"/>
      </w:r>
    </w:p>
    <w:p>
      <w:pPr>
        <w:pStyle w:val="TOC8"/>
        <w:rPr>
          <w:sz w:val="24"/>
          <w:szCs w:val="24"/>
          <w:lang w:val="en-US"/>
        </w:rPr>
      </w:pPr>
      <w:r>
        <w:t>11D</w:t>
      </w:r>
      <w:r>
        <w:rPr>
          <w:snapToGrid w:val="0"/>
        </w:rPr>
        <w:t>.</w:t>
      </w:r>
      <w:r>
        <w:rPr>
          <w:snapToGrid w:val="0"/>
        </w:rPr>
        <w:tab/>
        <w:t>Prescribed stock — section 62(1a)(a)</w:t>
      </w:r>
      <w:r>
        <w:tab/>
      </w:r>
      <w:r>
        <w:fldChar w:fldCharType="begin"/>
      </w:r>
      <w:r>
        <w:instrText xml:space="preserve"> PAGEREF _Toc290559702 \h </w:instrText>
      </w:r>
      <w:r>
        <w:fldChar w:fldCharType="separate"/>
      </w:r>
      <w:r>
        <w:t>13</w:t>
      </w:r>
      <w:r>
        <w:fldChar w:fldCharType="end"/>
      </w:r>
    </w:p>
    <w:p>
      <w:pPr>
        <w:pStyle w:val="TOC8"/>
        <w:rPr>
          <w:sz w:val="24"/>
          <w:szCs w:val="24"/>
          <w:lang w:val="en-US"/>
        </w:rPr>
      </w:pPr>
      <w:r>
        <w:t>12</w:t>
      </w:r>
      <w:r>
        <w:rPr>
          <w:snapToGrid w:val="0"/>
        </w:rPr>
        <w:t>.</w:t>
      </w:r>
      <w:r>
        <w:rPr>
          <w:snapToGrid w:val="0"/>
        </w:rPr>
        <w:tab/>
        <w:t>The register</w:t>
      </w:r>
      <w:r>
        <w:tab/>
      </w:r>
      <w:r>
        <w:fldChar w:fldCharType="begin"/>
      </w:r>
      <w:r>
        <w:instrText xml:space="preserve"> PAGEREF _Toc290559703 \h </w:instrText>
      </w:r>
      <w:r>
        <w:fldChar w:fldCharType="separate"/>
      </w:r>
      <w:r>
        <w:t>13</w:t>
      </w:r>
      <w:r>
        <w:fldChar w:fldCharType="end"/>
      </w:r>
    </w:p>
    <w:p>
      <w:pPr>
        <w:pStyle w:val="TOC8"/>
        <w:rPr>
          <w:sz w:val="24"/>
          <w:szCs w:val="24"/>
          <w:lang w:val="en-US"/>
        </w:rPr>
      </w:pPr>
      <w:r>
        <w:t>13</w:t>
      </w:r>
      <w:r>
        <w:rPr>
          <w:snapToGrid w:val="0"/>
        </w:rPr>
        <w:t>.</w:t>
      </w:r>
      <w:r>
        <w:rPr>
          <w:snapToGrid w:val="0"/>
        </w:rPr>
        <w:tab/>
        <w:t>Fee for information in the register</w:t>
      </w:r>
      <w:r>
        <w:tab/>
      </w:r>
      <w:r>
        <w:fldChar w:fldCharType="begin"/>
      </w:r>
      <w:r>
        <w:instrText xml:space="preserve"> PAGEREF _Toc290559704 \h </w:instrText>
      </w:r>
      <w:r>
        <w:fldChar w:fldCharType="separate"/>
      </w:r>
      <w:r>
        <w:t>14</w:t>
      </w:r>
      <w:r>
        <w:fldChar w:fldCharType="end"/>
      </w:r>
    </w:p>
    <w:p>
      <w:pPr>
        <w:pStyle w:val="TOC8"/>
        <w:rPr>
          <w:sz w:val="24"/>
          <w:szCs w:val="24"/>
          <w:lang w:val="en-US"/>
        </w:rPr>
      </w:pPr>
      <w:r>
        <w:t>14</w:t>
      </w:r>
      <w:r>
        <w:rPr>
          <w:snapToGrid w:val="0"/>
        </w:rPr>
        <w:t>.</w:t>
      </w:r>
      <w:r>
        <w:rPr>
          <w:snapToGrid w:val="0"/>
        </w:rPr>
        <w:tab/>
        <w:t>Applications for brands</w:t>
      </w:r>
      <w:r>
        <w:tab/>
      </w:r>
      <w:r>
        <w:fldChar w:fldCharType="begin"/>
      </w:r>
      <w:r>
        <w:instrText xml:space="preserve"> PAGEREF _Toc290559705 \h </w:instrText>
      </w:r>
      <w:r>
        <w:fldChar w:fldCharType="separate"/>
      </w:r>
      <w:r>
        <w:t>14</w:t>
      </w:r>
      <w:r>
        <w:fldChar w:fldCharType="end"/>
      </w:r>
    </w:p>
    <w:p>
      <w:pPr>
        <w:pStyle w:val="TOC8"/>
        <w:rPr>
          <w:sz w:val="24"/>
          <w:szCs w:val="24"/>
          <w:lang w:val="en-US"/>
        </w:rPr>
      </w:pPr>
      <w:r>
        <w:t>15</w:t>
      </w:r>
      <w:r>
        <w:rPr>
          <w:snapToGrid w:val="0"/>
        </w:rPr>
        <w:t>.</w:t>
      </w:r>
      <w:r>
        <w:rPr>
          <w:snapToGrid w:val="0"/>
        </w:rPr>
        <w:tab/>
        <w:t>Form of certificate of registration</w:t>
      </w:r>
      <w:r>
        <w:tab/>
      </w:r>
      <w:r>
        <w:fldChar w:fldCharType="begin"/>
      </w:r>
      <w:r>
        <w:instrText xml:space="preserve"> PAGEREF _Toc290559706 \h </w:instrText>
      </w:r>
      <w:r>
        <w:fldChar w:fldCharType="separate"/>
      </w:r>
      <w:r>
        <w:t>14</w:t>
      </w:r>
      <w:r>
        <w:fldChar w:fldCharType="end"/>
      </w:r>
    </w:p>
    <w:p>
      <w:pPr>
        <w:pStyle w:val="TOC8"/>
        <w:rPr>
          <w:sz w:val="24"/>
          <w:szCs w:val="24"/>
          <w:lang w:val="en-US"/>
        </w:rPr>
      </w:pPr>
      <w:r>
        <w:t>16</w:t>
      </w:r>
      <w:r>
        <w:rPr>
          <w:snapToGrid w:val="0"/>
        </w:rPr>
        <w:t>.</w:t>
      </w:r>
      <w:r>
        <w:rPr>
          <w:snapToGrid w:val="0"/>
        </w:rPr>
        <w:tab/>
        <w:t>Fee for duplicate certificate</w:t>
      </w:r>
      <w:r>
        <w:tab/>
      </w:r>
      <w:r>
        <w:fldChar w:fldCharType="begin"/>
      </w:r>
      <w:r>
        <w:instrText xml:space="preserve"> PAGEREF _Toc290559707 \h </w:instrText>
      </w:r>
      <w:r>
        <w:fldChar w:fldCharType="separate"/>
      </w:r>
      <w:r>
        <w:t>14</w:t>
      </w:r>
      <w:r>
        <w:fldChar w:fldCharType="end"/>
      </w:r>
    </w:p>
    <w:p>
      <w:pPr>
        <w:pStyle w:val="TOC8"/>
        <w:rPr>
          <w:sz w:val="24"/>
          <w:szCs w:val="24"/>
          <w:lang w:val="en-US"/>
        </w:rPr>
      </w:pPr>
      <w:r>
        <w:t>17</w:t>
      </w:r>
      <w:r>
        <w:rPr>
          <w:snapToGrid w:val="0"/>
        </w:rPr>
        <w:t>.</w:t>
      </w:r>
      <w:r>
        <w:rPr>
          <w:snapToGrid w:val="0"/>
        </w:rPr>
        <w:tab/>
        <w:t>Form of memorandum of transfer of right to registration of brand</w:t>
      </w:r>
      <w:r>
        <w:tab/>
      </w:r>
      <w:r>
        <w:fldChar w:fldCharType="begin"/>
      </w:r>
      <w:r>
        <w:instrText xml:space="preserve"> PAGEREF _Toc290559708 \h </w:instrText>
      </w:r>
      <w:r>
        <w:fldChar w:fldCharType="separate"/>
      </w:r>
      <w:r>
        <w:t>15</w:t>
      </w:r>
      <w:r>
        <w:fldChar w:fldCharType="end"/>
      </w:r>
    </w:p>
    <w:p>
      <w:pPr>
        <w:pStyle w:val="TOC8"/>
        <w:rPr>
          <w:sz w:val="24"/>
          <w:szCs w:val="24"/>
          <w:lang w:val="en-US"/>
        </w:rPr>
      </w:pPr>
      <w:r>
        <w:t>17A</w:t>
      </w:r>
      <w:r>
        <w:rPr>
          <w:snapToGrid w:val="0"/>
        </w:rPr>
        <w:t>.</w:t>
      </w:r>
      <w:r>
        <w:rPr>
          <w:snapToGrid w:val="0"/>
        </w:rPr>
        <w:tab/>
        <w:t>Cancellation and joint owners</w:t>
      </w:r>
      <w:r>
        <w:tab/>
      </w:r>
      <w:r>
        <w:fldChar w:fldCharType="begin"/>
      </w:r>
      <w:r>
        <w:instrText xml:space="preserve"> PAGEREF _Toc290559709 \h </w:instrText>
      </w:r>
      <w:r>
        <w:fldChar w:fldCharType="separate"/>
      </w:r>
      <w:r>
        <w:t>15</w:t>
      </w:r>
      <w:r>
        <w:fldChar w:fldCharType="end"/>
      </w:r>
    </w:p>
    <w:p>
      <w:pPr>
        <w:pStyle w:val="TOC8"/>
        <w:rPr>
          <w:sz w:val="24"/>
          <w:szCs w:val="24"/>
          <w:lang w:val="en-US"/>
        </w:rPr>
      </w:pPr>
      <w:r>
        <w:t>18</w:t>
      </w:r>
      <w:r>
        <w:rPr>
          <w:snapToGrid w:val="0"/>
        </w:rPr>
        <w:t>.</w:t>
      </w:r>
      <w:r>
        <w:rPr>
          <w:snapToGrid w:val="0"/>
        </w:rPr>
        <w:tab/>
        <w:t>Application for re</w:t>
      </w:r>
      <w:r>
        <w:rPr>
          <w:snapToGrid w:val="0"/>
        </w:rPr>
        <w:noBreakHyphen/>
        <w:t>registration</w:t>
      </w:r>
      <w:r>
        <w:tab/>
      </w:r>
      <w:r>
        <w:fldChar w:fldCharType="begin"/>
      </w:r>
      <w:r>
        <w:instrText xml:space="preserve"> PAGEREF _Toc290559710 \h </w:instrText>
      </w:r>
      <w:r>
        <w:fldChar w:fldCharType="separate"/>
      </w:r>
      <w:r>
        <w:t>15</w:t>
      </w:r>
      <w:r>
        <w:fldChar w:fldCharType="end"/>
      </w:r>
    </w:p>
    <w:p>
      <w:pPr>
        <w:pStyle w:val="TOC8"/>
        <w:rPr>
          <w:sz w:val="24"/>
          <w:szCs w:val="24"/>
          <w:lang w:val="en-US"/>
        </w:rPr>
      </w:pPr>
      <w:r>
        <w:t>19</w:t>
      </w:r>
      <w:r>
        <w:rPr>
          <w:snapToGrid w:val="0"/>
        </w:rPr>
        <w:t>.</w:t>
      </w:r>
      <w:r>
        <w:rPr>
          <w:snapToGrid w:val="0"/>
        </w:rPr>
        <w:tab/>
        <w:t>Inspector may grant permit for use of branding or earmarking equipment</w:t>
      </w:r>
      <w:r>
        <w:tab/>
      </w:r>
      <w:r>
        <w:fldChar w:fldCharType="begin"/>
      </w:r>
      <w:r>
        <w:instrText xml:space="preserve"> PAGEREF _Toc290559711 \h </w:instrText>
      </w:r>
      <w:r>
        <w:fldChar w:fldCharType="separate"/>
      </w:r>
      <w:r>
        <w:t>16</w:t>
      </w:r>
      <w:r>
        <w:fldChar w:fldCharType="end"/>
      </w:r>
    </w:p>
    <w:p>
      <w:pPr>
        <w:pStyle w:val="TOC8"/>
        <w:rPr>
          <w:sz w:val="24"/>
          <w:szCs w:val="24"/>
          <w:lang w:val="en-US"/>
        </w:rPr>
      </w:pPr>
      <w:r>
        <w:t>19A</w:t>
      </w:r>
      <w:r>
        <w:rPr>
          <w:snapToGrid w:val="0"/>
        </w:rPr>
        <w:t>.</w:t>
      </w:r>
      <w:r>
        <w:rPr>
          <w:snapToGrid w:val="0"/>
        </w:rPr>
        <w:tab/>
        <w:t>Inspector or Police officer to give written notice of requirement</w:t>
      </w:r>
      <w:r>
        <w:tab/>
      </w:r>
      <w:r>
        <w:fldChar w:fldCharType="begin"/>
      </w:r>
      <w:r>
        <w:instrText xml:space="preserve"> PAGEREF _Toc290559712 \h </w:instrText>
      </w:r>
      <w:r>
        <w:fldChar w:fldCharType="separate"/>
      </w:r>
      <w:r>
        <w:t>16</w:t>
      </w:r>
      <w:r>
        <w:fldChar w:fldCharType="end"/>
      </w:r>
    </w:p>
    <w:p>
      <w:pPr>
        <w:pStyle w:val="TOC8"/>
        <w:rPr>
          <w:sz w:val="24"/>
          <w:szCs w:val="24"/>
          <w:lang w:val="en-US"/>
        </w:rPr>
      </w:pPr>
      <w:r>
        <w:t>19B.</w:t>
      </w:r>
      <w:r>
        <w:tab/>
        <w:t>Inspector or Police officer may ask for name and address</w:t>
      </w:r>
      <w:r>
        <w:tab/>
      </w:r>
      <w:r>
        <w:fldChar w:fldCharType="begin"/>
      </w:r>
      <w:r>
        <w:instrText xml:space="preserve"> PAGEREF _Toc290559713 \h </w:instrText>
      </w:r>
      <w:r>
        <w:fldChar w:fldCharType="separate"/>
      </w:r>
      <w:r>
        <w:t>17</w:t>
      </w:r>
      <w:r>
        <w:fldChar w:fldCharType="end"/>
      </w:r>
    </w:p>
    <w:p>
      <w:pPr>
        <w:pStyle w:val="TOC8"/>
        <w:rPr>
          <w:sz w:val="24"/>
          <w:szCs w:val="24"/>
          <w:lang w:val="en-US"/>
        </w:rPr>
      </w:pPr>
      <w:r>
        <w:t>20</w:t>
      </w:r>
      <w:r>
        <w:rPr>
          <w:snapToGrid w:val="0"/>
        </w:rPr>
        <w:t>.</w:t>
      </w:r>
      <w:r>
        <w:rPr>
          <w:snapToGrid w:val="0"/>
        </w:rPr>
        <w:tab/>
        <w:t>Form of waybill, and prescribed stock</w:t>
      </w:r>
      <w:r>
        <w:tab/>
      </w:r>
      <w:r>
        <w:fldChar w:fldCharType="begin"/>
      </w:r>
      <w:r>
        <w:instrText xml:space="preserve"> PAGEREF _Toc290559714 \h </w:instrText>
      </w:r>
      <w:r>
        <w:fldChar w:fldCharType="separate"/>
      </w:r>
      <w:r>
        <w:t>17</w:t>
      </w:r>
      <w:r>
        <w:fldChar w:fldCharType="end"/>
      </w:r>
    </w:p>
    <w:p>
      <w:pPr>
        <w:pStyle w:val="TOC8"/>
        <w:rPr>
          <w:sz w:val="24"/>
          <w:szCs w:val="24"/>
          <w:lang w:val="en-US"/>
        </w:rPr>
      </w:pPr>
      <w:r>
        <w:t>20A</w:t>
      </w:r>
      <w:r>
        <w:rPr>
          <w:snapToGrid w:val="0"/>
        </w:rPr>
        <w:t>.</w:t>
      </w:r>
      <w:r>
        <w:rPr>
          <w:snapToGrid w:val="0"/>
        </w:rPr>
        <w:tab/>
        <w:t>Identification of imported stock</w:t>
      </w:r>
      <w:r>
        <w:tab/>
      </w:r>
      <w:r>
        <w:fldChar w:fldCharType="begin"/>
      </w:r>
      <w:r>
        <w:instrText xml:space="preserve"> PAGEREF _Toc290559715 \h </w:instrText>
      </w:r>
      <w:r>
        <w:fldChar w:fldCharType="separate"/>
      </w:r>
      <w:r>
        <w:t>19</w:t>
      </w:r>
      <w:r>
        <w:fldChar w:fldCharType="end"/>
      </w:r>
    </w:p>
    <w:p>
      <w:pPr>
        <w:pStyle w:val="TOC8"/>
        <w:rPr>
          <w:sz w:val="24"/>
          <w:szCs w:val="24"/>
          <w:lang w:val="en-US"/>
        </w:rPr>
      </w:pPr>
      <w:r>
        <w:t>20B</w:t>
      </w:r>
      <w:r>
        <w:rPr>
          <w:snapToGrid w:val="0"/>
        </w:rPr>
        <w:t>.</w:t>
      </w:r>
      <w:r>
        <w:rPr>
          <w:snapToGrid w:val="0"/>
        </w:rPr>
        <w:tab/>
        <w:t>Removal of stock from run without waybill or other document</w:t>
      </w:r>
      <w:r>
        <w:tab/>
      </w:r>
      <w:r>
        <w:fldChar w:fldCharType="begin"/>
      </w:r>
      <w:r>
        <w:instrText xml:space="preserve"> PAGEREF _Toc290559716 \h </w:instrText>
      </w:r>
      <w:r>
        <w:fldChar w:fldCharType="separate"/>
      </w:r>
      <w:r>
        <w:t>19</w:t>
      </w:r>
      <w:r>
        <w:fldChar w:fldCharType="end"/>
      </w:r>
    </w:p>
    <w:p>
      <w:pPr>
        <w:pStyle w:val="TOC8"/>
        <w:rPr>
          <w:sz w:val="24"/>
          <w:szCs w:val="24"/>
          <w:lang w:val="en-US"/>
        </w:rPr>
      </w:pPr>
      <w:r>
        <w:t>20C.</w:t>
      </w:r>
      <w:r>
        <w:tab/>
        <w:t>Describing multiple brands and earmarks on waybill</w:t>
      </w:r>
      <w:r>
        <w:tab/>
      </w:r>
      <w:r>
        <w:fldChar w:fldCharType="begin"/>
      </w:r>
      <w:r>
        <w:instrText xml:space="preserve"> PAGEREF _Toc290559717 \h </w:instrText>
      </w:r>
      <w:r>
        <w:fldChar w:fldCharType="separate"/>
      </w:r>
      <w:r>
        <w:t>20</w:t>
      </w:r>
      <w:r>
        <w:fldChar w:fldCharType="end"/>
      </w:r>
    </w:p>
    <w:p>
      <w:pPr>
        <w:pStyle w:val="TOC8"/>
        <w:rPr>
          <w:sz w:val="24"/>
          <w:szCs w:val="24"/>
          <w:lang w:val="en-US"/>
        </w:rPr>
      </w:pPr>
      <w:r>
        <w:t>20D</w:t>
      </w:r>
      <w:r>
        <w:rPr>
          <w:snapToGrid w:val="0"/>
        </w:rPr>
        <w:t>.</w:t>
      </w:r>
      <w:r>
        <w:rPr>
          <w:snapToGrid w:val="0"/>
        </w:rPr>
        <w:tab/>
        <w:t>Persons who are to sign certain documents</w:t>
      </w:r>
      <w:r>
        <w:tab/>
      </w:r>
      <w:r>
        <w:fldChar w:fldCharType="begin"/>
      </w:r>
      <w:r>
        <w:instrText xml:space="preserve"> PAGEREF _Toc290559718 \h </w:instrText>
      </w:r>
      <w:r>
        <w:fldChar w:fldCharType="separate"/>
      </w:r>
      <w:r>
        <w:t>21</w:t>
      </w:r>
      <w:r>
        <w:fldChar w:fldCharType="end"/>
      </w:r>
    </w:p>
    <w:p>
      <w:pPr>
        <w:pStyle w:val="TOC8"/>
        <w:rPr>
          <w:sz w:val="24"/>
          <w:szCs w:val="24"/>
          <w:lang w:val="en-US"/>
        </w:rPr>
      </w:pPr>
      <w:r>
        <w:t>20E</w:t>
      </w:r>
      <w:r>
        <w:rPr>
          <w:snapToGrid w:val="0"/>
        </w:rPr>
        <w:t>.</w:t>
      </w:r>
      <w:r>
        <w:rPr>
          <w:snapToGrid w:val="0"/>
        </w:rPr>
        <w:tab/>
        <w:t>Certain documents to accompany stock when moved</w:t>
      </w:r>
      <w:r>
        <w:tab/>
      </w:r>
      <w:r>
        <w:fldChar w:fldCharType="begin"/>
      </w:r>
      <w:r>
        <w:instrText xml:space="preserve"> PAGEREF _Toc290559719 \h </w:instrText>
      </w:r>
      <w:r>
        <w:fldChar w:fldCharType="separate"/>
      </w:r>
      <w:r>
        <w:t>22</w:t>
      </w:r>
      <w:r>
        <w:fldChar w:fldCharType="end"/>
      </w:r>
    </w:p>
    <w:p>
      <w:pPr>
        <w:pStyle w:val="TOC8"/>
        <w:rPr>
          <w:sz w:val="24"/>
          <w:szCs w:val="24"/>
          <w:lang w:val="en-US"/>
        </w:rPr>
      </w:pPr>
      <w:r>
        <w:t>20F</w:t>
      </w:r>
      <w:r>
        <w:rPr>
          <w:snapToGrid w:val="0"/>
        </w:rPr>
        <w:t>.</w:t>
      </w:r>
      <w:r>
        <w:rPr>
          <w:snapToGrid w:val="0"/>
        </w:rPr>
        <w:tab/>
        <w:t>Certain documents to accompany stock when moved by rail</w:t>
      </w:r>
      <w:r>
        <w:tab/>
      </w:r>
      <w:r>
        <w:fldChar w:fldCharType="begin"/>
      </w:r>
      <w:r>
        <w:instrText xml:space="preserve"> PAGEREF _Toc290559720 \h </w:instrText>
      </w:r>
      <w:r>
        <w:fldChar w:fldCharType="separate"/>
      </w:r>
      <w:r>
        <w:t>22</w:t>
      </w:r>
      <w:r>
        <w:fldChar w:fldCharType="end"/>
      </w:r>
    </w:p>
    <w:p>
      <w:pPr>
        <w:pStyle w:val="TOC8"/>
        <w:rPr>
          <w:sz w:val="24"/>
          <w:szCs w:val="24"/>
          <w:lang w:val="en-US"/>
        </w:rPr>
      </w:pPr>
      <w:r>
        <w:t>20G</w:t>
      </w:r>
      <w:r>
        <w:rPr>
          <w:snapToGrid w:val="0"/>
        </w:rPr>
        <w:t>.</w:t>
      </w:r>
      <w:r>
        <w:rPr>
          <w:snapToGrid w:val="0"/>
        </w:rPr>
        <w:tab/>
        <w:t>Certain documents to be produced if required by Inspector or Police officer</w:t>
      </w:r>
      <w:r>
        <w:tab/>
      </w:r>
      <w:r>
        <w:fldChar w:fldCharType="begin"/>
      </w:r>
      <w:r>
        <w:instrText xml:space="preserve"> PAGEREF _Toc290559721 \h </w:instrText>
      </w:r>
      <w:r>
        <w:fldChar w:fldCharType="separate"/>
      </w:r>
      <w:r>
        <w:t>22</w:t>
      </w:r>
      <w:r>
        <w:fldChar w:fldCharType="end"/>
      </w:r>
    </w:p>
    <w:p>
      <w:pPr>
        <w:pStyle w:val="TOC8"/>
        <w:rPr>
          <w:sz w:val="24"/>
          <w:szCs w:val="24"/>
          <w:lang w:val="en-US"/>
        </w:rPr>
      </w:pPr>
      <w:r>
        <w:t>20H</w:t>
      </w:r>
      <w:r>
        <w:rPr>
          <w:snapToGrid w:val="0"/>
        </w:rPr>
        <w:t>.</w:t>
      </w:r>
      <w:r>
        <w:rPr>
          <w:snapToGrid w:val="0"/>
        </w:rPr>
        <w:tab/>
        <w:t>Application for and issue of identification exemption certificates</w:t>
      </w:r>
      <w:r>
        <w:tab/>
      </w:r>
      <w:r>
        <w:fldChar w:fldCharType="begin"/>
      </w:r>
      <w:r>
        <w:instrText xml:space="preserve"> PAGEREF _Toc290559722 \h </w:instrText>
      </w:r>
      <w:r>
        <w:fldChar w:fldCharType="separate"/>
      </w:r>
      <w:r>
        <w:t>23</w:t>
      </w:r>
      <w:r>
        <w:fldChar w:fldCharType="end"/>
      </w:r>
    </w:p>
    <w:p>
      <w:pPr>
        <w:pStyle w:val="TOC8"/>
        <w:rPr>
          <w:sz w:val="24"/>
          <w:szCs w:val="24"/>
          <w:lang w:val="en-US"/>
        </w:rPr>
      </w:pPr>
      <w:r>
        <w:t>20I</w:t>
      </w:r>
      <w:r>
        <w:rPr>
          <w:snapToGrid w:val="0"/>
        </w:rPr>
        <w:t>.</w:t>
      </w:r>
      <w:r>
        <w:rPr>
          <w:snapToGrid w:val="0"/>
        </w:rPr>
        <w:tab/>
        <w:t>Movement permits</w:t>
      </w:r>
      <w:r>
        <w:tab/>
      </w:r>
      <w:r>
        <w:fldChar w:fldCharType="begin"/>
      </w:r>
      <w:r>
        <w:instrText xml:space="preserve"> PAGEREF _Toc290559723 \h </w:instrText>
      </w:r>
      <w:r>
        <w:fldChar w:fldCharType="separate"/>
      </w:r>
      <w:r>
        <w:t>23</w:t>
      </w:r>
      <w:r>
        <w:fldChar w:fldCharType="end"/>
      </w:r>
    </w:p>
    <w:p>
      <w:pPr>
        <w:pStyle w:val="TOC8"/>
        <w:rPr>
          <w:sz w:val="24"/>
          <w:szCs w:val="24"/>
          <w:lang w:val="en-US"/>
        </w:rPr>
      </w:pPr>
      <w:r>
        <w:t>20J</w:t>
      </w:r>
      <w:r>
        <w:rPr>
          <w:snapToGrid w:val="0"/>
        </w:rPr>
        <w:t>.</w:t>
      </w:r>
      <w:r>
        <w:rPr>
          <w:snapToGrid w:val="0"/>
        </w:rPr>
        <w:tab/>
        <w:t>Prescribed countries — section 49A</w:t>
      </w:r>
      <w:r>
        <w:tab/>
      </w:r>
      <w:r>
        <w:fldChar w:fldCharType="begin"/>
      </w:r>
      <w:r>
        <w:instrText xml:space="preserve"> PAGEREF _Toc290559724 \h </w:instrText>
      </w:r>
      <w:r>
        <w:fldChar w:fldCharType="separate"/>
      </w:r>
      <w:r>
        <w:t>24</w:t>
      </w:r>
      <w:r>
        <w:fldChar w:fldCharType="end"/>
      </w:r>
    </w:p>
    <w:p>
      <w:pPr>
        <w:pStyle w:val="TOC8"/>
        <w:rPr>
          <w:sz w:val="24"/>
          <w:szCs w:val="24"/>
          <w:lang w:val="en-US"/>
        </w:rPr>
      </w:pPr>
      <w:r>
        <w:t>21</w:t>
      </w:r>
      <w:r>
        <w:rPr>
          <w:snapToGrid w:val="0"/>
        </w:rPr>
        <w:t>.</w:t>
      </w:r>
      <w:r>
        <w:rPr>
          <w:snapToGrid w:val="0"/>
        </w:rPr>
        <w:tab/>
        <w:t>Offences and penalty</w:t>
      </w:r>
      <w:r>
        <w:tab/>
      </w:r>
      <w:r>
        <w:fldChar w:fldCharType="begin"/>
      </w:r>
      <w:r>
        <w:instrText xml:space="preserve"> PAGEREF _Toc290559725 \h </w:instrText>
      </w:r>
      <w:r>
        <w:fldChar w:fldCharType="separate"/>
      </w:r>
      <w:r>
        <w:t>24</w:t>
      </w:r>
      <w:r>
        <w:fldChar w:fldCharType="end"/>
      </w:r>
    </w:p>
    <w:p>
      <w:pPr>
        <w:pStyle w:val="TOC2"/>
        <w:tabs>
          <w:tab w:val="right" w:leader="dot" w:pos="7086"/>
        </w:tabs>
        <w:rPr>
          <w:b w:val="0"/>
          <w:sz w:val="24"/>
          <w:szCs w:val="24"/>
          <w:lang w:val="en-US"/>
        </w:rPr>
      </w:pPr>
      <w:r>
        <w:t>Schedule 1 — Form of the register</w:t>
      </w:r>
    </w:p>
    <w:p>
      <w:pPr>
        <w:pStyle w:val="TOC2"/>
        <w:tabs>
          <w:tab w:val="right" w:leader="dot" w:pos="7086"/>
        </w:tabs>
        <w:rPr>
          <w:b w:val="0"/>
          <w:sz w:val="24"/>
          <w:szCs w:val="24"/>
          <w:lang w:val="en-US"/>
        </w:rPr>
      </w:pPr>
      <w:r>
        <w:t>Schedule 2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_Toc290559729 \h </w:instrText>
      </w:r>
      <w:r>
        <w:fldChar w:fldCharType="separate"/>
      </w:r>
      <w:r>
        <w:t>28</w:t>
      </w:r>
      <w:r>
        <w:fldChar w:fldCharType="end"/>
      </w:r>
    </w:p>
    <w:p>
      <w:pPr>
        <w:pStyle w:val="TOC2"/>
        <w:tabs>
          <w:tab w:val="right" w:leader="dot" w:pos="7086"/>
        </w:tabs>
        <w:rPr>
          <w:b w:val="0"/>
          <w:sz w:val="24"/>
          <w:szCs w:val="24"/>
          <w:lang w:val="en-US"/>
        </w:rPr>
      </w:pPr>
      <w:r>
        <w:t>Defined Terms</w:t>
      </w:r>
    </w:p>
    <w:p>
      <w:pPr>
        <w:pStyle w:val="TOC4"/>
        <w:spacing w:before="0" w:after="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1" w:name="_Toc457016667"/>
      <w:bookmarkStart w:id="2" w:name="_Toc518791828"/>
      <w:bookmarkStart w:id="3" w:name="_Toc290559685"/>
      <w:r>
        <w:rPr>
          <w:rStyle w:val="CharSectno"/>
        </w:rPr>
        <w:t>1</w:t>
      </w:r>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Heading5"/>
      </w:pPr>
      <w:bookmarkStart w:id="4" w:name="_Toc290559686"/>
      <w:r>
        <w:rPr>
          <w:rStyle w:val="CharSectno"/>
        </w:rPr>
        <w:t>2</w:t>
      </w:r>
      <w:r>
        <w:t>.</w:t>
      </w:r>
      <w:r>
        <w:tab/>
        <w:t>Terms used</w:t>
      </w:r>
      <w:bookmarkEnd w:id="4"/>
    </w:p>
    <w:p>
      <w:pPr>
        <w:pStyle w:val="Subsection"/>
      </w:pPr>
      <w:r>
        <w:tab/>
      </w:r>
      <w:r>
        <w:tab/>
        <w:t xml:space="preserve">In these regulations — </w:t>
      </w:r>
    </w:p>
    <w:p>
      <w:pPr>
        <w:pStyle w:val="Defstart"/>
      </w:pPr>
      <w:r>
        <w:tab/>
      </w:r>
      <w:r>
        <w:rPr>
          <w:rStyle w:val="CharDefText"/>
        </w:rPr>
        <w:t>property</w:t>
      </w:r>
      <w:r>
        <w:t xml:space="preserve"> means a parcel, or a group of parcels, of land that is operated as a farming unit;</w:t>
      </w:r>
    </w:p>
    <w:p>
      <w:pPr>
        <w:pStyle w:val="Defstart"/>
      </w:pPr>
      <w:r>
        <w:tab/>
      </w:r>
      <w:r>
        <w:rPr>
          <w:rStyle w:val="CharDefText"/>
        </w:rPr>
        <w:t xml:space="preserve">property identification code </w:t>
      </w:r>
      <w:r>
        <w:t>means a code issued by the Registrar to the owner of a brand and specified in the register to identify a property on which the brand may be used.</w:t>
      </w:r>
    </w:p>
    <w:p>
      <w:pPr>
        <w:pStyle w:val="Footnotesection"/>
      </w:pPr>
      <w:r>
        <w:tab/>
        <w:t>[Regulation 2 inserted in Gazette 15 Apr 2011 p. 1412-13.]</w:t>
      </w:r>
    </w:p>
    <w:p>
      <w:pPr>
        <w:pStyle w:val="Heading5"/>
        <w:rPr>
          <w:snapToGrid w:val="0"/>
        </w:rPr>
      </w:pPr>
      <w:bookmarkStart w:id="5" w:name="_Toc457016668"/>
      <w:bookmarkStart w:id="6" w:name="_Toc518791829"/>
      <w:bookmarkStart w:id="7" w:name="_Toc290559687"/>
      <w:r>
        <w:rPr>
          <w:rStyle w:val="CharSectno"/>
        </w:rPr>
        <w:t>3</w:t>
      </w:r>
      <w:r>
        <w:rPr>
          <w:snapToGrid w:val="0"/>
        </w:rPr>
        <w:t>.</w:t>
      </w:r>
      <w:r>
        <w:rPr>
          <w:snapToGrid w:val="0"/>
        </w:rPr>
        <w:tab/>
        <w:t>Persons who may use registered brands or earmarks</w:t>
      </w:r>
      <w:bookmarkEnd w:id="5"/>
      <w:bookmarkEnd w:id="6"/>
      <w:bookmarkEnd w:id="7"/>
    </w:p>
    <w:p>
      <w:pPr>
        <w:pStyle w:val="Subsection"/>
        <w:rPr>
          <w:snapToGrid w:val="0"/>
        </w:rPr>
      </w:pPr>
      <w:r>
        <w:rPr>
          <w:snapToGrid w:val="0"/>
        </w:rPr>
        <w:tab/>
        <w:t>(1)</w:t>
      </w:r>
      <w:r>
        <w:rPr>
          <w:snapToGrid w:val="0"/>
        </w:rPr>
        <w:tab/>
        <w:t>For the purposes of section 8(3) of the Act —</w:t>
      </w:r>
    </w:p>
    <w:p>
      <w:pPr>
        <w:pStyle w:val="Indenta"/>
        <w:rPr>
          <w:snapToGrid w:val="0"/>
        </w:rPr>
      </w:pPr>
      <w:r>
        <w:rPr>
          <w:snapToGrid w:val="0"/>
        </w:rPr>
        <w:tab/>
        <w:t>(a)</w:t>
      </w:r>
      <w:r>
        <w:rPr>
          <w:snapToGrid w:val="0"/>
        </w:rPr>
        <w:tab/>
        <w:t>the persons who may use a brand or earmark registered by the Registrar are —</w:t>
      </w:r>
    </w:p>
    <w:p>
      <w:pPr>
        <w:pStyle w:val="Indenti"/>
        <w:rPr>
          <w:snapToGrid w:val="0"/>
        </w:rPr>
      </w:pPr>
      <w:r>
        <w:rPr>
          <w:snapToGrid w:val="0"/>
        </w:rPr>
        <w:tab/>
        <w:t>(i)</w:t>
      </w:r>
      <w:r>
        <w:rPr>
          <w:snapToGrid w:val="0"/>
        </w:rPr>
        <w:tab/>
        <w:t>veterinary officers and stock inspectors employed by the Department of Agriculture;</w:t>
      </w:r>
    </w:p>
    <w:p>
      <w:pPr>
        <w:pStyle w:val="Indenti"/>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circumstances in which a brand or earmark referred to in section 8(3) of the Act may be used are —</w:t>
      </w:r>
    </w:p>
    <w:p>
      <w:pPr>
        <w:pStyle w:val="Indenti"/>
        <w:rPr>
          <w:snapToGrid w:val="0"/>
        </w:rPr>
      </w:pPr>
      <w:r>
        <w:rPr>
          <w:snapToGrid w:val="0"/>
        </w:rPr>
        <w:tab/>
        <w:t>(i)</w:t>
      </w:r>
      <w:r>
        <w:rPr>
          <w:snapToGrid w:val="0"/>
        </w:rPr>
        <w:tab/>
        <w:t>any circumstances relating to the monitoring, control or eradication of stock diseases; and</w:t>
      </w:r>
    </w:p>
    <w:p>
      <w:pPr>
        <w:pStyle w:val="Indenti"/>
        <w:rPr>
          <w:snapToGrid w:val="0"/>
        </w:rPr>
      </w:pPr>
      <w:r>
        <w:rPr>
          <w:snapToGrid w:val="0"/>
        </w:rPr>
        <w:tab/>
        <w:t>(ii)</w:t>
      </w:r>
      <w:r>
        <w:rPr>
          <w:snapToGrid w:val="0"/>
        </w:rPr>
        <w:tab/>
        <w:t>any circumstances relating to the conduct of research programmes in respect of stock.</w:t>
      </w:r>
    </w:p>
    <w:p>
      <w:pPr>
        <w:pStyle w:val="Subsection"/>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pPr>
      <w:r>
        <w:tab/>
        <w:t>[Regulation 3 amended in Gazette 3 Apr 1987 p. 1263; 2 May 1995 p. 1651</w:t>
      </w:r>
      <w:r>
        <w:noBreakHyphen/>
        <w:t>2.]</w:t>
      </w:r>
    </w:p>
    <w:p>
      <w:pPr>
        <w:pStyle w:val="Heading5"/>
        <w:rPr>
          <w:snapToGrid w:val="0"/>
        </w:rPr>
      </w:pPr>
      <w:bookmarkStart w:id="8" w:name="_Toc457016669"/>
      <w:bookmarkStart w:id="9" w:name="_Toc518791830"/>
      <w:bookmarkStart w:id="10" w:name="_Toc290559688"/>
      <w:r>
        <w:rPr>
          <w:rStyle w:val="CharSectno"/>
        </w:rPr>
        <w:t>4</w:t>
      </w:r>
      <w:r>
        <w:rPr>
          <w:snapToGrid w:val="0"/>
        </w:rPr>
        <w:t>.</w:t>
      </w:r>
      <w:r>
        <w:rPr>
          <w:snapToGrid w:val="0"/>
        </w:rPr>
        <w:tab/>
        <w:t>Requirements relating to various means of branding</w:t>
      </w:r>
      <w:bookmarkEnd w:id="8"/>
      <w:bookmarkEnd w:id="9"/>
      <w:bookmarkEnd w:id="10"/>
    </w:p>
    <w:p>
      <w:pPr>
        <w:pStyle w:val="Subsection"/>
        <w:rPr>
          <w:snapToGrid w:val="0"/>
        </w:rPr>
      </w:pPr>
      <w:r>
        <w:rPr>
          <w:snapToGrid w:val="0"/>
        </w:rPr>
        <w:tab/>
        <w:t>(1)</w:t>
      </w:r>
      <w:r>
        <w:rPr>
          <w:snapToGrid w:val="0"/>
        </w:rPr>
        <w:tab/>
        <w:t>Where goats or sheep are branded by means of a firebrand, the letters and numeral shall be not less than 25 millimetres in height.</w:t>
      </w:r>
    </w:p>
    <w:p>
      <w:pPr>
        <w:pStyle w:val="Subsection"/>
        <w:rPr>
          <w:snapToGrid w:val="0"/>
        </w:rPr>
      </w:pPr>
      <w:r>
        <w:rPr>
          <w:snapToGrid w:val="0"/>
        </w:rPr>
        <w:tab/>
        <w:t>(2)</w:t>
      </w:r>
      <w:r>
        <w:rPr>
          <w:snapToGrid w:val="0"/>
        </w:rPr>
        <w:tab/>
        <w:t>Where sheep, goats or camelids are branded by means of a tattoo —</w:t>
      </w:r>
    </w:p>
    <w:p>
      <w:pPr>
        <w:pStyle w:val="Indenta"/>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rPr>
          <w:snapToGrid w:val="0"/>
        </w:rPr>
      </w:pPr>
      <w:r>
        <w:rPr>
          <w:snapToGrid w:val="0"/>
        </w:rPr>
        <w:tab/>
        <w:t>(b)</w:t>
      </w:r>
      <w:r>
        <w:rPr>
          <w:snapToGrid w:val="0"/>
        </w:rPr>
        <w:tab/>
        <w:t>each tattoo letter and numeral shall not be less than 6 millimetres nor greater than 25 millimetres in height.</w:t>
      </w:r>
    </w:p>
    <w:p>
      <w:pPr>
        <w:pStyle w:val="Subsection"/>
      </w:pPr>
      <w:r>
        <w:tab/>
        <w:t>(3)</w:t>
      </w:r>
      <w:r>
        <w:tab/>
        <w:t>A person must not brand a sheep, goat or camelid by means of an eartag unless —</w:t>
      </w:r>
    </w:p>
    <w:p>
      <w:pPr>
        <w:pStyle w:val="Indenta"/>
      </w:pPr>
      <w:r>
        <w:tab/>
        <w:t>(a)</w:t>
      </w:r>
      <w:r>
        <w:tab/>
        <w:t>the person is, or is acting on behalf of, the owner of the animal; and</w:t>
      </w:r>
    </w:p>
    <w:p>
      <w:pPr>
        <w:pStyle w:val="Indenta"/>
      </w:pPr>
      <w:r>
        <w:tab/>
        <w:t>(b)</w:t>
      </w:r>
      <w:r>
        <w:tab/>
        <w:t>the colour of the eartag is —</w:t>
      </w:r>
    </w:p>
    <w:p>
      <w:pPr>
        <w:pStyle w:val="Indenti"/>
      </w:pPr>
      <w:r>
        <w:tab/>
        <w:t>(i)</w:t>
      </w:r>
      <w:r>
        <w:tab/>
        <w:t>if the animal is being branded on the property of birth — approved by the Registrar for the year in which the tag is applied; or</w:t>
      </w:r>
    </w:p>
    <w:p>
      <w:pPr>
        <w:pStyle w:val="Indenti"/>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w:t>
      </w:r>
    </w:p>
    <w:p>
      <w:pPr>
        <w:pStyle w:val="Indenta"/>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w:t>
      </w:r>
    </w:p>
    <w:p>
      <w:pPr>
        <w:pStyle w:val="Indenta"/>
        <w:rPr>
          <w:snapToGrid w:val="0"/>
        </w:rPr>
      </w:pPr>
      <w:r>
        <w:rPr>
          <w:snapToGrid w:val="0"/>
        </w:rPr>
        <w:tab/>
        <w:t>(a)</w:t>
      </w:r>
      <w:r>
        <w:rPr>
          <w:snapToGrid w:val="0"/>
        </w:rPr>
        <w:tab/>
        <w:t>each letter and numeral whether upright or horizontal shall be not less than 75 millimetres in height or length as the case may be, and shall be spaced not less than 20 millimetres from any adjacent letter or numeral and the overall size of any wool brand shall be not less than 175 millimetres by 75 millimetres;</w:t>
      </w:r>
    </w:p>
    <w:p>
      <w:pPr>
        <w:pStyle w:val="Indenta"/>
        <w:rPr>
          <w:snapToGrid w:val="0"/>
        </w:rPr>
      </w:pPr>
      <w:r>
        <w:rPr>
          <w:snapToGrid w:val="0"/>
        </w:rPr>
        <w:tab/>
        <w:t>(b)</w:t>
      </w:r>
      <w:r>
        <w:rPr>
          <w:snapToGrid w:val="0"/>
        </w:rPr>
        <w:tab/>
        <w:t>the device used to impress the woolbrand shall be capable of producing a legible and permanent brand; and</w:t>
      </w:r>
    </w:p>
    <w:p>
      <w:pPr>
        <w:pStyle w:val="Indenta"/>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r>
      <w:r>
        <w:rPr>
          <w:rStyle w:val="CharDefText"/>
        </w:rPr>
        <w:t>property of origin</w:t>
      </w:r>
      <w:r>
        <w:t>, in relation to a sheep, goat or camelid that is being branded, means a property that has the property identification code specified in the register in relation to the brand.</w:t>
      </w:r>
    </w:p>
    <w:p>
      <w:pPr>
        <w:pStyle w:val="Footnotesection"/>
      </w:pPr>
      <w:r>
        <w:tab/>
        <w:t>[Regulation 4 amended in Gazette 14 Sep 1973 p. 3478; 17 Jan 1986 p. 232; 2 May 1995 p. 1652; 14 Jun 2005 p. 2620.]</w:t>
      </w:r>
    </w:p>
    <w:p>
      <w:pPr>
        <w:pStyle w:val="Heading5"/>
      </w:pPr>
      <w:bookmarkStart w:id="11" w:name="_Toc290559689"/>
      <w:bookmarkStart w:id="12" w:name="_Toc457016670"/>
      <w:bookmarkStart w:id="13" w:name="_Toc518791831"/>
      <w:r>
        <w:rPr>
          <w:rStyle w:val="CharSectno"/>
        </w:rPr>
        <w:t>4A</w:t>
      </w:r>
      <w:r>
        <w:t>.</w:t>
      </w:r>
      <w:r>
        <w:tab/>
        <w:t>Manufacture and sale of eartags for identifying sheep, goats and camelids</w:t>
      </w:r>
      <w:bookmarkEnd w:id="11"/>
    </w:p>
    <w:p>
      <w:pPr>
        <w:pStyle w:val="Subsection"/>
      </w:pPr>
      <w:r>
        <w:tab/>
        <w:t>(1)</w:t>
      </w:r>
      <w:r>
        <w:tab/>
        <w:t>In this regulation —</w:t>
      </w:r>
    </w:p>
    <w:p>
      <w:pPr>
        <w:pStyle w:val="Defstart"/>
      </w:pPr>
      <w:r>
        <w:rPr>
          <w:b/>
        </w:rPr>
        <w:tab/>
      </w:r>
      <w:r>
        <w:rPr>
          <w:rStyle w:val="CharDefText"/>
        </w:rPr>
        <w:t>approved manufacturer</w:t>
      </w:r>
      <w:r>
        <w:t>, in relation to an eartag, means a manufacturer of an eartag approved under subregulation (2);</w:t>
      </w:r>
    </w:p>
    <w:p>
      <w:pPr>
        <w:pStyle w:val="Defstart"/>
      </w:pPr>
      <w:r>
        <w:rPr>
          <w:b/>
        </w:rPr>
        <w:tab/>
      </w:r>
      <w:r>
        <w:rPr>
          <w:rStyle w:val="CharDefText"/>
        </w:rPr>
        <w:t>eartag</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w:t>
      </w:r>
    </w:p>
    <w:p>
      <w:pPr>
        <w:pStyle w:val="Indenta"/>
        <w:keepNext/>
      </w:pPr>
      <w:r>
        <w:tab/>
        <w:t>(b)</w:t>
      </w:r>
      <w:r>
        <w:tab/>
        <w:t>the person has given the manufacturer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14" w:name="_Toc290559690"/>
      <w:r>
        <w:rPr>
          <w:rStyle w:val="CharSectno"/>
        </w:rPr>
        <w:t>5</w:t>
      </w:r>
      <w:r>
        <w:rPr>
          <w:snapToGrid w:val="0"/>
        </w:rPr>
        <w:t>.</w:t>
      </w:r>
      <w:r>
        <w:rPr>
          <w:snapToGrid w:val="0"/>
        </w:rPr>
        <w:tab/>
        <w:t>Age marks for sheep</w:t>
      </w:r>
      <w:bookmarkEnd w:id="12"/>
      <w:bookmarkEnd w:id="13"/>
      <w:bookmarkEnd w:id="14"/>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w:t>
      </w:r>
    </w:p>
    <w:p>
      <w:pPr>
        <w:pStyle w:val="Indenta"/>
        <w:rPr>
          <w:snapToGrid w:val="0"/>
        </w:rPr>
      </w:pPr>
      <w:r>
        <w:rPr>
          <w:snapToGrid w:val="0"/>
        </w:rPr>
        <w:tab/>
        <w:t>(a)</w:t>
      </w:r>
      <w:r>
        <w:rPr>
          <w:snapToGrid w:val="0"/>
        </w:rPr>
        <w:tab/>
        <w:t>lambed in 1995 and every sixth year after that year shall consist of 3 notches on the back (bottom) of the ear;</w:t>
      </w:r>
    </w:p>
    <w:p>
      <w:pPr>
        <w:pStyle w:val="Indenta"/>
        <w:rPr>
          <w:snapToGrid w:val="0"/>
        </w:rPr>
      </w:pPr>
      <w:r>
        <w:rPr>
          <w:snapToGrid w:val="0"/>
        </w:rPr>
        <w:tab/>
        <w:t>(b)</w:t>
      </w:r>
      <w:r>
        <w:rPr>
          <w:snapToGrid w:val="0"/>
        </w:rPr>
        <w:tab/>
        <w:t>lambed in 1996 and every sixth year after that year shall consist of one notch on the front (top) of the ear;</w:t>
      </w:r>
    </w:p>
    <w:p>
      <w:pPr>
        <w:pStyle w:val="Indenta"/>
        <w:rPr>
          <w:snapToGrid w:val="0"/>
        </w:rPr>
      </w:pPr>
      <w:r>
        <w:rPr>
          <w:snapToGrid w:val="0"/>
        </w:rPr>
        <w:tab/>
        <w:t>(c)</w:t>
      </w:r>
      <w:r>
        <w:rPr>
          <w:snapToGrid w:val="0"/>
        </w:rPr>
        <w:tab/>
        <w:t>lambed in 1997 and every sixth year after that year shall consist of 2 notches on the front (top) of the ear;</w:t>
      </w:r>
    </w:p>
    <w:p>
      <w:pPr>
        <w:pStyle w:val="Indenta"/>
        <w:rPr>
          <w:snapToGrid w:val="0"/>
        </w:rPr>
      </w:pPr>
      <w:r>
        <w:rPr>
          <w:snapToGrid w:val="0"/>
        </w:rPr>
        <w:tab/>
        <w:t>(d)</w:t>
      </w:r>
      <w:r>
        <w:rPr>
          <w:snapToGrid w:val="0"/>
        </w:rPr>
        <w:tab/>
        <w:t>lambed in 1998 and every sixth year after that year shall consist of 3 notches on the front (top) of the ear;</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15" w:name="_Toc457016671"/>
      <w:bookmarkStart w:id="16" w:name="_Toc518791832"/>
      <w:bookmarkStart w:id="17" w:name="_Toc290559691"/>
      <w:r>
        <w:rPr>
          <w:rStyle w:val="CharSectno"/>
        </w:rPr>
        <w:t>6</w:t>
      </w:r>
      <w:r>
        <w:rPr>
          <w:snapToGrid w:val="0"/>
        </w:rPr>
        <w:t>.</w:t>
      </w:r>
      <w:r>
        <w:rPr>
          <w:snapToGrid w:val="0"/>
        </w:rPr>
        <w:tab/>
        <w:t>Use of firebrands or freezebrands, and marking stud cattle</w:t>
      </w:r>
      <w:bookmarkEnd w:id="15"/>
      <w:bookmarkEnd w:id="16"/>
      <w:bookmarkEnd w:id="17"/>
    </w:p>
    <w:p>
      <w:pPr>
        <w:pStyle w:val="Subsection"/>
        <w:rPr>
          <w:snapToGrid w:val="0"/>
        </w:rPr>
      </w:pPr>
      <w:r>
        <w:rPr>
          <w:snapToGrid w:val="0"/>
        </w:rPr>
        <w:tab/>
        <w:t>(1)</w:t>
      </w:r>
      <w:r>
        <w:rPr>
          <w:snapToGrid w:val="0"/>
        </w:rPr>
        <w:tab/>
        <w:t>A person who brands cattle, buffalo or deer by means of a firebrand or freezebrand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r>
        <w:t xml:space="preserve"> or applying an NLIS device in accordance with Part 8A of the </w:t>
      </w:r>
      <w:r>
        <w:rPr>
          <w:i/>
        </w:rPr>
        <w:t>Enzootic Diseases Regulations 1970</w:t>
      </w:r>
      <w:r>
        <w:rPr>
          <w:snapToGrid w:val="0"/>
        </w:rPr>
        <w:t>.</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 19 Sep 2006 p. 3707.]</w:t>
      </w:r>
    </w:p>
    <w:p>
      <w:pPr>
        <w:pStyle w:val="Heading5"/>
        <w:rPr>
          <w:snapToGrid w:val="0"/>
        </w:rPr>
      </w:pPr>
      <w:bookmarkStart w:id="18" w:name="_Toc457016672"/>
      <w:bookmarkStart w:id="19" w:name="_Toc518791833"/>
      <w:bookmarkStart w:id="20" w:name="_Toc290559692"/>
      <w:r>
        <w:rPr>
          <w:rStyle w:val="CharSectno"/>
        </w:rPr>
        <w:t>7</w:t>
      </w:r>
      <w:r>
        <w:rPr>
          <w:snapToGrid w:val="0"/>
        </w:rPr>
        <w:t>.</w:t>
      </w:r>
      <w:r>
        <w:rPr>
          <w:snapToGrid w:val="0"/>
        </w:rPr>
        <w:tab/>
        <w:t>Manner of applying registered brands to horses</w:t>
      </w:r>
      <w:bookmarkEnd w:id="18"/>
      <w:bookmarkEnd w:id="19"/>
      <w:bookmarkEnd w:id="20"/>
    </w:p>
    <w:p>
      <w:pPr>
        <w:pStyle w:val="Subsection"/>
        <w:rPr>
          <w:snapToGrid w:val="0"/>
        </w:rPr>
      </w:pPr>
      <w:r>
        <w:rPr>
          <w:snapToGrid w:val="0"/>
        </w:rPr>
        <w:tab/>
      </w:r>
      <w:r>
        <w:rPr>
          <w:snapToGrid w:val="0"/>
        </w:rPr>
        <w:tab/>
        <w:t>A registered brand for horses shall be applied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21" w:name="_Toc457016673"/>
      <w:bookmarkStart w:id="22" w:name="_Toc518791834"/>
      <w:bookmarkStart w:id="23" w:name="_Toc290559693"/>
      <w:r>
        <w:rPr>
          <w:rStyle w:val="CharSectno"/>
        </w:rPr>
        <w:t>7A</w:t>
      </w:r>
      <w:r>
        <w:rPr>
          <w:snapToGrid w:val="0"/>
        </w:rPr>
        <w:t>.</w:t>
      </w:r>
      <w:r>
        <w:rPr>
          <w:snapToGrid w:val="0"/>
        </w:rPr>
        <w:tab/>
        <w:t>Brands and marks for ostriches</w:t>
      </w:r>
      <w:bookmarkEnd w:id="21"/>
      <w:bookmarkEnd w:id="22"/>
      <w:bookmarkEnd w:id="23"/>
    </w:p>
    <w:p>
      <w:pPr>
        <w:pStyle w:val="Subsection"/>
        <w:rPr>
          <w:snapToGrid w:val="0"/>
        </w:rPr>
      </w:pPr>
      <w:r>
        <w:rPr>
          <w:snapToGrid w:val="0"/>
        </w:rPr>
        <w:tab/>
        <w:t>(1)</w:t>
      </w:r>
      <w:r>
        <w:rPr>
          <w:snapToGrid w:val="0"/>
        </w:rPr>
        <w:tab/>
        <w:t>In this regulation —</w:t>
      </w:r>
    </w:p>
    <w:p>
      <w:pPr>
        <w:pStyle w:val="Defstart"/>
      </w:pPr>
      <w:r>
        <w:rPr>
          <w:b/>
        </w:rPr>
        <w:tab/>
      </w:r>
      <w:r>
        <w:rPr>
          <w:rStyle w:val="CharDefText"/>
        </w:rPr>
        <w:t>Breed Society mark</w:t>
      </w:r>
      <w:r>
        <w:t>, in relation to an ostrich, means the mark registered by a Breed Society as the mark of the proprietor of the ostrich.</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keepNext/>
        <w:keepLines/>
        <w:rPr>
          <w:snapToGrid w:val="0"/>
        </w:rPr>
      </w:pPr>
      <w:r>
        <w:rPr>
          <w:snapToGrid w:val="0"/>
        </w:rPr>
        <w:tab/>
        <w:t>(3)</w:t>
      </w:r>
      <w:r>
        <w:rPr>
          <w:snapToGrid w:val="0"/>
        </w:rPr>
        <w:tab/>
        <w:t>The neck tag or leg band must —</w:t>
      </w:r>
    </w:p>
    <w:p>
      <w:pPr>
        <w:pStyle w:val="Indenta"/>
        <w:rPr>
          <w:snapToGrid w:val="0"/>
        </w:rPr>
      </w:pPr>
      <w:r>
        <w:rPr>
          <w:snapToGrid w:val="0"/>
        </w:rPr>
        <w:tab/>
        <w:t>(a)</w:t>
      </w:r>
      <w:r>
        <w:rPr>
          <w:snapToGrid w:val="0"/>
        </w:rPr>
        <w:tab/>
        <w:t>be clearly embossed with the letters and numeral of the registered brand or the Breed Society mark of the proprietor of the ostrich;</w:t>
      </w:r>
    </w:p>
    <w:p>
      <w:pPr>
        <w:pStyle w:val="Indenta"/>
        <w:rPr>
          <w:snapToGrid w:val="0"/>
        </w:rPr>
      </w:pPr>
      <w:r>
        <w:rPr>
          <w:snapToGrid w:val="0"/>
        </w:rPr>
        <w:tab/>
        <w:t>(b)</w:t>
      </w:r>
      <w:r>
        <w:rPr>
          <w:snapToGrid w:val="0"/>
        </w:rPr>
        <w:tab/>
        <w:t>be manufactured by a person who holds an approval under subregulation (9); and</w:t>
      </w:r>
    </w:p>
    <w:p>
      <w:pPr>
        <w:pStyle w:val="Indenta"/>
        <w:rPr>
          <w:snapToGrid w:val="0"/>
        </w:rPr>
      </w:pPr>
      <w:r>
        <w:rPr>
          <w:snapToGrid w:val="0"/>
        </w:rPr>
        <w:tab/>
        <w:t>(c)</w:t>
      </w:r>
      <w:r>
        <w:rPr>
          <w:snapToGrid w:val="0"/>
        </w:rPr>
        <w:tab/>
        <w:t>be identical with the approved sample in all material respects.</w:t>
      </w:r>
    </w:p>
    <w:p>
      <w:pPr>
        <w:pStyle w:val="Subsection"/>
        <w:rPr>
          <w:snapToGrid w:val="0"/>
        </w:rPr>
      </w:pPr>
      <w:r>
        <w:rPr>
          <w:snapToGrid w:val="0"/>
        </w:rPr>
        <w:tab/>
        <w:t>(4)</w:t>
      </w:r>
      <w:r>
        <w:rPr>
          <w:snapToGrid w:val="0"/>
        </w:rPr>
        <w:tab/>
        <w:t>A neck tag must be secured to the base of the neck above the feather line of the ostrich.</w:t>
      </w:r>
    </w:p>
    <w:p>
      <w:pPr>
        <w:pStyle w:val="Subsection"/>
        <w:rPr>
          <w:snapToGrid w:val="0"/>
        </w:rPr>
      </w:pPr>
      <w:r>
        <w:rPr>
          <w:snapToGrid w:val="0"/>
        </w:rPr>
        <w:tab/>
        <w:t>(5)</w:t>
      </w:r>
      <w:r>
        <w:rPr>
          <w:snapToGrid w:val="0"/>
        </w:rPr>
        <w:tab/>
        <w:t>A leg band must be secured to a leg of the ostrich.</w:t>
      </w:r>
    </w:p>
    <w:p>
      <w:pPr>
        <w:pStyle w:val="Subsection"/>
        <w:rPr>
          <w:snapToGrid w:val="0"/>
        </w:rPr>
      </w:pPr>
      <w:r>
        <w:rPr>
          <w:snapToGrid w:val="0"/>
        </w:rPr>
        <w:tab/>
        <w:t>(6)</w:t>
      </w:r>
      <w:r>
        <w:rPr>
          <w:snapToGrid w:val="0"/>
        </w:rPr>
        <w:tab/>
        <w:t>The proprietor of ostriches shall apply to the Registrar for a registered brand for the ostriches.</w:t>
      </w:r>
    </w:p>
    <w:p>
      <w:pPr>
        <w:pStyle w:val="Subsection"/>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rPr>
          <w:snapToGrid w:val="0"/>
        </w:rPr>
      </w:pPr>
      <w:r>
        <w:rPr>
          <w:snapToGrid w:val="0"/>
        </w:rPr>
        <w:tab/>
        <w:t>(9)</w:t>
      </w:r>
      <w:r>
        <w:rPr>
          <w:snapToGrid w:val="0"/>
        </w:rPr>
        <w:tab/>
        <w:t>A person must not manufacture a neck tag or a metal or plastic leg band for use in the marking of ostriches unless —</w:t>
      </w:r>
    </w:p>
    <w:p>
      <w:pPr>
        <w:pStyle w:val="Indenta"/>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24" w:name="_Toc457016674"/>
      <w:bookmarkStart w:id="25" w:name="_Toc518791835"/>
      <w:bookmarkStart w:id="26" w:name="_Toc290559694"/>
      <w:r>
        <w:rPr>
          <w:rStyle w:val="CharSectno"/>
        </w:rPr>
        <w:t>8</w:t>
      </w:r>
      <w:r>
        <w:rPr>
          <w:snapToGrid w:val="0"/>
        </w:rPr>
        <w:t>.</w:t>
      </w:r>
      <w:r>
        <w:rPr>
          <w:snapToGrid w:val="0"/>
        </w:rPr>
        <w:tab/>
        <w:t>Cullmarks and Breed Society marks etc.</w:t>
      </w:r>
      <w:bookmarkEnd w:id="24"/>
      <w:bookmarkEnd w:id="25"/>
      <w:bookmarkEnd w:id="26"/>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millimetres nor more than 40 millimetres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millimetres and not more than 10 millimetres in diameter completely within the ear not allocated for the application of a registered earmark.</w:t>
      </w:r>
    </w:p>
    <w:p>
      <w:pPr>
        <w:pStyle w:val="Footnotesection"/>
      </w:pPr>
      <w:r>
        <w:tab/>
        <w:t>[Regulation 8 amended in Gazette 6 May 1977 p. 1350; 22 Dec 1978 p. 4838; 7 Dec 1979 p. 3851; 24 Dec 1980 p. 4404.]</w:t>
      </w:r>
    </w:p>
    <w:p>
      <w:pPr>
        <w:pStyle w:val="Heading5"/>
        <w:rPr>
          <w:snapToGrid w:val="0"/>
        </w:rPr>
      </w:pPr>
      <w:bookmarkStart w:id="27" w:name="_Toc457016675"/>
      <w:bookmarkStart w:id="28" w:name="_Toc518791836"/>
      <w:bookmarkStart w:id="29" w:name="_Toc290559695"/>
      <w:r>
        <w:rPr>
          <w:rStyle w:val="CharSectno"/>
        </w:rPr>
        <w:t>9</w:t>
      </w:r>
      <w:r>
        <w:rPr>
          <w:snapToGrid w:val="0"/>
        </w:rPr>
        <w:t>.</w:t>
      </w:r>
      <w:r>
        <w:rPr>
          <w:snapToGrid w:val="0"/>
        </w:rPr>
        <w:tab/>
        <w:t>Age marks for cattle, buffalo or deer</w:t>
      </w:r>
      <w:bookmarkEnd w:id="27"/>
      <w:bookmarkEnd w:id="28"/>
      <w:bookmarkEnd w:id="29"/>
    </w:p>
    <w:p>
      <w:pPr>
        <w:pStyle w:val="Subsection"/>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pPr>
      <w:r>
        <w:tab/>
        <w:t>[Regulation 9 amended in Gazette 2 May 1995 p. 1654.]</w:t>
      </w:r>
    </w:p>
    <w:p>
      <w:pPr>
        <w:pStyle w:val="Heading5"/>
        <w:rPr>
          <w:snapToGrid w:val="0"/>
        </w:rPr>
      </w:pPr>
      <w:bookmarkStart w:id="30" w:name="_Toc457016676"/>
      <w:bookmarkStart w:id="31" w:name="_Toc518791837"/>
      <w:bookmarkStart w:id="32" w:name="_Toc290559696"/>
      <w:r>
        <w:rPr>
          <w:rStyle w:val="CharSectno"/>
        </w:rPr>
        <w:t>9A</w:t>
      </w:r>
      <w:r>
        <w:rPr>
          <w:snapToGrid w:val="0"/>
        </w:rPr>
        <w:t>.</w:t>
      </w:r>
      <w:r>
        <w:rPr>
          <w:snapToGrid w:val="0"/>
        </w:rPr>
        <w:tab/>
        <w:t>Minimum sizes for certain brands and earmark symbols</w:t>
      </w:r>
      <w:bookmarkEnd w:id="30"/>
      <w:bookmarkEnd w:id="31"/>
      <w:bookmarkEnd w:id="32"/>
    </w:p>
    <w:p>
      <w:pPr>
        <w:pStyle w:val="Subsection"/>
        <w:rPr>
          <w:snapToGrid w:val="0"/>
        </w:rPr>
      </w:pPr>
      <w:r>
        <w:rPr>
          <w:snapToGrid w:val="0"/>
        </w:rPr>
        <w:tab/>
        <w:t>(1)</w:t>
      </w:r>
      <w:r>
        <w:rPr>
          <w:snapToGrid w:val="0"/>
        </w:rPr>
        <w:tab/>
        <w:t>The brand on a horse or deer shall be not less than 100 millimetres long and 30 millimetres in height at the time when the brand is applied.</w:t>
      </w:r>
    </w:p>
    <w:p>
      <w:pPr>
        <w:pStyle w:val="Subsection"/>
        <w:rPr>
          <w:snapToGrid w:val="0"/>
        </w:rPr>
      </w:pPr>
      <w:r>
        <w:rPr>
          <w:snapToGrid w:val="0"/>
        </w:rPr>
        <w:tab/>
        <w:t>(2)</w:t>
      </w:r>
      <w:r>
        <w:rPr>
          <w:snapToGrid w:val="0"/>
        </w:rPr>
        <w:tab/>
        <w:t>Subject to subregulation (2a), the brand for cattle or buffalo shall be not less than 150 millimetres long and 50 millimetres in height at the time when the brand is applied.</w:t>
      </w:r>
    </w:p>
    <w:p>
      <w:pPr>
        <w:pStyle w:val="Subsection"/>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millimetres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millimetres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33" w:name="_Toc457016677"/>
      <w:bookmarkStart w:id="34" w:name="_Toc518791838"/>
      <w:bookmarkStart w:id="35" w:name="_Toc290559697"/>
      <w:r>
        <w:rPr>
          <w:rStyle w:val="CharSectno"/>
        </w:rPr>
        <w:t>10</w:t>
      </w:r>
      <w:r>
        <w:rPr>
          <w:snapToGrid w:val="0"/>
        </w:rPr>
        <w:t>.</w:t>
      </w:r>
      <w:r>
        <w:rPr>
          <w:snapToGrid w:val="0"/>
        </w:rPr>
        <w:tab/>
        <w:t>Manner of applying brands to pigs</w:t>
      </w:r>
      <w:bookmarkEnd w:id="33"/>
      <w:bookmarkEnd w:id="34"/>
      <w:bookmarkEnd w:id="35"/>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millimetres long by 12 millimetres wide with a minimum of 5 millimetres between each symbol.</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36" w:name="_Toc457016678"/>
      <w:bookmarkStart w:id="37" w:name="_Toc518791839"/>
      <w:bookmarkStart w:id="38" w:name="_Toc290559698"/>
      <w:r>
        <w:rPr>
          <w:rStyle w:val="CharSectno"/>
        </w:rPr>
        <w:t>11</w:t>
      </w:r>
      <w:r>
        <w:rPr>
          <w:snapToGrid w:val="0"/>
        </w:rPr>
        <w:t>.</w:t>
      </w:r>
      <w:r>
        <w:rPr>
          <w:snapToGrid w:val="0"/>
        </w:rPr>
        <w:tab/>
        <w:t>Branding of pigs registered with Australian Pig Society</w:t>
      </w:r>
      <w:bookmarkEnd w:id="36"/>
      <w:bookmarkEnd w:id="37"/>
      <w:bookmarkEnd w:id="38"/>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39" w:name="_Toc457016679"/>
      <w:bookmarkStart w:id="40" w:name="_Toc518791840"/>
      <w:bookmarkStart w:id="41" w:name="_Toc290559699"/>
      <w:r>
        <w:rPr>
          <w:rStyle w:val="CharSectno"/>
        </w:rPr>
        <w:t>11A</w:t>
      </w:r>
      <w:r>
        <w:rPr>
          <w:snapToGrid w:val="0"/>
        </w:rPr>
        <w:t>.</w:t>
      </w:r>
      <w:r>
        <w:rPr>
          <w:snapToGrid w:val="0"/>
        </w:rPr>
        <w:tab/>
        <w:t>Prescribed details of identification to appear on waybills</w:t>
      </w:r>
      <w:bookmarkEnd w:id="39"/>
      <w:bookmarkEnd w:id="40"/>
      <w:bookmarkEnd w:id="41"/>
    </w:p>
    <w:p>
      <w:pPr>
        <w:pStyle w:val="Subsection"/>
        <w:rPr>
          <w:snapToGrid w:val="0"/>
        </w:rPr>
      </w:pPr>
      <w:r>
        <w:rPr>
          <w:snapToGrid w:val="0"/>
        </w:rPr>
        <w:tab/>
      </w:r>
      <w:r>
        <w:rPr>
          <w:snapToGrid w:val="0"/>
        </w:rPr>
        <w:tab/>
        <w:t>For the purposes of section 30(2) of the Act, the prescribed details of identification that are to appear on an appropriate waybill are —</w:t>
      </w:r>
    </w:p>
    <w:p>
      <w:pPr>
        <w:pStyle w:val="Indenta"/>
        <w:rPr>
          <w:snapToGrid w:val="0"/>
        </w:rPr>
      </w:pPr>
      <w:r>
        <w:rPr>
          <w:snapToGrid w:val="0"/>
        </w:rPr>
        <w:tab/>
        <w:t>(a)</w:t>
      </w:r>
      <w:r>
        <w:rPr>
          <w:snapToGrid w:val="0"/>
        </w:rPr>
        <w:tab/>
        <w:t>in the case of a calf under the age of 2 weeks —</w:t>
      </w:r>
    </w:p>
    <w:p>
      <w:pPr>
        <w:pStyle w:val="Indenti"/>
        <w:rPr>
          <w:snapToGrid w:val="0"/>
        </w:rPr>
      </w:pPr>
      <w:r>
        <w:rPr>
          <w:snapToGrid w:val="0"/>
        </w:rPr>
        <w:tab/>
        <w:t>(i)</w:t>
      </w:r>
      <w:r>
        <w:rPr>
          <w:snapToGrid w:val="0"/>
        </w:rPr>
        <w:tab/>
        <w:t>the sex, breed and colour of the calf; and</w:t>
      </w:r>
    </w:p>
    <w:p>
      <w:pPr>
        <w:pStyle w:val="Indenti"/>
        <w:rPr>
          <w:snapToGrid w:val="0"/>
        </w:rPr>
      </w:pPr>
      <w:r>
        <w:rPr>
          <w:snapToGrid w:val="0"/>
        </w:rPr>
        <w:tab/>
        <w:t>(ii)</w:t>
      </w:r>
      <w:r>
        <w:rPr>
          <w:snapToGrid w:val="0"/>
        </w:rPr>
        <w:tab/>
        <w:t>the registered brand of the proprietor of the calf; and</w:t>
      </w:r>
    </w:p>
    <w:p>
      <w:pPr>
        <w:pStyle w:val="Indenti"/>
      </w:pPr>
      <w:r>
        <w:tab/>
        <w:t>(iii)</w:t>
      </w:r>
      <w:r>
        <w:tab/>
        <w:t xml:space="preserve">if the calf is required to be identified by an NLIS device under regulation 84B of the </w:t>
      </w:r>
      <w:r>
        <w:rPr>
          <w:i/>
        </w:rPr>
        <w:t>Enzootic Diseases Regulations 1970</w:t>
      </w:r>
      <w:r>
        <w:t>, the relevant PIC, as defined in those regulations, of the property in relation to which the device was issued;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 19 Sep 2006 p. 3707-8.]</w:t>
      </w:r>
    </w:p>
    <w:p>
      <w:pPr>
        <w:pStyle w:val="Heading5"/>
        <w:rPr>
          <w:snapToGrid w:val="0"/>
        </w:rPr>
      </w:pPr>
      <w:bookmarkStart w:id="42" w:name="_Toc457016680"/>
      <w:bookmarkStart w:id="43" w:name="_Toc518791841"/>
      <w:bookmarkStart w:id="44" w:name="_Toc290559700"/>
      <w:r>
        <w:rPr>
          <w:rStyle w:val="CharSectno"/>
        </w:rPr>
        <w:t>11B</w:t>
      </w:r>
      <w:r>
        <w:rPr>
          <w:snapToGrid w:val="0"/>
        </w:rPr>
        <w:t>.</w:t>
      </w:r>
      <w:r>
        <w:rPr>
          <w:snapToGrid w:val="0"/>
        </w:rPr>
        <w:tab/>
        <w:t>Prescribed stock — section 50</w:t>
      </w:r>
      <w:bookmarkEnd w:id="42"/>
      <w:bookmarkEnd w:id="43"/>
      <w:bookmarkEnd w:id="44"/>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45" w:name="_Toc457016681"/>
      <w:bookmarkStart w:id="46" w:name="_Toc518791842"/>
      <w:bookmarkStart w:id="47" w:name="_Toc290559701"/>
      <w:r>
        <w:rPr>
          <w:rStyle w:val="CharSectno"/>
        </w:rPr>
        <w:t>11C</w:t>
      </w:r>
      <w:r>
        <w:rPr>
          <w:snapToGrid w:val="0"/>
        </w:rPr>
        <w:t>.</w:t>
      </w:r>
      <w:r>
        <w:rPr>
          <w:snapToGrid w:val="0"/>
        </w:rPr>
        <w:tab/>
        <w:t>Stock required to be marked — section 53B</w:t>
      </w:r>
      <w:bookmarkEnd w:id="45"/>
      <w:bookmarkEnd w:id="46"/>
      <w:bookmarkEnd w:id="47"/>
    </w:p>
    <w:p>
      <w:pPr>
        <w:pStyle w:val="Subsection"/>
        <w:keepNext/>
        <w:keepLines/>
        <w:rPr>
          <w:snapToGrid w:val="0"/>
        </w:rPr>
      </w:pPr>
      <w:r>
        <w:rPr>
          <w:snapToGrid w:val="0"/>
        </w:rPr>
        <w:tab/>
      </w:r>
      <w:r>
        <w:rPr>
          <w:snapToGrid w:val="0"/>
        </w:rPr>
        <w:tab/>
        <w:t>For the purposes of section 53B of the Act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48" w:name="_Toc457016682"/>
      <w:bookmarkStart w:id="49" w:name="_Toc518791843"/>
      <w:bookmarkStart w:id="50" w:name="_Toc290559702"/>
      <w:r>
        <w:rPr>
          <w:rStyle w:val="CharSectno"/>
        </w:rPr>
        <w:t>11D</w:t>
      </w:r>
      <w:r>
        <w:rPr>
          <w:snapToGrid w:val="0"/>
        </w:rPr>
        <w:t>.</w:t>
      </w:r>
      <w:r>
        <w:rPr>
          <w:snapToGrid w:val="0"/>
        </w:rPr>
        <w:tab/>
        <w:t>Prescribed stock — section 62(1a)(a)</w:t>
      </w:r>
      <w:bookmarkEnd w:id="48"/>
      <w:bookmarkEnd w:id="49"/>
      <w:bookmarkEnd w:id="50"/>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[Regulation 11D inserted in Gazette 23 Jun 1998 p. 3322.]</w:t>
      </w:r>
    </w:p>
    <w:p>
      <w:pPr>
        <w:pStyle w:val="Heading5"/>
        <w:keepLines w:val="0"/>
        <w:rPr>
          <w:snapToGrid w:val="0"/>
        </w:rPr>
      </w:pPr>
      <w:bookmarkStart w:id="51" w:name="_Toc457016683"/>
      <w:bookmarkStart w:id="52" w:name="_Toc518791844"/>
      <w:bookmarkStart w:id="53" w:name="_Toc290559703"/>
      <w:r>
        <w:rPr>
          <w:rStyle w:val="CharSectno"/>
        </w:rPr>
        <w:t>12</w:t>
      </w:r>
      <w:r>
        <w:rPr>
          <w:snapToGrid w:val="0"/>
        </w:rPr>
        <w:t>.</w:t>
      </w:r>
      <w:r>
        <w:rPr>
          <w:snapToGrid w:val="0"/>
        </w:rPr>
        <w:tab/>
        <w:t>The register</w:t>
      </w:r>
      <w:bookmarkEnd w:id="51"/>
      <w:bookmarkEnd w:id="52"/>
      <w:bookmarkEnd w:id="53"/>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keepLines w:val="0"/>
        <w:rPr>
          <w:snapToGrid w:val="0"/>
        </w:rPr>
      </w:pPr>
      <w:bookmarkStart w:id="54" w:name="_Toc457016684"/>
      <w:bookmarkStart w:id="55" w:name="_Toc518791845"/>
      <w:bookmarkStart w:id="56" w:name="_Toc290559704"/>
      <w:r>
        <w:rPr>
          <w:rStyle w:val="CharSectno"/>
        </w:rPr>
        <w:t>13</w:t>
      </w:r>
      <w:r>
        <w:rPr>
          <w:snapToGrid w:val="0"/>
        </w:rPr>
        <w:t>.</w:t>
      </w:r>
      <w:r>
        <w:rPr>
          <w:snapToGrid w:val="0"/>
        </w:rPr>
        <w:tab/>
        <w:t>Fee for information in the register</w:t>
      </w:r>
      <w:bookmarkEnd w:id="54"/>
      <w:bookmarkEnd w:id="55"/>
      <w:bookmarkEnd w:id="56"/>
    </w:p>
    <w:p>
      <w:pPr>
        <w:pStyle w:val="Subsection"/>
        <w:keepNext/>
        <w:rPr>
          <w:snapToGrid w:val="0"/>
        </w:rPr>
      </w:pPr>
      <w:r>
        <w:rPr>
          <w:snapToGrid w:val="0"/>
        </w:rPr>
        <w:tab/>
      </w:r>
      <w:r>
        <w:rPr>
          <w:snapToGrid w:val="0"/>
        </w:rPr>
        <w:tab/>
        <w:t>The fee payable for the furnishing of —</w:t>
      </w:r>
    </w:p>
    <w:p>
      <w:pPr>
        <w:pStyle w:val="Indenta"/>
        <w:rPr>
          <w:snapToGrid w:val="0"/>
        </w:rPr>
      </w:pPr>
      <w:r>
        <w:rPr>
          <w:snapToGrid w:val="0"/>
        </w:rPr>
        <w:tab/>
        <w:t>(a)</w:t>
      </w:r>
      <w:r>
        <w:rPr>
          <w:snapToGrid w:val="0"/>
        </w:rPr>
        <w:tab/>
        <w:t>a print; or</w:t>
      </w:r>
    </w:p>
    <w:p>
      <w:pPr>
        <w:pStyle w:val="Indenta"/>
        <w:rPr>
          <w:snapToGrid w:val="0"/>
        </w:rPr>
      </w:pPr>
      <w:r>
        <w:rPr>
          <w:snapToGrid w:val="0"/>
        </w:rPr>
        <w:tab/>
        <w:t>(b)</w:t>
      </w:r>
      <w:r>
        <w:rPr>
          <w:snapToGrid w:val="0"/>
        </w:rPr>
        <w:tab/>
        <w:t>an electronic copy,</w:t>
      </w:r>
    </w:p>
    <w:p>
      <w:pPr>
        <w:pStyle w:val="Subsection"/>
        <w:rPr>
          <w:snapToGrid w:val="0"/>
        </w:rPr>
      </w:pPr>
      <w:r>
        <w:rPr>
          <w:snapToGrid w:val="0"/>
        </w:rPr>
        <w:tab/>
      </w:r>
      <w:r>
        <w:rPr>
          <w:snapToGrid w:val="0"/>
        </w:rPr>
        <w:tab/>
        <w:t>of information concerning any registered brand contained in the register shall be the appropriate fee set out in Schedule 2.</w:t>
      </w:r>
    </w:p>
    <w:p>
      <w:pPr>
        <w:pStyle w:val="Footnotesection"/>
      </w:pPr>
      <w:r>
        <w:tab/>
        <w:t>[Regulation 13 inserted in Gazette 17 Jan 1986 p. 232; amended in Gazette 5 Jun 2001 p. 2847.]</w:t>
      </w:r>
    </w:p>
    <w:p>
      <w:pPr>
        <w:pStyle w:val="Heading5"/>
        <w:keepLines w:val="0"/>
        <w:rPr>
          <w:snapToGrid w:val="0"/>
        </w:rPr>
      </w:pPr>
      <w:bookmarkStart w:id="57" w:name="_Toc457016685"/>
      <w:bookmarkStart w:id="58" w:name="_Toc518791846"/>
      <w:bookmarkStart w:id="59" w:name="_Toc290559705"/>
      <w:r>
        <w:rPr>
          <w:rStyle w:val="CharSectno"/>
        </w:rPr>
        <w:t>14</w:t>
      </w:r>
      <w:r>
        <w:rPr>
          <w:snapToGrid w:val="0"/>
        </w:rPr>
        <w:t>.</w:t>
      </w:r>
      <w:r>
        <w:rPr>
          <w:snapToGrid w:val="0"/>
        </w:rPr>
        <w:tab/>
        <w:t>Applications for brands</w:t>
      </w:r>
      <w:bookmarkEnd w:id="57"/>
      <w:bookmarkEnd w:id="58"/>
      <w:bookmarkEnd w:id="59"/>
    </w:p>
    <w:p>
      <w:pPr>
        <w:pStyle w:val="Subsection"/>
        <w:rPr>
          <w:snapToGrid w:val="0"/>
        </w:rPr>
      </w:pPr>
      <w:r>
        <w:rPr>
          <w:snapToGrid w:val="0"/>
        </w:rPr>
        <w:tab/>
        <w:t>(1)</w:t>
      </w:r>
      <w:r>
        <w:rPr>
          <w:snapToGrid w:val="0"/>
        </w:rPr>
        <w:tab/>
        <w:t>An application to the Registrar for a brand is to be made in a form approved by the Registrar.</w:t>
      </w:r>
    </w:p>
    <w:p>
      <w:pPr>
        <w:pStyle w:val="Subsection"/>
        <w:keepNext/>
        <w:rPr>
          <w:snapToGrid w:val="0"/>
        </w:rPr>
      </w:pPr>
      <w:r>
        <w:rPr>
          <w:snapToGrid w:val="0"/>
        </w:rPr>
        <w:tab/>
        <w:t>(2)</w:t>
      </w:r>
      <w:r>
        <w:rPr>
          <w:snapToGrid w:val="0"/>
        </w:rPr>
        <w:tab/>
        <w:t>The fee for the application for registration of a brand shall be the appropriate fee set out in Schedule 2.</w:t>
      </w:r>
    </w:p>
    <w:p>
      <w:pPr>
        <w:pStyle w:val="Footnotesection"/>
      </w:pPr>
      <w:r>
        <w:tab/>
        <w:t>[Regulation 14 amended in Gazette 27 Apr 1979 p. 1126; 2 Jul 1982 p. 2395; 13 Jan 1984 p. 101; 17 Jan 1986 p. 232; 14 Jun 2005 p. 2622.]</w:t>
      </w:r>
    </w:p>
    <w:p>
      <w:pPr>
        <w:pStyle w:val="Heading5"/>
        <w:rPr>
          <w:snapToGrid w:val="0"/>
        </w:rPr>
      </w:pPr>
      <w:bookmarkStart w:id="60" w:name="_Toc457016686"/>
      <w:bookmarkStart w:id="61" w:name="_Toc518791847"/>
      <w:bookmarkStart w:id="62" w:name="_Toc290559706"/>
      <w:r>
        <w:rPr>
          <w:rStyle w:val="CharSectno"/>
        </w:rPr>
        <w:t>15</w:t>
      </w:r>
      <w:r>
        <w:rPr>
          <w:snapToGrid w:val="0"/>
        </w:rPr>
        <w:t>.</w:t>
      </w:r>
      <w:r>
        <w:rPr>
          <w:snapToGrid w:val="0"/>
        </w:rPr>
        <w:tab/>
        <w:t>Form of certificate of registration</w:t>
      </w:r>
      <w:bookmarkEnd w:id="60"/>
      <w:bookmarkEnd w:id="61"/>
      <w:bookmarkEnd w:id="62"/>
    </w:p>
    <w:p>
      <w:pPr>
        <w:pStyle w:val="Subsection"/>
        <w:rPr>
          <w:snapToGrid w:val="0"/>
        </w:rPr>
      </w:pPr>
      <w:r>
        <w:rPr>
          <w:snapToGrid w:val="0"/>
        </w:rPr>
        <w:tab/>
      </w:r>
      <w:r>
        <w:rPr>
          <w:snapToGrid w:val="0"/>
        </w:rPr>
        <w:tab/>
        <w:t xml:space="preserve">The certificate of registration of a brand </w:t>
      </w:r>
      <w:r>
        <w:t>is to be in a form approved by the Registrar.</w:t>
      </w:r>
    </w:p>
    <w:p>
      <w:pPr>
        <w:pStyle w:val="Footnotesection"/>
      </w:pPr>
      <w:r>
        <w:tab/>
        <w:t>[Regulation 15 amended in Gazette 17 Jan 1986 p. 233; 14 Jun 2005 p. 2622.]</w:t>
      </w:r>
    </w:p>
    <w:p>
      <w:pPr>
        <w:pStyle w:val="Heading5"/>
        <w:rPr>
          <w:snapToGrid w:val="0"/>
        </w:rPr>
      </w:pPr>
      <w:bookmarkStart w:id="63" w:name="_Toc457016687"/>
      <w:bookmarkStart w:id="64" w:name="_Toc518791848"/>
      <w:bookmarkStart w:id="65" w:name="_Toc290559707"/>
      <w:r>
        <w:rPr>
          <w:rStyle w:val="CharSectno"/>
        </w:rPr>
        <w:t>16</w:t>
      </w:r>
      <w:r>
        <w:rPr>
          <w:snapToGrid w:val="0"/>
        </w:rPr>
        <w:t>.</w:t>
      </w:r>
      <w:r>
        <w:rPr>
          <w:snapToGrid w:val="0"/>
        </w:rPr>
        <w:tab/>
        <w:t>Fee for duplicate certificate</w:t>
      </w:r>
      <w:bookmarkEnd w:id="63"/>
      <w:bookmarkEnd w:id="64"/>
      <w:bookmarkEnd w:id="65"/>
    </w:p>
    <w:p>
      <w:pPr>
        <w:pStyle w:val="Subsection"/>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pPr>
      <w:r>
        <w:tab/>
        <w:t>[Regulation 16 inserted in Gazette 17 Jan 1986 p. 233.]</w:t>
      </w:r>
    </w:p>
    <w:p>
      <w:pPr>
        <w:pStyle w:val="Heading5"/>
        <w:rPr>
          <w:snapToGrid w:val="0"/>
        </w:rPr>
      </w:pPr>
      <w:bookmarkStart w:id="66" w:name="_Toc457016688"/>
      <w:bookmarkStart w:id="67" w:name="_Toc518791849"/>
      <w:bookmarkStart w:id="68" w:name="_Toc290559708"/>
      <w:r>
        <w:rPr>
          <w:rStyle w:val="CharSectno"/>
        </w:rPr>
        <w:t>17</w:t>
      </w:r>
      <w:r>
        <w:rPr>
          <w:snapToGrid w:val="0"/>
        </w:rPr>
        <w:t>.</w:t>
      </w:r>
      <w:r>
        <w:rPr>
          <w:snapToGrid w:val="0"/>
        </w:rPr>
        <w:tab/>
        <w:t>Form of memorandum of transfer of right to registration of brand</w:t>
      </w:r>
      <w:bookmarkEnd w:id="66"/>
      <w:bookmarkEnd w:id="67"/>
      <w:bookmarkEnd w:id="68"/>
    </w:p>
    <w:p>
      <w:pPr>
        <w:pStyle w:val="Subsection"/>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69" w:name="_Toc457016689"/>
      <w:bookmarkStart w:id="70" w:name="_Toc518791850"/>
      <w:bookmarkStart w:id="71" w:name="_Toc290559709"/>
      <w:r>
        <w:rPr>
          <w:rStyle w:val="CharSectno"/>
        </w:rPr>
        <w:t>17A</w:t>
      </w:r>
      <w:r>
        <w:rPr>
          <w:snapToGrid w:val="0"/>
        </w:rPr>
        <w:t>.</w:t>
      </w:r>
      <w:r>
        <w:rPr>
          <w:snapToGrid w:val="0"/>
        </w:rPr>
        <w:tab/>
        <w:t>Cancellation and joint owners</w:t>
      </w:r>
      <w:bookmarkEnd w:id="69"/>
      <w:bookmarkEnd w:id="70"/>
      <w:bookmarkEnd w:id="71"/>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72" w:name="_Toc457016690"/>
      <w:bookmarkStart w:id="73" w:name="_Toc518791851"/>
      <w:bookmarkStart w:id="74" w:name="_Toc290559710"/>
      <w:r>
        <w:rPr>
          <w:rStyle w:val="CharSectno"/>
        </w:rPr>
        <w:t>18</w:t>
      </w:r>
      <w:r>
        <w:rPr>
          <w:snapToGrid w:val="0"/>
        </w:rPr>
        <w:t>.</w:t>
      </w:r>
      <w:r>
        <w:rPr>
          <w:snapToGrid w:val="0"/>
        </w:rPr>
        <w:tab/>
        <w:t>Application for re</w:t>
      </w:r>
      <w:r>
        <w:rPr>
          <w:snapToGrid w:val="0"/>
        </w:rPr>
        <w:noBreakHyphen/>
        <w:t>registration</w:t>
      </w:r>
      <w:bookmarkEnd w:id="72"/>
      <w:bookmarkEnd w:id="73"/>
      <w:bookmarkEnd w:id="74"/>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75" w:name="_Toc457016691"/>
      <w:bookmarkStart w:id="76" w:name="_Toc518791852"/>
      <w:bookmarkStart w:id="77" w:name="_Toc290559711"/>
      <w:r>
        <w:rPr>
          <w:rStyle w:val="CharSectno"/>
        </w:rPr>
        <w:t>19</w:t>
      </w:r>
      <w:r>
        <w:rPr>
          <w:snapToGrid w:val="0"/>
        </w:rPr>
        <w:t>.</w:t>
      </w:r>
      <w:r>
        <w:rPr>
          <w:snapToGrid w:val="0"/>
        </w:rPr>
        <w:tab/>
        <w:t>Inspector may grant permit for use of branding or earmarking equipment</w:t>
      </w:r>
      <w:bookmarkEnd w:id="75"/>
      <w:bookmarkEnd w:id="76"/>
      <w:bookmarkEnd w:id="77"/>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78" w:name="_Toc457016692"/>
      <w:bookmarkStart w:id="79" w:name="_Toc518791853"/>
      <w:bookmarkStart w:id="80" w:name="_Toc290559712"/>
      <w:r>
        <w:rPr>
          <w:rStyle w:val="CharSectno"/>
        </w:rPr>
        <w:t>19A</w:t>
      </w:r>
      <w:r>
        <w:rPr>
          <w:snapToGrid w:val="0"/>
        </w:rPr>
        <w:t>.</w:t>
      </w:r>
      <w:r>
        <w:rPr>
          <w:snapToGrid w:val="0"/>
        </w:rPr>
        <w:tab/>
        <w:t>Inspector or Police officer to give written notice of requirement</w:t>
      </w:r>
      <w:bookmarkEnd w:id="78"/>
      <w:bookmarkEnd w:id="79"/>
      <w:bookmarkEnd w:id="80"/>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pPr>
      <w:bookmarkStart w:id="81" w:name="_Toc290559713"/>
      <w:bookmarkStart w:id="82" w:name="_Toc457016693"/>
      <w:bookmarkStart w:id="83" w:name="_Toc518791854"/>
      <w:r>
        <w:rPr>
          <w:rStyle w:val="CharSectno"/>
        </w:rPr>
        <w:t>19B</w:t>
      </w:r>
      <w:r>
        <w:t>.</w:t>
      </w:r>
      <w:r>
        <w:tab/>
        <w:t>Inspector or Police officer may ask for name and address</w:t>
      </w:r>
      <w:bookmarkEnd w:id="81"/>
    </w:p>
    <w:p>
      <w:pPr>
        <w:pStyle w:val="Subsection"/>
      </w:pPr>
      <w:r>
        <w:tab/>
        <w:t>(1)</w:t>
      </w:r>
      <w:r>
        <w:tab/>
        <w:t xml:space="preserve">An Inspector or Police officer may, in the exercise or performance of functions under the Act, request the proprietor of any stock or the person who is, or appears to be, in charge of any stock to — </w:t>
      </w:r>
    </w:p>
    <w:p>
      <w:pPr>
        <w:pStyle w:val="Indenta"/>
      </w:pPr>
      <w:r>
        <w:tab/>
        <w:t>(a)</w:t>
      </w:r>
      <w:r>
        <w:tab/>
        <w:t>state his or her full name and residential address; and</w:t>
      </w:r>
    </w:p>
    <w:p>
      <w:pPr>
        <w:pStyle w:val="Indenta"/>
      </w:pPr>
      <w:r>
        <w:tab/>
        <w:t>(b)</w:t>
      </w:r>
      <w:r>
        <w:tab/>
        <w:t>produce for inspection evidence of the correctness of the name and address stated.</w:t>
      </w:r>
    </w:p>
    <w:p>
      <w:pPr>
        <w:pStyle w:val="Subsection"/>
      </w:pPr>
      <w:r>
        <w:tab/>
        <w:t>(2)</w:t>
      </w:r>
      <w:r>
        <w:tab/>
        <w:t>A person must comply with a request made under subregulation (1), unless he or she has a reasonable excuse for not doing so.</w:t>
      </w:r>
    </w:p>
    <w:p>
      <w:pPr>
        <w:pStyle w:val="Footnotesection"/>
      </w:pPr>
      <w:r>
        <w:tab/>
        <w:t>[Regulation 19B inserted in Gazette 29 May 2009 p. 1831-2.]</w:t>
      </w:r>
    </w:p>
    <w:p>
      <w:pPr>
        <w:pStyle w:val="Heading5"/>
        <w:rPr>
          <w:snapToGrid w:val="0"/>
        </w:rPr>
      </w:pPr>
      <w:bookmarkStart w:id="84" w:name="_Toc290559714"/>
      <w:r>
        <w:rPr>
          <w:rStyle w:val="CharSectno"/>
        </w:rPr>
        <w:t>20</w:t>
      </w:r>
      <w:r>
        <w:rPr>
          <w:snapToGrid w:val="0"/>
        </w:rPr>
        <w:t>.</w:t>
      </w:r>
      <w:r>
        <w:rPr>
          <w:snapToGrid w:val="0"/>
        </w:rPr>
        <w:tab/>
        <w:t>Form of waybill, and prescribed stock</w:t>
      </w:r>
      <w:bookmarkEnd w:id="82"/>
      <w:bookmarkEnd w:id="83"/>
      <w:bookmarkEnd w:id="84"/>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The document must contain —</w:t>
      </w:r>
    </w:p>
    <w:p>
      <w:pPr>
        <w:pStyle w:val="Indenta"/>
      </w:pPr>
      <w:r>
        <w:tab/>
        <w:t>(a)</w:t>
      </w:r>
      <w:r>
        <w:tab/>
        <w:t>the full name or trading name and address, in block letters, of the proprietor and any other person for the time being having custody and control of the stock to be removed; and</w:t>
      </w:r>
    </w:p>
    <w:p>
      <w:pPr>
        <w:pStyle w:val="Indenta"/>
      </w:pPr>
      <w:r>
        <w:tab/>
        <w:t>(b)</w:t>
      </w:r>
      <w:r>
        <w:tab/>
        <w:t>the full name of the person droving or carrying the stock; and</w:t>
      </w:r>
    </w:p>
    <w:p>
      <w:pPr>
        <w:pStyle w:val="Indenta"/>
      </w:pPr>
      <w:r>
        <w:tab/>
        <w:t>(c)</w:t>
      </w:r>
      <w:r>
        <w:tab/>
        <w:t>the signatures of the persons referred to in paragraphs (a) and (b); and</w:t>
      </w:r>
    </w:p>
    <w:p>
      <w:pPr>
        <w:pStyle w:val="Indenta"/>
      </w:pPr>
      <w:r>
        <w:tab/>
        <w:t>(d)</w:t>
      </w:r>
      <w:r>
        <w:tab/>
        <w:t>the full name of the person to whom the stock are consigned; and</w:t>
      </w:r>
    </w:p>
    <w:p>
      <w:pPr>
        <w:pStyle w:val="Indenta"/>
      </w:pPr>
      <w:r>
        <w:tab/>
        <w:t>(e)</w:t>
      </w:r>
      <w:r>
        <w:tab/>
        <w:t>a distinguishing serial number; and</w:t>
      </w:r>
    </w:p>
    <w:p>
      <w:pPr>
        <w:pStyle w:val="Indenta"/>
      </w:pPr>
      <w:r>
        <w:tab/>
        <w:t>(f)</w:t>
      </w:r>
      <w:r>
        <w:tab/>
        <w:t>particulars of the run or other place from which the stock are to be removed; and</w:t>
      </w:r>
    </w:p>
    <w:p>
      <w:pPr>
        <w:pStyle w:val="Indenta"/>
      </w:pPr>
      <w:r>
        <w:tab/>
        <w:t>(g)</w:t>
      </w:r>
      <w:r>
        <w:tab/>
        <w:t xml:space="preserve">the property identification code of — </w:t>
      </w:r>
    </w:p>
    <w:p>
      <w:pPr>
        <w:pStyle w:val="Indenti"/>
      </w:pPr>
      <w:r>
        <w:tab/>
        <w:t>(i)</w:t>
      </w:r>
      <w:r>
        <w:tab/>
        <w:t xml:space="preserve">the property from which the stock is being removed; or </w:t>
      </w:r>
    </w:p>
    <w:p>
      <w:pPr>
        <w:pStyle w:val="Indenti"/>
      </w:pPr>
      <w:r>
        <w:tab/>
        <w:t>(ii)</w:t>
      </w:r>
      <w:r>
        <w:tab/>
        <w:t>if the stock is being removed from a saleyard, the property from which the stock was moved to the saleyard;</w:t>
      </w:r>
    </w:p>
    <w:p>
      <w:pPr>
        <w:pStyle w:val="Indenta"/>
      </w:pPr>
      <w:r>
        <w:tab/>
      </w:r>
      <w:r>
        <w:tab/>
        <w:t>and</w:t>
      </w:r>
    </w:p>
    <w:p>
      <w:pPr>
        <w:pStyle w:val="Indenta"/>
      </w:pPr>
      <w:r>
        <w:tab/>
        <w:t>(h)</w:t>
      </w:r>
      <w:r>
        <w:tab/>
        <w:t>the total number of the stock; and</w:t>
      </w:r>
    </w:p>
    <w:p>
      <w:pPr>
        <w:pStyle w:val="Indenta"/>
      </w:pPr>
      <w:r>
        <w:tab/>
        <w:t>(i)</w:t>
      </w:r>
      <w:r>
        <w:tab/>
        <w:t>the number of stock of each type referred to in subregulation (2); and</w:t>
      </w:r>
    </w:p>
    <w:p>
      <w:pPr>
        <w:pStyle w:val="Indenta"/>
      </w:pPr>
      <w:r>
        <w:tab/>
        <w:t>(j)</w:t>
      </w:r>
      <w:r>
        <w:tab/>
        <w:t>the breed, sex and age of the stock; and</w:t>
      </w:r>
    </w:p>
    <w:p>
      <w:pPr>
        <w:pStyle w:val="Indenta"/>
      </w:pPr>
      <w:r>
        <w:tab/>
        <w:t>(k)</w:t>
      </w:r>
      <w:r>
        <w:tab/>
        <w:t>except as provided in subregulation (1c), the information required to be recorded under regulation 20C relating to brands and earmarks on the stock; and</w:t>
      </w:r>
    </w:p>
    <w:p>
      <w:pPr>
        <w:pStyle w:val="Indenta"/>
      </w:pPr>
      <w:r>
        <w:tab/>
        <w:t>(l)</w:t>
      </w:r>
      <w:r>
        <w:tab/>
        <w:t xml:space="preserve">if the stock are identified under Part 8A of the </w:t>
      </w:r>
      <w:r>
        <w:rPr>
          <w:i/>
        </w:rPr>
        <w:t>Enzootic Diseases Regulations 1970</w:t>
      </w:r>
      <w:r>
        <w:t>, the type of identification and any number on it; and</w:t>
      </w:r>
    </w:p>
    <w:p>
      <w:pPr>
        <w:pStyle w:val="Indenta"/>
      </w:pPr>
      <w:r>
        <w:tab/>
        <w:t>(m)</w:t>
      </w:r>
      <w:r>
        <w:tab/>
        <w:t>the destination of the stock; and</w:t>
      </w:r>
    </w:p>
    <w:p>
      <w:pPr>
        <w:pStyle w:val="Indenta"/>
      </w:pPr>
      <w:r>
        <w:tab/>
        <w:t>(na)</w:t>
      </w:r>
      <w:r>
        <w:tab/>
        <w:t>the property identification code (if any) for the property that is the destination of the stock; and</w:t>
      </w:r>
    </w:p>
    <w:p>
      <w:pPr>
        <w:pStyle w:val="Indenta"/>
      </w:pPr>
      <w:r>
        <w:tab/>
        <w:t>(n)</w:t>
      </w:r>
      <w:r>
        <w:tab/>
        <w:t>the number plate for each vehicle (if any) in which the stock are to be carried; and</w:t>
      </w:r>
    </w:p>
    <w:p>
      <w:pPr>
        <w:pStyle w:val="Indenta"/>
      </w:pPr>
      <w:r>
        <w:tab/>
        <w:t>(o)</w:t>
      </w:r>
      <w:r>
        <w:tab/>
        <w:t>the date of the movement of the stock.</w:t>
      </w:r>
    </w:p>
    <w:p>
      <w:pPr>
        <w:pStyle w:val="Subsection"/>
        <w:spacing w:before="200"/>
      </w:pPr>
      <w:r>
        <w:tab/>
        <w:t>(1b)</w:t>
      </w:r>
      <w:r>
        <w:tab/>
        <w:t>In this regulation —</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The information referred to in regulation 20C(2a) is not required on the document if the information —</w:t>
      </w:r>
    </w:p>
    <w:p>
      <w:pPr>
        <w:pStyle w:val="Indenta"/>
      </w:pPr>
      <w:r>
        <w:tab/>
        <w:t>(a)</w:t>
      </w:r>
      <w:r>
        <w:tab/>
        <w:t>is recorded in some other document; and</w:t>
      </w:r>
    </w:p>
    <w:p>
      <w:pPr>
        <w:pStyle w:val="Indenta"/>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 19 Sep 2006 p. 3708; 15 Apr 2011 p. 1413.]</w:t>
      </w:r>
    </w:p>
    <w:p>
      <w:pPr>
        <w:pStyle w:val="Heading5"/>
        <w:rPr>
          <w:snapToGrid w:val="0"/>
        </w:rPr>
      </w:pPr>
      <w:bookmarkStart w:id="85" w:name="_Toc457016694"/>
      <w:bookmarkStart w:id="86" w:name="_Toc518791855"/>
      <w:bookmarkStart w:id="87" w:name="_Toc290559715"/>
      <w:r>
        <w:rPr>
          <w:rStyle w:val="CharSectno"/>
        </w:rPr>
        <w:t>20A</w:t>
      </w:r>
      <w:r>
        <w:rPr>
          <w:snapToGrid w:val="0"/>
        </w:rPr>
        <w:t>.</w:t>
      </w:r>
      <w:r>
        <w:rPr>
          <w:snapToGrid w:val="0"/>
        </w:rPr>
        <w:tab/>
        <w:t>Identification of imported stock</w:t>
      </w:r>
      <w:bookmarkEnd w:id="85"/>
      <w:bookmarkEnd w:id="86"/>
      <w:bookmarkEnd w:id="87"/>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88" w:name="_Toc457016695"/>
      <w:bookmarkStart w:id="89" w:name="_Toc518791856"/>
      <w:bookmarkStart w:id="90" w:name="_Toc290559716"/>
      <w:r>
        <w:rPr>
          <w:rStyle w:val="CharSectno"/>
        </w:rPr>
        <w:t>20B</w:t>
      </w:r>
      <w:r>
        <w:rPr>
          <w:snapToGrid w:val="0"/>
        </w:rPr>
        <w:t>.</w:t>
      </w:r>
      <w:r>
        <w:rPr>
          <w:snapToGrid w:val="0"/>
        </w:rPr>
        <w:tab/>
        <w:t>Removal of stock from run without waybill</w:t>
      </w:r>
      <w:bookmarkEnd w:id="88"/>
      <w:bookmarkEnd w:id="89"/>
      <w:r>
        <w:rPr>
          <w:snapToGrid w:val="0"/>
        </w:rPr>
        <w:t xml:space="preserve"> or other document</w:t>
      </w:r>
      <w:bookmarkEnd w:id="90"/>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91" w:name="_Toc457016696"/>
      <w:bookmarkStart w:id="92" w:name="_Toc518791857"/>
      <w:bookmarkStart w:id="93" w:name="_Toc290559717"/>
      <w:r>
        <w:rPr>
          <w:rStyle w:val="CharSectno"/>
        </w:rPr>
        <w:t>20C</w:t>
      </w:r>
      <w:r>
        <w:t>.</w:t>
      </w:r>
      <w:r>
        <w:tab/>
        <w:t>Describing multiple brands and earmarks on waybill</w:t>
      </w:r>
      <w:bookmarkEnd w:id="91"/>
      <w:bookmarkEnd w:id="92"/>
      <w:bookmarkEnd w:id="93"/>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If stock are not branded with the registered brand of the owner of the stock, a person furnishing a waybill or other document in relation to stock must record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A person furnishing a waybill or other document on which the word “various” is recorded under subregulation (2)(b) must record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rStyle w:val="CharDefText"/>
        </w:rPr>
        <w:t>other document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94" w:name="_Toc457016697"/>
      <w:bookmarkStart w:id="95" w:name="_Toc518791858"/>
      <w:bookmarkStart w:id="96" w:name="_Toc290559718"/>
      <w:r>
        <w:rPr>
          <w:rStyle w:val="CharSectno"/>
        </w:rPr>
        <w:t>20D</w:t>
      </w:r>
      <w:r>
        <w:rPr>
          <w:snapToGrid w:val="0"/>
        </w:rPr>
        <w:t>.</w:t>
      </w:r>
      <w:r>
        <w:rPr>
          <w:snapToGrid w:val="0"/>
        </w:rPr>
        <w:tab/>
        <w:t>Persons who are to sign certain documents</w:t>
      </w:r>
      <w:bookmarkEnd w:id="94"/>
      <w:bookmarkEnd w:id="95"/>
      <w:bookmarkEnd w:id="96"/>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9; 23 Apr 2004 p. 1315.]</w:t>
      </w:r>
    </w:p>
    <w:p>
      <w:pPr>
        <w:pStyle w:val="Heading5"/>
        <w:rPr>
          <w:snapToGrid w:val="0"/>
        </w:rPr>
      </w:pPr>
      <w:bookmarkStart w:id="97" w:name="_Toc457016698"/>
      <w:bookmarkStart w:id="98" w:name="_Toc518791859"/>
      <w:bookmarkStart w:id="99" w:name="_Toc290559719"/>
      <w:r>
        <w:rPr>
          <w:rStyle w:val="CharSectno"/>
        </w:rPr>
        <w:t>20E</w:t>
      </w:r>
      <w:r>
        <w:rPr>
          <w:snapToGrid w:val="0"/>
        </w:rPr>
        <w:t>.</w:t>
      </w:r>
      <w:r>
        <w:rPr>
          <w:snapToGrid w:val="0"/>
        </w:rPr>
        <w:tab/>
        <w:t>Certain documents to accompany stock when moved</w:t>
      </w:r>
      <w:bookmarkEnd w:id="97"/>
      <w:bookmarkEnd w:id="98"/>
      <w:bookmarkEnd w:id="99"/>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100" w:name="_Toc457016699"/>
      <w:bookmarkStart w:id="101" w:name="_Toc518791860"/>
      <w:bookmarkStart w:id="102" w:name="_Toc290559720"/>
      <w:r>
        <w:rPr>
          <w:rStyle w:val="CharSectno"/>
        </w:rPr>
        <w:t>20F</w:t>
      </w:r>
      <w:r>
        <w:rPr>
          <w:snapToGrid w:val="0"/>
        </w:rPr>
        <w:t>.</w:t>
      </w:r>
      <w:r>
        <w:rPr>
          <w:snapToGrid w:val="0"/>
        </w:rPr>
        <w:tab/>
        <w:t>Certain documents to accompany stock when moved by rail</w:t>
      </w:r>
      <w:bookmarkEnd w:id="100"/>
      <w:bookmarkEnd w:id="101"/>
      <w:bookmarkEnd w:id="102"/>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103" w:name="_Toc457016700"/>
      <w:bookmarkStart w:id="104" w:name="_Toc518791861"/>
      <w:bookmarkStart w:id="105" w:name="_Toc290559721"/>
      <w:r>
        <w:rPr>
          <w:rStyle w:val="CharSectno"/>
        </w:rPr>
        <w:t>20G</w:t>
      </w:r>
      <w:r>
        <w:rPr>
          <w:snapToGrid w:val="0"/>
        </w:rPr>
        <w:t>.</w:t>
      </w:r>
      <w:r>
        <w:rPr>
          <w:snapToGrid w:val="0"/>
        </w:rPr>
        <w:tab/>
        <w:t>Certain documents to be produced if required by Inspector or Police officer</w:t>
      </w:r>
      <w:bookmarkEnd w:id="103"/>
      <w:bookmarkEnd w:id="104"/>
      <w:bookmarkEnd w:id="105"/>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106" w:name="_Toc457016701"/>
      <w:bookmarkStart w:id="107" w:name="_Toc518791862"/>
      <w:bookmarkStart w:id="108" w:name="_Toc290559722"/>
      <w:r>
        <w:rPr>
          <w:rStyle w:val="CharSectno"/>
        </w:rPr>
        <w:t>20H</w:t>
      </w:r>
      <w:r>
        <w:rPr>
          <w:snapToGrid w:val="0"/>
        </w:rPr>
        <w:t>.</w:t>
      </w:r>
      <w:r>
        <w:rPr>
          <w:snapToGrid w:val="0"/>
        </w:rPr>
        <w:tab/>
        <w:t>Application for and issue of identification exemption certificates</w:t>
      </w:r>
      <w:bookmarkEnd w:id="106"/>
      <w:bookmarkEnd w:id="107"/>
      <w:bookmarkEnd w:id="108"/>
    </w:p>
    <w:p>
      <w:pPr>
        <w:pStyle w:val="Subsection"/>
        <w:rPr>
          <w:snapToGrid w:val="0"/>
        </w:rPr>
      </w:pPr>
      <w:r>
        <w:rPr>
          <w:snapToGrid w:val="0"/>
        </w:rPr>
        <w:tab/>
        <w:t>(1)</w:t>
      </w:r>
      <w:r>
        <w:rPr>
          <w:snapToGrid w:val="0"/>
        </w:rPr>
        <w:tab/>
        <w:t xml:space="preserve">If the proprietor of stock applies for an identification exemption certificate under section 36A(1) of the Act, the proprietor shall include with the application evidence that the proprietor intends to export the stock from </w:t>
      </w:r>
      <w:smartTag w:uri="urn:schemas-microsoft-com:office:smarttags" w:element="country-region">
        <w:r>
          <w:rPr>
            <w:snapToGrid w:val="0"/>
          </w:rPr>
          <w:t>Australia</w:t>
        </w:r>
      </w:smartTag>
      <w:r>
        <w:rPr>
          <w:snapToGrid w:val="0"/>
        </w:rPr>
        <w:t>.</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w:t>
      </w:r>
    </w:p>
    <w:p>
      <w:pPr>
        <w:pStyle w:val="Indenta"/>
        <w:rPr>
          <w:snapToGrid w:val="0"/>
        </w:rPr>
      </w:pPr>
      <w:r>
        <w:rPr>
          <w:snapToGrid w:val="0"/>
        </w:rPr>
        <w:tab/>
        <w:t>(a)</w:t>
      </w:r>
      <w:r>
        <w:rPr>
          <w:snapToGrid w:val="0"/>
        </w:rPr>
        <w:tab/>
        <w:t>if the application is made not less than 21 days before the certificate expires; and</w:t>
      </w:r>
    </w:p>
    <w:p>
      <w:pPr>
        <w:pStyle w:val="Indenta"/>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rStyle w:val="CharDefText"/>
        </w:rPr>
        <w:t>evidence</w:t>
      </w:r>
      <w:r>
        <w:rPr>
          <w:snapToGrid w:val="0"/>
        </w:rPr>
        <w:t xml:space="preserve"> includes a written contract, or a copy of a written contract, entered into by the proprietor of the stock for the stock to be exported from </w:t>
      </w:r>
      <w:smartTag w:uri="urn:schemas-microsoft-com:office:smarttags" w:element="country-region">
        <w:r>
          <w:rPr>
            <w:snapToGrid w:val="0"/>
          </w:rPr>
          <w:t>Australia</w:t>
        </w:r>
      </w:smartTag>
      <w:r>
        <w:rPr>
          <w:snapToGrid w:val="0"/>
        </w:rPr>
        <w:t>.</w:t>
      </w:r>
    </w:p>
    <w:p>
      <w:pPr>
        <w:pStyle w:val="Footnotesection"/>
      </w:pPr>
      <w:r>
        <w:tab/>
        <w:t>[Regulation 20H inserted in Gazette 2 May 1995 p. 1659</w:t>
      </w:r>
      <w:r>
        <w:noBreakHyphen/>
        <w:t>60; amended in Gazette 10 Mar 2000 p. 1120.]</w:t>
      </w:r>
    </w:p>
    <w:p>
      <w:pPr>
        <w:pStyle w:val="Heading5"/>
        <w:rPr>
          <w:snapToGrid w:val="0"/>
        </w:rPr>
      </w:pPr>
      <w:bookmarkStart w:id="109" w:name="_Toc457016702"/>
      <w:bookmarkStart w:id="110" w:name="_Toc518791863"/>
      <w:bookmarkStart w:id="111" w:name="_Toc290559723"/>
      <w:r>
        <w:rPr>
          <w:rStyle w:val="CharSectno"/>
        </w:rPr>
        <w:t>20I</w:t>
      </w:r>
      <w:r>
        <w:rPr>
          <w:snapToGrid w:val="0"/>
        </w:rPr>
        <w:t>.</w:t>
      </w:r>
      <w:r>
        <w:rPr>
          <w:snapToGrid w:val="0"/>
        </w:rPr>
        <w:tab/>
        <w:t>Movement permits</w:t>
      </w:r>
      <w:bookmarkEnd w:id="109"/>
      <w:bookmarkEnd w:id="110"/>
      <w:bookmarkEnd w:id="111"/>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w:t>
      </w:r>
    </w:p>
    <w:p>
      <w:pPr>
        <w:pStyle w:val="Indenta"/>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112" w:name="_Toc457016703"/>
      <w:bookmarkStart w:id="113" w:name="_Toc518791864"/>
      <w:bookmarkStart w:id="114" w:name="_Toc290559724"/>
      <w:r>
        <w:rPr>
          <w:rStyle w:val="CharSectno"/>
        </w:rPr>
        <w:t>20J</w:t>
      </w:r>
      <w:r>
        <w:rPr>
          <w:snapToGrid w:val="0"/>
        </w:rPr>
        <w:t>.</w:t>
      </w:r>
      <w:r>
        <w:rPr>
          <w:snapToGrid w:val="0"/>
        </w:rPr>
        <w:tab/>
        <w:t>Prescribed countries — section 49A</w:t>
      </w:r>
      <w:bookmarkEnd w:id="112"/>
      <w:bookmarkEnd w:id="113"/>
      <w:bookmarkEnd w:id="114"/>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smartTag w:uri="urn:schemas-microsoft-com:office:smarttags" w:element="country-region">
              <w:smartTag w:uri="urn:schemas-microsoft-com:office:smarttags" w:element="place">
                <w:r>
                  <w:t>Algeria</w:t>
                </w:r>
              </w:smartTag>
            </w:smartTag>
          </w:p>
        </w:tc>
        <w:tc>
          <w:tcPr>
            <w:tcW w:w="1815" w:type="dxa"/>
          </w:tcPr>
          <w:p>
            <w:pPr>
              <w:pStyle w:val="Table"/>
            </w:pPr>
            <w:smartTag w:uri="urn:schemas-microsoft-com:office:smarttags" w:element="country-region">
              <w:smartTag w:uri="urn:schemas-microsoft-com:office:smarttags" w:element="place">
                <w:r>
                  <w:t>Jordan</w:t>
                </w:r>
              </w:smartTag>
            </w:smartTag>
          </w:p>
        </w:tc>
        <w:tc>
          <w:tcPr>
            <w:tcW w:w="2325" w:type="dxa"/>
          </w:tcPr>
          <w:p>
            <w:pPr>
              <w:pStyle w:val="Table"/>
            </w:pPr>
            <w:smartTag w:uri="urn:schemas-microsoft-com:office:smarttags" w:element="country-region">
              <w:smartTag w:uri="urn:schemas-microsoft-com:office:smarttags" w:element="place">
                <w:r>
                  <w:t>Qatar</w:t>
                </w:r>
              </w:smartTag>
            </w:smartTag>
          </w:p>
        </w:tc>
      </w:tr>
      <w:tr>
        <w:tc>
          <w:tcPr>
            <w:tcW w:w="1984" w:type="dxa"/>
          </w:tcPr>
          <w:p>
            <w:pPr>
              <w:pStyle w:val="Table"/>
            </w:pPr>
            <w:smartTag w:uri="urn:schemas-microsoft-com:office:smarttags" w:element="country-region">
              <w:smartTag w:uri="urn:schemas-microsoft-com:office:smarttags" w:element="place">
                <w:r>
                  <w:t>Bahrain</w:t>
                </w:r>
              </w:smartTag>
            </w:smartTag>
          </w:p>
        </w:tc>
        <w:tc>
          <w:tcPr>
            <w:tcW w:w="1815" w:type="dxa"/>
          </w:tcPr>
          <w:p>
            <w:pPr>
              <w:pStyle w:val="Table"/>
            </w:pPr>
            <w:smartTag w:uri="urn:schemas-microsoft-com:office:smarttags" w:element="country-region">
              <w:smartTag w:uri="urn:schemas-microsoft-com:office:smarttags" w:element="place">
                <w:r>
                  <w:t>Kuwait</w:t>
                </w:r>
              </w:smartTag>
            </w:smartTag>
          </w:p>
        </w:tc>
        <w:tc>
          <w:tcPr>
            <w:tcW w:w="2325" w:type="dxa"/>
          </w:tcPr>
          <w:p>
            <w:pPr>
              <w:pStyle w:val="Table"/>
            </w:pPr>
            <w:smartTag w:uri="urn:schemas-microsoft-com:office:smarttags" w:element="country-region">
              <w:smartTag w:uri="urn:schemas-microsoft-com:office:smarttags" w:element="place">
                <w:r>
                  <w:t>Saudi Arabia</w:t>
                </w:r>
              </w:smartTag>
            </w:smartTag>
          </w:p>
        </w:tc>
      </w:tr>
      <w:tr>
        <w:tc>
          <w:tcPr>
            <w:tcW w:w="1984" w:type="dxa"/>
          </w:tcPr>
          <w:p>
            <w:pPr>
              <w:pStyle w:val="Table"/>
              <w:rPr>
                <w:lang w:val="en-US"/>
              </w:rPr>
            </w:pPr>
            <w:smartTag w:uri="urn:schemas-microsoft-com:office:smarttags" w:element="State">
              <w:smartTag w:uri="urn:schemas-microsoft-com:office:smarttags" w:element="place">
                <w:r>
                  <w:t>Ceuta</w:t>
                </w:r>
              </w:smartTag>
            </w:smartTag>
          </w:p>
        </w:tc>
        <w:tc>
          <w:tcPr>
            <w:tcW w:w="1815" w:type="dxa"/>
          </w:tcPr>
          <w:p>
            <w:pPr>
              <w:pStyle w:val="Table"/>
            </w:pPr>
            <w:smartTag w:uri="urn:schemas-microsoft-com:office:smarttags" w:element="country-region">
              <w:smartTag w:uri="urn:schemas-microsoft-com:office:smarttags" w:element="place">
                <w:r>
                  <w:t>Lebanon</w:t>
                </w:r>
              </w:smartTag>
            </w:smartTag>
          </w:p>
        </w:tc>
        <w:tc>
          <w:tcPr>
            <w:tcW w:w="2325" w:type="dxa"/>
          </w:tcPr>
          <w:p>
            <w:pPr>
              <w:pStyle w:val="Table"/>
            </w:pPr>
            <w:smartTag w:uri="urn:schemas-microsoft-com:office:smarttags" w:element="country-region">
              <w:smartTag w:uri="urn:schemas-microsoft-com:office:smarttags" w:element="place">
                <w:r>
                  <w:t>Singapore</w:t>
                </w:r>
              </w:smartTag>
            </w:smartTag>
          </w:p>
        </w:tc>
      </w:tr>
      <w:tr>
        <w:tc>
          <w:tcPr>
            <w:tcW w:w="1984" w:type="dxa"/>
          </w:tcPr>
          <w:p>
            <w:pPr>
              <w:pStyle w:val="Table"/>
            </w:pPr>
            <w:smartTag w:uri="urn:schemas-microsoft-com:office:smarttags" w:element="country-region">
              <w:smartTag w:uri="urn:schemas-microsoft-com:office:smarttags" w:element="place">
                <w:r>
                  <w:t>Cyprus</w:t>
                </w:r>
              </w:smartTag>
            </w:smartTag>
          </w:p>
        </w:tc>
        <w:tc>
          <w:tcPr>
            <w:tcW w:w="1815" w:type="dxa"/>
          </w:tcPr>
          <w:p>
            <w:pPr>
              <w:pStyle w:val="Table"/>
            </w:pPr>
            <w:smartTag w:uri="urn:schemas-microsoft-com:office:smarttags" w:element="country-region">
              <w:smartTag w:uri="urn:schemas-microsoft-com:office:smarttags" w:element="place">
                <w:r>
                  <w:t>Libya</w:t>
                </w:r>
              </w:smartTag>
            </w:smartTag>
          </w:p>
        </w:tc>
        <w:tc>
          <w:tcPr>
            <w:tcW w:w="2325" w:type="dxa"/>
          </w:tcPr>
          <w:p>
            <w:pPr>
              <w:pStyle w:val="Table"/>
            </w:pPr>
            <w:smartTag w:uri="urn:schemas-microsoft-com:office:smarttags" w:element="country-region">
              <w:smartTag w:uri="urn:schemas-microsoft-com:office:smarttags" w:element="place">
                <w:r>
                  <w:t>Syria</w:t>
                </w:r>
              </w:smartTag>
            </w:smartTag>
          </w:p>
        </w:tc>
      </w:tr>
      <w:tr>
        <w:tc>
          <w:tcPr>
            <w:tcW w:w="1984" w:type="dxa"/>
          </w:tcPr>
          <w:p>
            <w:pPr>
              <w:pStyle w:val="Table"/>
            </w:pPr>
            <w:smartTag w:uri="urn:schemas-microsoft-com:office:smarttags" w:element="country-region">
              <w:smartTag w:uri="urn:schemas-microsoft-com:office:smarttags" w:element="place">
                <w:r>
                  <w:t>Egypt</w:t>
                </w:r>
              </w:smartTag>
            </w:smartTag>
          </w:p>
        </w:tc>
        <w:tc>
          <w:tcPr>
            <w:tcW w:w="1815" w:type="dxa"/>
          </w:tcPr>
          <w:p>
            <w:pPr>
              <w:pStyle w:val="Table"/>
            </w:pPr>
            <w:smartTag w:uri="urn:schemas-microsoft-com:office:smarttags" w:element="country-region">
              <w:smartTag w:uri="urn:schemas-microsoft-com:office:smarttags" w:element="place">
                <w:r>
                  <w:t>Malaysia</w:t>
                </w:r>
              </w:smartTag>
            </w:smartTag>
          </w:p>
        </w:tc>
        <w:tc>
          <w:tcPr>
            <w:tcW w:w="2325" w:type="dxa"/>
          </w:tcPr>
          <w:p>
            <w:pPr>
              <w:pStyle w:val="Table"/>
            </w:pPr>
            <w:smartTag w:uri="urn:schemas-microsoft-com:office:smarttags" w:element="country-region">
              <w:smartTag w:uri="urn:schemas-microsoft-com:office:smarttags" w:element="place">
                <w:r>
                  <w:t>Tunisia</w:t>
                </w:r>
              </w:smartTag>
            </w:smartTag>
          </w:p>
        </w:tc>
      </w:tr>
      <w:tr>
        <w:tc>
          <w:tcPr>
            <w:tcW w:w="1984" w:type="dxa"/>
          </w:tcPr>
          <w:p>
            <w:pPr>
              <w:pStyle w:val="Table"/>
            </w:pPr>
            <w:smartTag w:uri="urn:schemas-microsoft-com:office:smarttags" w:element="country-region">
              <w:smartTag w:uri="urn:schemas-microsoft-com:office:smarttags" w:element="place">
                <w:r>
                  <w:t>Indonesia</w:t>
                </w:r>
              </w:smartTag>
            </w:smartTag>
          </w:p>
        </w:tc>
        <w:tc>
          <w:tcPr>
            <w:tcW w:w="1815" w:type="dxa"/>
          </w:tcPr>
          <w:p>
            <w:pPr>
              <w:pStyle w:val="Table"/>
            </w:pPr>
            <w:smartTag w:uri="urn:schemas-microsoft-com:office:smarttags" w:element="State">
              <w:smartTag w:uri="urn:schemas-microsoft-com:office:smarttags" w:element="place">
                <w:r>
                  <w:t>Melilla</w:t>
                </w:r>
              </w:smartTag>
            </w:smartTag>
          </w:p>
        </w:tc>
        <w:tc>
          <w:tcPr>
            <w:tcW w:w="2325" w:type="dxa"/>
          </w:tcPr>
          <w:p>
            <w:pPr>
              <w:pStyle w:val="Table"/>
            </w:pPr>
            <w:smartTag w:uri="urn:schemas-microsoft-com:office:smarttags" w:element="country-region">
              <w:smartTag w:uri="urn:schemas-microsoft-com:office:smarttags" w:element="place">
                <w:r>
                  <w:t>Turkey</w:t>
                </w:r>
              </w:smartTag>
            </w:smartTag>
          </w:p>
        </w:tc>
      </w:tr>
      <w:tr>
        <w:tc>
          <w:tcPr>
            <w:tcW w:w="1984" w:type="dxa"/>
          </w:tcPr>
          <w:p>
            <w:pPr>
              <w:pStyle w:val="Table"/>
            </w:pPr>
            <w:smartTag w:uri="urn:schemas-microsoft-com:office:smarttags" w:element="country-region">
              <w:smartTag w:uri="urn:schemas-microsoft-com:office:smarttags" w:element="place">
                <w:r>
                  <w:t>Iran</w:t>
                </w:r>
              </w:smartTag>
            </w:smartTag>
          </w:p>
        </w:tc>
        <w:tc>
          <w:tcPr>
            <w:tcW w:w="1815" w:type="dxa"/>
          </w:tcPr>
          <w:p>
            <w:pPr>
              <w:pStyle w:val="Table"/>
            </w:pPr>
            <w:smartTag w:uri="urn:schemas-microsoft-com:office:smarttags" w:element="country-region">
              <w:smartTag w:uri="urn:schemas-microsoft-com:office:smarttags" w:element="place">
                <w:r>
                  <w:t>Morocco</w:t>
                </w:r>
              </w:smartTag>
            </w:smartTag>
          </w:p>
        </w:tc>
        <w:tc>
          <w:tcPr>
            <w:tcW w:w="2325" w:type="dxa"/>
          </w:tcPr>
          <w:p>
            <w:pPr>
              <w:pStyle w:val="Table"/>
            </w:pPr>
            <w:smartTag w:uri="urn:schemas-microsoft-com:office:smarttags" w:element="country-region">
              <w:smartTag w:uri="urn:schemas-microsoft-com:office:smarttags" w:element="place">
                <w:r>
                  <w:t>United Arab Emirates</w:t>
                </w:r>
              </w:smartTag>
            </w:smartTag>
          </w:p>
        </w:tc>
      </w:tr>
      <w:tr>
        <w:tc>
          <w:tcPr>
            <w:tcW w:w="1984" w:type="dxa"/>
          </w:tcPr>
          <w:p>
            <w:pPr>
              <w:pStyle w:val="Table"/>
            </w:pPr>
            <w:smartTag w:uri="urn:schemas-microsoft-com:office:smarttags" w:element="country-region">
              <w:smartTag w:uri="urn:schemas-microsoft-com:office:smarttags" w:element="place">
                <w:r>
                  <w:t>Iraq</w:t>
                </w:r>
              </w:smartTag>
            </w:smartTag>
          </w:p>
        </w:tc>
        <w:tc>
          <w:tcPr>
            <w:tcW w:w="1815" w:type="dxa"/>
          </w:tcPr>
          <w:p>
            <w:pPr>
              <w:pStyle w:val="Table"/>
            </w:pPr>
            <w:smartTag w:uri="urn:schemas-microsoft-com:office:smarttags" w:element="country-region">
              <w:smartTag w:uri="urn:schemas-microsoft-com:office:smarttags" w:element="place">
                <w:r>
                  <w:t>Oman</w:t>
                </w:r>
              </w:smartTag>
            </w:smartTag>
          </w:p>
        </w:tc>
        <w:tc>
          <w:tcPr>
            <w:tcW w:w="2325" w:type="dxa"/>
          </w:tcPr>
          <w:p>
            <w:pPr>
              <w:pStyle w:val="Table"/>
            </w:pPr>
            <w:smartTag w:uri="urn:schemas-microsoft-com:office:smarttags" w:element="country-region">
              <w:smartTag w:uri="urn:schemas-microsoft-com:office:smarttags" w:element="place">
                <w:r>
                  <w:t>Yemen</w:t>
                </w:r>
              </w:smartTag>
            </w:smartTag>
          </w:p>
        </w:tc>
      </w:tr>
    </w:tbl>
    <w:p>
      <w:pPr>
        <w:pStyle w:val="Footnotesection"/>
      </w:pPr>
      <w:r>
        <w:tab/>
        <w:t>[Regulation 20J inserted in Gazette 2 May 1995 p. 1660.]</w:t>
      </w:r>
    </w:p>
    <w:p>
      <w:pPr>
        <w:pStyle w:val="Heading5"/>
        <w:rPr>
          <w:snapToGrid w:val="0"/>
        </w:rPr>
      </w:pPr>
      <w:bookmarkStart w:id="115" w:name="_Toc457016704"/>
      <w:bookmarkStart w:id="116" w:name="_Toc518791865"/>
      <w:bookmarkStart w:id="117" w:name="_Toc290559725"/>
      <w:r>
        <w:rPr>
          <w:rStyle w:val="CharSectno"/>
        </w:rPr>
        <w:t>21</w:t>
      </w:r>
      <w:r>
        <w:rPr>
          <w:snapToGrid w:val="0"/>
        </w:rPr>
        <w:t>.</w:t>
      </w:r>
      <w:r>
        <w:rPr>
          <w:snapToGrid w:val="0"/>
        </w:rPr>
        <w:tab/>
        <w:t>Offences and penalty</w:t>
      </w:r>
      <w:bookmarkEnd w:id="115"/>
      <w:bookmarkEnd w:id="116"/>
      <w:bookmarkEnd w:id="117"/>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18" w:name="_Toc112819385"/>
      <w:bookmarkStart w:id="119" w:name="_Toc112819428"/>
      <w:bookmarkStart w:id="120" w:name="_Toc114978266"/>
      <w:bookmarkStart w:id="121" w:name="_Toc115849065"/>
      <w:bookmarkStart w:id="122" w:name="_Toc115851266"/>
      <w:bookmarkStart w:id="123" w:name="_Toc117992962"/>
      <w:bookmarkStart w:id="124" w:name="_Toc119292186"/>
      <w:bookmarkStart w:id="125" w:name="_Toc138658213"/>
      <w:bookmarkStart w:id="126" w:name="_Toc139267723"/>
      <w:bookmarkStart w:id="127" w:name="_Toc139268618"/>
      <w:bookmarkStart w:id="128" w:name="_Toc146352756"/>
      <w:bookmarkStart w:id="129" w:name="_Toc146427559"/>
      <w:bookmarkStart w:id="130" w:name="_Toc170552952"/>
      <w:bookmarkStart w:id="131" w:name="_Toc170724994"/>
      <w:bookmarkStart w:id="132" w:name="_Toc198969528"/>
      <w:bookmarkStart w:id="133" w:name="_Toc198969644"/>
      <w:bookmarkStart w:id="134" w:name="_Toc199049084"/>
      <w:bookmarkStart w:id="135" w:name="_Toc212945677"/>
      <w:bookmarkStart w:id="136" w:name="_Toc212945720"/>
      <w:bookmarkStart w:id="137" w:name="_Toc212947916"/>
      <w:bookmarkStart w:id="138" w:name="_Toc213652924"/>
      <w:bookmarkStart w:id="139" w:name="_Toc231353918"/>
      <w:bookmarkStart w:id="140" w:name="_Toc233780290"/>
      <w:bookmarkStart w:id="141" w:name="_Toc265663032"/>
      <w:bookmarkStart w:id="142" w:name="_Toc290559601"/>
      <w:bookmarkStart w:id="143" w:name="_Toc290559726"/>
      <w:r>
        <w:rPr>
          <w:rStyle w:val="CharSchNo"/>
        </w:rPr>
        <w:t>Schedule 1</w:t>
      </w:r>
      <w:r>
        <w:t> — </w:t>
      </w:r>
      <w:r>
        <w:rPr>
          <w:rStyle w:val="CharSchText"/>
        </w:rPr>
        <w:t>Form of the register</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yShoulderClause"/>
      </w:pPr>
      <w:r>
        <w:t>[r. 12(1)]</w:t>
      </w:r>
    </w:p>
    <w:p>
      <w:pPr>
        <w:pStyle w:val="yFootnoteheading"/>
      </w:pPr>
      <w:r>
        <w:tab/>
        <w:t>[Heading inserted in Gazette 14 Jun 2005 p. 2625.]</w:t>
      </w:r>
    </w:p>
    <w:p>
      <w:pPr>
        <w:pStyle w:val="MiscellaneousHeading"/>
        <w:rPr>
          <w:i/>
        </w:rPr>
      </w:pPr>
      <w:r>
        <w:rPr>
          <w:i/>
        </w:rPr>
        <w:t>Stock (Identification and Movement) Act 1970</w:t>
      </w:r>
    </w:p>
    <w:p>
      <w:pPr>
        <w:pStyle w:val="MiscellaneousHeading"/>
      </w:pPr>
      <w:r>
        <w:t>Section 20(3)</w:t>
      </w:r>
    </w:p>
    <w:p>
      <w:pPr>
        <w:pStyle w:val="yTHeadingNAm"/>
      </w:pPr>
      <w:r>
        <w:t>Part A</w:t>
      </w:r>
    </w:p>
    <w:p>
      <w:pPr>
        <w:pStyle w:val="yTHeadingNAm"/>
      </w:pPr>
      <w: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887"/>
      </w:tblGrid>
      <w:tr>
        <w:trPr>
          <w:cantSplit/>
        </w:trPr>
        <w:tc>
          <w:tcPr>
            <w:tcW w:w="511" w:type="dxa"/>
          </w:tcPr>
          <w:p>
            <w:pPr>
              <w:pStyle w:val="yTableNAm"/>
              <w:rPr>
                <w:sz w:val="14"/>
                <w:szCs w:val="14"/>
              </w:rPr>
            </w:pPr>
            <w:r>
              <w:rPr>
                <w:sz w:val="14"/>
                <w:szCs w:val="14"/>
              </w:rPr>
              <w:t>Reg. no. /</w:t>
            </w:r>
          </w:p>
          <w:p>
            <w:pPr>
              <w:pStyle w:val="yTableNAm"/>
              <w:rPr>
                <w:sz w:val="14"/>
                <w:szCs w:val="14"/>
              </w:rPr>
            </w:pPr>
            <w:r>
              <w:rPr>
                <w:sz w:val="14"/>
                <w:szCs w:val="14"/>
              </w:rPr>
              <w:t>Pig tattoo</w:t>
            </w:r>
          </w:p>
        </w:tc>
        <w:tc>
          <w:tcPr>
            <w:tcW w:w="709" w:type="dxa"/>
          </w:tcPr>
          <w:p>
            <w:pPr>
              <w:pStyle w:val="yTableNAm"/>
              <w:jc w:val="center"/>
              <w:rPr>
                <w:sz w:val="14"/>
                <w:szCs w:val="14"/>
              </w:rPr>
            </w:pPr>
            <w:r>
              <w:rPr>
                <w:sz w:val="14"/>
                <w:szCs w:val="14"/>
              </w:rPr>
              <w:t>Brand</w:t>
            </w:r>
          </w:p>
        </w:tc>
        <w:tc>
          <w:tcPr>
            <w:tcW w:w="851" w:type="dxa"/>
          </w:tcPr>
          <w:p>
            <w:pPr>
              <w:pStyle w:val="yTableNAm"/>
              <w:jc w:val="center"/>
              <w:rPr>
                <w:sz w:val="14"/>
                <w:szCs w:val="14"/>
              </w:rPr>
            </w:pPr>
            <w:r>
              <w:rPr>
                <w:sz w:val="14"/>
                <w:szCs w:val="14"/>
              </w:rPr>
              <w:t>Earmark</w:t>
            </w:r>
          </w:p>
        </w:tc>
        <w:tc>
          <w:tcPr>
            <w:tcW w:w="850" w:type="dxa"/>
          </w:tcPr>
          <w:p>
            <w:pPr>
              <w:pStyle w:val="yTableNAm"/>
              <w:jc w:val="center"/>
              <w:rPr>
                <w:sz w:val="14"/>
                <w:szCs w:val="14"/>
              </w:rPr>
            </w:pPr>
            <w:r>
              <w:rPr>
                <w:sz w:val="14"/>
                <w:szCs w:val="14"/>
              </w:rPr>
              <w:t>Date of registration</w:t>
            </w:r>
          </w:p>
        </w:tc>
        <w:tc>
          <w:tcPr>
            <w:tcW w:w="775" w:type="dxa"/>
          </w:tcPr>
          <w:p>
            <w:pPr>
              <w:pStyle w:val="yTableNAm"/>
              <w:jc w:val="center"/>
              <w:rPr>
                <w:spacing w:val="-4"/>
                <w:sz w:val="14"/>
                <w:szCs w:val="14"/>
              </w:rPr>
            </w:pPr>
            <w:r>
              <w:rPr>
                <w:spacing w:val="-4"/>
                <w:sz w:val="14"/>
                <w:szCs w:val="14"/>
              </w:rPr>
              <w:t>Expiry of registration</w:t>
            </w:r>
          </w:p>
        </w:tc>
        <w:tc>
          <w:tcPr>
            <w:tcW w:w="854" w:type="dxa"/>
          </w:tcPr>
          <w:p>
            <w:pPr>
              <w:pStyle w:val="yTableNAm"/>
              <w:jc w:val="center"/>
              <w:rPr>
                <w:sz w:val="14"/>
                <w:szCs w:val="14"/>
              </w:rPr>
            </w:pPr>
            <w:r>
              <w:rPr>
                <w:sz w:val="14"/>
                <w:szCs w:val="14"/>
              </w:rPr>
              <w:t>Brand owner’s name and/or trading name</w:t>
            </w:r>
          </w:p>
        </w:tc>
        <w:tc>
          <w:tcPr>
            <w:tcW w:w="798" w:type="dxa"/>
          </w:tcPr>
          <w:p>
            <w:pPr>
              <w:pStyle w:val="yTableNAm"/>
              <w:jc w:val="center"/>
              <w:rPr>
                <w:sz w:val="14"/>
                <w:szCs w:val="14"/>
              </w:rPr>
            </w:pPr>
            <w:r>
              <w:rPr>
                <w:sz w:val="14"/>
                <w:szCs w:val="14"/>
              </w:rPr>
              <w:t>Postal address of brand owner</w:t>
            </w:r>
          </w:p>
        </w:tc>
        <w:tc>
          <w:tcPr>
            <w:tcW w:w="797" w:type="dxa"/>
          </w:tcPr>
          <w:p>
            <w:pPr>
              <w:pStyle w:val="yTableNAm"/>
              <w:jc w:val="center"/>
              <w:rPr>
                <w:sz w:val="14"/>
                <w:szCs w:val="14"/>
              </w:rPr>
            </w:pPr>
            <w:r>
              <w:rPr>
                <w:sz w:val="14"/>
                <w:szCs w:val="14"/>
              </w:rPr>
              <w:t>Name of run or farm / Property address</w:t>
            </w:r>
          </w:p>
        </w:tc>
        <w:tc>
          <w:tcPr>
            <w:tcW w:w="887" w:type="dxa"/>
          </w:tcPr>
          <w:p>
            <w:pPr>
              <w:pStyle w:val="yTableNAm"/>
              <w:jc w:val="center"/>
              <w:rPr>
                <w:spacing w:val="-4"/>
                <w:sz w:val="14"/>
                <w:szCs w:val="14"/>
              </w:rPr>
            </w:pPr>
            <w:r>
              <w:rPr>
                <w:spacing w:val="-4"/>
                <w:sz w:val="14"/>
                <w:szCs w:val="14"/>
              </w:rPr>
              <w:t>Property identification code for brand</w:t>
            </w:r>
          </w:p>
        </w:tc>
      </w:tr>
      <w:tr>
        <w:trPr>
          <w:cantSplit/>
        </w:trPr>
        <w:tc>
          <w:tcPr>
            <w:tcW w:w="511" w:type="dxa"/>
          </w:tcPr>
          <w:p>
            <w:pPr>
              <w:pStyle w:val="yTableNAm"/>
              <w:rPr>
                <w:spacing w:val="-1"/>
                <w:sz w:val="14"/>
                <w:szCs w:val="14"/>
              </w:rPr>
            </w:pPr>
          </w:p>
          <w:p>
            <w:pPr>
              <w:pStyle w:val="yTableNAm"/>
              <w:rPr>
                <w:spacing w:val="-1"/>
                <w:sz w:val="14"/>
                <w:szCs w:val="14"/>
              </w:rPr>
            </w:pPr>
          </w:p>
          <w:p>
            <w:pPr>
              <w:pStyle w:val="yTableNAm"/>
              <w:rPr>
                <w:spacing w:val="-1"/>
                <w:sz w:val="14"/>
                <w:szCs w:val="14"/>
              </w:rPr>
            </w:pPr>
          </w:p>
          <w:p>
            <w:pPr>
              <w:pStyle w:val="yTableNAm"/>
              <w:rPr>
                <w:spacing w:val="-1"/>
                <w:sz w:val="14"/>
                <w:szCs w:val="14"/>
              </w:rPr>
            </w:pPr>
          </w:p>
        </w:tc>
        <w:tc>
          <w:tcPr>
            <w:tcW w:w="709" w:type="dxa"/>
          </w:tcPr>
          <w:p>
            <w:pPr>
              <w:pStyle w:val="yTableNAm"/>
              <w:rPr>
                <w:spacing w:val="-1"/>
                <w:sz w:val="14"/>
                <w:szCs w:val="14"/>
              </w:rPr>
            </w:pPr>
          </w:p>
        </w:tc>
        <w:tc>
          <w:tcPr>
            <w:tcW w:w="851" w:type="dxa"/>
          </w:tcPr>
          <w:p>
            <w:pPr>
              <w:pStyle w:val="yTableNAm"/>
              <w:rPr>
                <w:spacing w:val="-1"/>
                <w:sz w:val="14"/>
                <w:szCs w:val="14"/>
              </w:rPr>
            </w:pPr>
          </w:p>
        </w:tc>
        <w:tc>
          <w:tcPr>
            <w:tcW w:w="850" w:type="dxa"/>
          </w:tcPr>
          <w:p>
            <w:pPr>
              <w:pStyle w:val="yTableNAm"/>
              <w:rPr>
                <w:spacing w:val="-1"/>
                <w:sz w:val="14"/>
                <w:szCs w:val="14"/>
              </w:rPr>
            </w:pPr>
          </w:p>
        </w:tc>
        <w:tc>
          <w:tcPr>
            <w:tcW w:w="775" w:type="dxa"/>
          </w:tcPr>
          <w:p>
            <w:pPr>
              <w:pStyle w:val="yTableNAm"/>
              <w:rPr>
                <w:spacing w:val="-1"/>
                <w:sz w:val="14"/>
                <w:szCs w:val="14"/>
              </w:rPr>
            </w:pPr>
          </w:p>
        </w:tc>
        <w:tc>
          <w:tcPr>
            <w:tcW w:w="854" w:type="dxa"/>
          </w:tcPr>
          <w:p>
            <w:pPr>
              <w:pStyle w:val="yTableNAm"/>
              <w:rPr>
                <w:spacing w:val="-1"/>
                <w:sz w:val="14"/>
                <w:szCs w:val="14"/>
              </w:rPr>
            </w:pPr>
          </w:p>
        </w:tc>
        <w:tc>
          <w:tcPr>
            <w:tcW w:w="798" w:type="dxa"/>
          </w:tcPr>
          <w:p>
            <w:pPr>
              <w:pStyle w:val="yTableNAm"/>
              <w:rPr>
                <w:spacing w:val="-1"/>
                <w:sz w:val="14"/>
                <w:szCs w:val="14"/>
              </w:rPr>
            </w:pPr>
          </w:p>
        </w:tc>
        <w:tc>
          <w:tcPr>
            <w:tcW w:w="797" w:type="dxa"/>
          </w:tcPr>
          <w:p>
            <w:pPr>
              <w:pStyle w:val="yTableNAm"/>
              <w:rPr>
                <w:spacing w:val="-1"/>
                <w:sz w:val="14"/>
                <w:szCs w:val="14"/>
              </w:rPr>
            </w:pPr>
          </w:p>
        </w:tc>
        <w:tc>
          <w:tcPr>
            <w:tcW w:w="887" w:type="dxa"/>
          </w:tcPr>
          <w:p>
            <w:pPr>
              <w:pStyle w:val="yTableNAm"/>
              <w:rPr>
                <w:spacing w:val="-1"/>
                <w:sz w:val="14"/>
                <w:szCs w:val="14"/>
              </w:rPr>
            </w:pPr>
          </w:p>
        </w:tc>
      </w:tr>
    </w:tbl>
    <w:p>
      <w:pPr>
        <w:pStyle w:val="yFootnotesection"/>
      </w:pPr>
      <w:r>
        <w:tab/>
        <w:t>[Part A inserted in Gazette 15 Apr 2011 p. 1413.]</w:t>
      </w:r>
    </w:p>
    <w:p>
      <w:pPr>
        <w:pStyle w:val="yTHeadingNAm"/>
      </w:pPr>
      <w:r>
        <w:t>Part B</w:t>
      </w:r>
    </w:p>
    <w:p>
      <w:pPr>
        <w:pStyle w:val="yTHeadingNAm"/>
      </w:pPr>
      <w:r>
        <w:t>Brands and earmarks registered by Registrar under section 8(3)</w:t>
      </w:r>
    </w:p>
    <w:p>
      <w:pPr>
        <w:pStyle w:val="yTHeadingNAm"/>
        <w:rPr>
          <w:b w:val="0"/>
        </w:rPr>
      </w:pPr>
      <w:r>
        <w:rPr>
          <w:b w:val="0"/>
        </w:rPr>
        <w:t>Division 1 — Identification of diseased stock</w:t>
      </w:r>
    </w:p>
    <w:tbl>
      <w:tblPr>
        <w:tblW w:w="0" w:type="auto"/>
        <w:jc w:val="center"/>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rPr>
          <w:jc w:val="center"/>
        </w:trPr>
        <w:tc>
          <w:tcPr>
            <w:tcW w:w="1701" w:type="dxa"/>
          </w:tcPr>
          <w:p>
            <w:pPr>
              <w:pStyle w:val="yTableNAm"/>
              <w:jc w:val="center"/>
              <w:rPr>
                <w:spacing w:val="-1"/>
                <w:szCs w:val="22"/>
              </w:rPr>
            </w:pPr>
            <w:r>
              <w:rPr>
                <w:spacing w:val="-1"/>
                <w:szCs w:val="22"/>
              </w:rPr>
              <w:t>Registration Number</w:t>
            </w:r>
          </w:p>
        </w:tc>
        <w:tc>
          <w:tcPr>
            <w:tcW w:w="1985" w:type="dxa"/>
          </w:tcPr>
          <w:p>
            <w:pPr>
              <w:pStyle w:val="yTableNAm"/>
              <w:jc w:val="center"/>
              <w:rPr>
                <w:spacing w:val="-1"/>
                <w:szCs w:val="22"/>
              </w:rPr>
            </w:pPr>
            <w:r>
              <w:rPr>
                <w:spacing w:val="-1"/>
                <w:szCs w:val="22"/>
              </w:rPr>
              <w:t>Brand/Earmark</w:t>
            </w:r>
          </w:p>
        </w:tc>
        <w:tc>
          <w:tcPr>
            <w:tcW w:w="1701" w:type="dxa"/>
          </w:tcPr>
          <w:p>
            <w:pPr>
              <w:pStyle w:val="yTableNAm"/>
              <w:jc w:val="center"/>
              <w:rPr>
                <w:spacing w:val="-1"/>
                <w:szCs w:val="22"/>
              </w:rPr>
            </w:pPr>
            <w:r>
              <w:rPr>
                <w:spacing w:val="-1"/>
                <w:szCs w:val="22"/>
              </w:rPr>
              <w:t>Date of Registration</w:t>
            </w:r>
          </w:p>
        </w:tc>
        <w:tc>
          <w:tcPr>
            <w:tcW w:w="1701" w:type="dxa"/>
          </w:tcPr>
          <w:p>
            <w:pPr>
              <w:pStyle w:val="yTableNAm"/>
              <w:jc w:val="center"/>
              <w:rPr>
                <w:spacing w:val="-1"/>
                <w:szCs w:val="22"/>
              </w:rPr>
            </w:pPr>
            <w:r>
              <w:rPr>
                <w:spacing w:val="-1"/>
                <w:szCs w:val="22"/>
              </w:rPr>
              <w:t>Circumstances for use</w:t>
            </w:r>
          </w:p>
        </w:tc>
      </w:tr>
      <w:tr>
        <w:trPr>
          <w:jc w:val="center"/>
        </w:trPr>
        <w:tc>
          <w:tcPr>
            <w:tcW w:w="1701" w:type="dxa"/>
          </w:tcPr>
          <w:p>
            <w:pPr>
              <w:pStyle w:val="yTableNAm"/>
              <w:rPr>
                <w:spacing w:val="-1"/>
                <w:szCs w:val="22"/>
              </w:rPr>
            </w:pPr>
          </w:p>
        </w:tc>
        <w:tc>
          <w:tcPr>
            <w:tcW w:w="1985" w:type="dxa"/>
          </w:tcPr>
          <w:p>
            <w:pPr>
              <w:pStyle w:val="yTableNAm"/>
              <w:rPr>
                <w:spacing w:val="-1"/>
                <w:szCs w:val="22"/>
              </w:rPr>
            </w:pPr>
          </w:p>
        </w:tc>
        <w:tc>
          <w:tcPr>
            <w:tcW w:w="1701" w:type="dxa"/>
          </w:tcPr>
          <w:p>
            <w:pPr>
              <w:pStyle w:val="yTableNAm"/>
              <w:rPr>
                <w:spacing w:val="-1"/>
                <w:szCs w:val="22"/>
              </w:rPr>
            </w:pPr>
          </w:p>
        </w:tc>
        <w:tc>
          <w:tcPr>
            <w:tcW w:w="1701" w:type="dxa"/>
          </w:tcPr>
          <w:p>
            <w:pPr>
              <w:pStyle w:val="yTableNAm"/>
              <w:rPr>
                <w:spacing w:val="-1"/>
                <w:szCs w:val="22"/>
              </w:rPr>
            </w:pPr>
          </w:p>
          <w:p>
            <w:pPr>
              <w:pStyle w:val="yTableNAm"/>
              <w:rPr>
                <w:spacing w:val="-1"/>
                <w:szCs w:val="22"/>
              </w:rPr>
            </w:pPr>
          </w:p>
          <w:p>
            <w:pPr>
              <w:pStyle w:val="yTableNAm"/>
              <w:rPr>
                <w:spacing w:val="-1"/>
                <w:szCs w:val="22"/>
              </w:rPr>
            </w:pPr>
          </w:p>
          <w:p>
            <w:pPr>
              <w:pStyle w:val="yTableNAm"/>
              <w:rPr>
                <w:spacing w:val="-1"/>
                <w:szCs w:val="22"/>
              </w:rPr>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outlineLvl w:val="9"/>
      </w:pPr>
      <w:r>
        <w:t>[Forms 2</w:t>
      </w:r>
      <w:r>
        <w:noBreakHyphen/>
        <w:t>6 deleted in Gazette 14 Jun 2005 p. 2625.]</w:t>
      </w:r>
    </w:p>
    <w:p>
      <w:pPr>
        <w:pStyle w:val="yEdnotesection"/>
        <w:outlineLvl w:val="9"/>
      </w:pPr>
      <w:r>
        <w:t>[Form 7 deleted in Gazette 23 Apr 2004 p. 1315.]</w:t>
      </w:r>
    </w:p>
    <w:p>
      <w:pPr>
        <w:pStyle w:val="yEdnotesection"/>
        <w:outlineLvl w:val="9"/>
      </w:pPr>
      <w:r>
        <w:t>[Forms 8-11 deleted in Gazette 2 May 1995 p. 1662.]</w:t>
      </w:r>
    </w:p>
    <w:p>
      <w:pPr>
        <w:pStyle w:val="yScheduleHeading"/>
      </w:pPr>
      <w:bookmarkStart w:id="144" w:name="_Toc265663033"/>
      <w:bookmarkStart w:id="145" w:name="_Toc290559602"/>
      <w:bookmarkStart w:id="146" w:name="_Toc290559727"/>
      <w:r>
        <w:rPr>
          <w:rStyle w:val="CharSchNo"/>
        </w:rPr>
        <w:t>Schedule 2</w:t>
      </w:r>
      <w:r>
        <w:rPr>
          <w:rStyle w:val="CharSDivNo"/>
        </w:rPr>
        <w:t> </w:t>
      </w:r>
      <w:r>
        <w:t>—</w:t>
      </w:r>
      <w:r>
        <w:rPr>
          <w:rStyle w:val="CharSDivText"/>
        </w:rPr>
        <w:t> </w:t>
      </w:r>
      <w:r>
        <w:rPr>
          <w:rStyle w:val="CharSchText"/>
        </w:rPr>
        <w:t>Fees</w:t>
      </w:r>
      <w:bookmarkEnd w:id="144"/>
      <w:bookmarkEnd w:id="145"/>
      <w:bookmarkEnd w:id="146"/>
    </w:p>
    <w:p>
      <w:pPr>
        <w:pStyle w:val="yShoulderClause"/>
      </w:pPr>
      <w:r>
        <w:t>[r. 13, 14, 16, 17, 18]</w:t>
      </w:r>
    </w:p>
    <w:p>
      <w:pPr>
        <w:pStyle w:val="yFootnoteheading"/>
        <w:spacing w:after="120"/>
      </w:pPr>
      <w:r>
        <w:tab/>
        <w:t>[Heading inserted in Gazette 30 Jun 2010 p. 3126.]</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709"/>
        <w:gridCol w:w="4111"/>
        <w:gridCol w:w="1240"/>
      </w:tblGrid>
      <w:tr>
        <w:trPr>
          <w:tblHeader/>
        </w:trPr>
        <w:tc>
          <w:tcPr>
            <w:tcW w:w="708" w:type="dxa"/>
            <w:tcBorders>
              <w:bottom w:val="single" w:sz="4" w:space="0" w:color="auto"/>
            </w:tcBorders>
          </w:tcPr>
          <w:p>
            <w:pPr>
              <w:pStyle w:val="yTableNAm"/>
              <w:jc w:val="center"/>
              <w:rPr>
                <w:b/>
                <w:bCs/>
              </w:rPr>
            </w:pPr>
            <w:r>
              <w:rPr>
                <w:b/>
                <w:bCs/>
              </w:rPr>
              <w:t>Item</w:t>
            </w:r>
          </w:p>
        </w:tc>
        <w:tc>
          <w:tcPr>
            <w:tcW w:w="709" w:type="dxa"/>
            <w:tcBorders>
              <w:bottom w:val="single" w:sz="4" w:space="0" w:color="auto"/>
            </w:tcBorders>
          </w:tcPr>
          <w:p>
            <w:pPr>
              <w:pStyle w:val="yTableNAm"/>
              <w:jc w:val="center"/>
              <w:rPr>
                <w:b/>
                <w:bCs/>
              </w:rPr>
            </w:pPr>
            <w:r>
              <w:rPr>
                <w:b/>
                <w:bCs/>
              </w:rPr>
              <w:t>Reg.</w:t>
            </w:r>
          </w:p>
        </w:tc>
        <w:tc>
          <w:tcPr>
            <w:tcW w:w="4111" w:type="dxa"/>
            <w:tcBorders>
              <w:bottom w:val="single" w:sz="4" w:space="0" w:color="auto"/>
            </w:tcBorders>
          </w:tcPr>
          <w:p>
            <w:pPr>
              <w:pStyle w:val="yTableNAm"/>
              <w:jc w:val="center"/>
              <w:rPr>
                <w:b/>
                <w:bCs/>
              </w:rPr>
            </w:pPr>
            <w:r>
              <w:rPr>
                <w:b/>
                <w:bCs/>
              </w:rPr>
              <w:t>Description</w:t>
            </w:r>
          </w:p>
        </w:tc>
        <w:tc>
          <w:tcPr>
            <w:tcW w:w="1240" w:type="dxa"/>
            <w:tcBorders>
              <w:bottom w:val="single" w:sz="4" w:space="0" w:color="auto"/>
            </w:tcBorders>
          </w:tcPr>
          <w:p>
            <w:pPr>
              <w:pStyle w:val="yTableNAm"/>
              <w:jc w:val="center"/>
              <w:rPr>
                <w:b/>
                <w:bCs/>
              </w:rPr>
            </w:pPr>
            <w:r>
              <w:rPr>
                <w:b/>
                <w:bCs/>
              </w:rPr>
              <w:t>Fee ($)</w:t>
            </w:r>
          </w:p>
        </w:tc>
      </w:tr>
      <w:tr>
        <w:tc>
          <w:tcPr>
            <w:tcW w:w="708" w:type="dxa"/>
            <w:tcBorders>
              <w:bottom w:val="nil"/>
            </w:tcBorders>
          </w:tcPr>
          <w:p>
            <w:pPr>
              <w:pStyle w:val="yTableNAm"/>
            </w:pPr>
            <w:r>
              <w:t>1.</w:t>
            </w:r>
          </w:p>
        </w:tc>
        <w:tc>
          <w:tcPr>
            <w:tcW w:w="709" w:type="dxa"/>
            <w:tcBorders>
              <w:bottom w:val="nil"/>
            </w:tcBorders>
          </w:tcPr>
          <w:p>
            <w:pPr>
              <w:pStyle w:val="yTableNAm"/>
            </w:pPr>
            <w:r>
              <w:t>13</w:t>
            </w:r>
          </w:p>
        </w:tc>
        <w:tc>
          <w:tcPr>
            <w:tcW w:w="4111" w:type="dxa"/>
            <w:tcBorders>
              <w:bottom w:val="nil"/>
            </w:tcBorders>
          </w:tcPr>
          <w:p>
            <w:pPr>
              <w:pStyle w:val="yTableNAm"/>
            </w:pPr>
            <w:r>
              <w:t>Information concerning a registered brand</w:t>
            </w:r>
          </w:p>
        </w:tc>
        <w:tc>
          <w:tcPr>
            <w:tcW w:w="1240" w:type="dxa"/>
            <w:tcBorders>
              <w:bottom w:val="nil"/>
            </w:tcBorders>
          </w:tcPr>
          <w:p>
            <w:pPr>
              <w:pStyle w:val="yTableNAm"/>
            </w:pP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leader="dot" w:pos="5670"/>
              </w:tabs>
            </w:pPr>
            <w:r>
              <w:t>(a)</w:t>
            </w:r>
            <w:r>
              <w:tab/>
              <w:t xml:space="preserve">single brand </w:t>
            </w:r>
            <w:r>
              <w:tab/>
            </w:r>
          </w:p>
        </w:tc>
        <w:tc>
          <w:tcPr>
            <w:tcW w:w="1240" w:type="dxa"/>
            <w:tcBorders>
              <w:top w:val="nil"/>
              <w:left w:val="single" w:sz="4" w:space="0" w:color="auto"/>
              <w:bottom w:val="nil"/>
              <w:right w:val="single" w:sz="4" w:space="0" w:color="auto"/>
            </w:tcBorders>
          </w:tcPr>
          <w:p>
            <w:pPr>
              <w:pStyle w:val="yTableNAm"/>
              <w:jc w:val="right"/>
            </w:pPr>
            <w:r>
              <w:t>no charge</w:t>
            </w: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leader="dot" w:pos="5670"/>
              </w:tabs>
            </w:pPr>
            <w:r>
              <w:t>(b)</w:t>
            </w:r>
            <w:r>
              <w:tab/>
              <w:t xml:space="preserve">2 – 200 brands or 1 – 10 pages </w:t>
            </w:r>
            <w:r>
              <w:tab/>
            </w:r>
          </w:p>
        </w:tc>
        <w:tc>
          <w:tcPr>
            <w:tcW w:w="1240" w:type="dxa"/>
            <w:tcBorders>
              <w:top w:val="nil"/>
              <w:left w:val="single" w:sz="4" w:space="0" w:color="auto"/>
              <w:bottom w:val="nil"/>
              <w:right w:val="single" w:sz="4" w:space="0" w:color="auto"/>
            </w:tcBorders>
          </w:tcPr>
          <w:p>
            <w:pPr>
              <w:pStyle w:val="yTableNAm"/>
              <w:jc w:val="right"/>
            </w:pPr>
            <w:r>
              <w:t>16.80</w:t>
            </w: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leader="dot" w:pos="5670"/>
              </w:tabs>
            </w:pPr>
            <w:r>
              <w:t>(c)</w:t>
            </w:r>
            <w:r>
              <w:tab/>
              <w:t xml:space="preserve">201 – 1 500 brands or 11 – 200 pages </w:t>
            </w:r>
          </w:p>
        </w:tc>
        <w:tc>
          <w:tcPr>
            <w:tcW w:w="1240" w:type="dxa"/>
            <w:tcBorders>
              <w:top w:val="nil"/>
              <w:left w:val="single" w:sz="4" w:space="0" w:color="auto"/>
              <w:bottom w:val="nil"/>
              <w:right w:val="single" w:sz="4" w:space="0" w:color="auto"/>
            </w:tcBorders>
          </w:tcPr>
          <w:p>
            <w:pPr>
              <w:pStyle w:val="yTableNAm"/>
              <w:jc w:val="right"/>
            </w:pPr>
            <w:r>
              <w:t>34.75</w:t>
            </w: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pPr>
            <w:r>
              <w:t>(d)</w:t>
            </w:r>
            <w:r>
              <w:tab/>
              <w:t>more than 1 500 brands or 200 pages</w:t>
            </w:r>
          </w:p>
        </w:tc>
        <w:tc>
          <w:tcPr>
            <w:tcW w:w="1240" w:type="dxa"/>
            <w:tcBorders>
              <w:top w:val="nil"/>
              <w:left w:val="single" w:sz="4" w:space="0" w:color="auto"/>
              <w:bottom w:val="nil"/>
              <w:right w:val="single" w:sz="4" w:space="0" w:color="auto"/>
            </w:tcBorders>
          </w:tcPr>
          <w:p>
            <w:pPr>
              <w:pStyle w:val="yTableNAm"/>
              <w:jc w:val="right"/>
            </w:pP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pos="1169"/>
                <w:tab w:val="left" w:leader="dot" w:pos="5670"/>
              </w:tabs>
            </w:pPr>
            <w:r>
              <w:tab/>
              <w:t>(i)</w:t>
            </w:r>
            <w:r>
              <w:tab/>
              <w:t xml:space="preserve">printed copy </w:t>
            </w:r>
            <w:r>
              <w:tab/>
            </w:r>
          </w:p>
        </w:tc>
        <w:tc>
          <w:tcPr>
            <w:tcW w:w="1240" w:type="dxa"/>
            <w:tcBorders>
              <w:top w:val="nil"/>
              <w:left w:val="single" w:sz="4" w:space="0" w:color="auto"/>
              <w:bottom w:val="nil"/>
              <w:right w:val="single" w:sz="4" w:space="0" w:color="auto"/>
            </w:tcBorders>
          </w:tcPr>
          <w:p>
            <w:pPr>
              <w:pStyle w:val="yTableNAm"/>
              <w:jc w:val="right"/>
            </w:pPr>
            <w:r>
              <w:t>173.00</w:t>
            </w:r>
          </w:p>
        </w:tc>
      </w:tr>
      <w:tr>
        <w:tc>
          <w:tcPr>
            <w:tcW w:w="708" w:type="dxa"/>
            <w:tcBorders>
              <w:top w:val="nil"/>
            </w:tcBorders>
          </w:tcPr>
          <w:p>
            <w:pPr>
              <w:pStyle w:val="yTableNAm"/>
            </w:pPr>
          </w:p>
        </w:tc>
        <w:tc>
          <w:tcPr>
            <w:tcW w:w="709" w:type="dxa"/>
            <w:tcBorders>
              <w:top w:val="nil"/>
            </w:tcBorders>
          </w:tcPr>
          <w:p>
            <w:pPr>
              <w:pStyle w:val="yTableNAm"/>
            </w:pPr>
          </w:p>
        </w:tc>
        <w:tc>
          <w:tcPr>
            <w:tcW w:w="4111" w:type="dxa"/>
            <w:tcBorders>
              <w:top w:val="nil"/>
            </w:tcBorders>
          </w:tcPr>
          <w:p>
            <w:pPr>
              <w:pStyle w:val="yTableNAm"/>
              <w:tabs>
                <w:tab w:val="left" w:pos="1169"/>
                <w:tab w:val="left" w:leader="dot" w:pos="5670"/>
              </w:tabs>
            </w:pPr>
            <w:r>
              <w:tab/>
              <w:t>(ii)</w:t>
            </w:r>
            <w:r>
              <w:tab/>
              <w:t xml:space="preserve">electronic copy </w:t>
            </w:r>
            <w:r>
              <w:tab/>
            </w:r>
          </w:p>
        </w:tc>
        <w:tc>
          <w:tcPr>
            <w:tcW w:w="1240" w:type="dxa"/>
            <w:tcBorders>
              <w:top w:val="nil"/>
            </w:tcBorders>
          </w:tcPr>
          <w:p>
            <w:pPr>
              <w:pStyle w:val="yTableNAm"/>
              <w:jc w:val="right"/>
            </w:pPr>
            <w:r>
              <w:t>172.00</w:t>
            </w:r>
          </w:p>
        </w:tc>
      </w:tr>
      <w:tr>
        <w:tc>
          <w:tcPr>
            <w:tcW w:w="708" w:type="dxa"/>
          </w:tcPr>
          <w:p>
            <w:pPr>
              <w:pStyle w:val="yTableNAm"/>
            </w:pPr>
            <w:r>
              <w:t>2.</w:t>
            </w:r>
          </w:p>
        </w:tc>
        <w:tc>
          <w:tcPr>
            <w:tcW w:w="709" w:type="dxa"/>
          </w:tcPr>
          <w:p>
            <w:pPr>
              <w:pStyle w:val="yTableNAm"/>
            </w:pPr>
            <w:r>
              <w:t>14(2)</w:t>
            </w:r>
          </w:p>
        </w:tc>
        <w:tc>
          <w:tcPr>
            <w:tcW w:w="4111" w:type="dxa"/>
          </w:tcPr>
          <w:p>
            <w:pPr>
              <w:pStyle w:val="yTableNAm"/>
              <w:tabs>
                <w:tab w:val="left" w:leader="dot" w:pos="5670"/>
              </w:tabs>
            </w:pPr>
            <w:r>
              <w:t xml:space="preserve">Application to register a brand </w:t>
            </w:r>
            <w:r>
              <w:tab/>
            </w:r>
          </w:p>
        </w:tc>
        <w:tc>
          <w:tcPr>
            <w:tcW w:w="1240" w:type="dxa"/>
          </w:tcPr>
          <w:p>
            <w:pPr>
              <w:pStyle w:val="yTableNAm"/>
              <w:jc w:val="right"/>
            </w:pPr>
            <w:r>
              <w:t>62.50</w:t>
            </w:r>
          </w:p>
        </w:tc>
      </w:tr>
      <w:tr>
        <w:tc>
          <w:tcPr>
            <w:tcW w:w="708" w:type="dxa"/>
          </w:tcPr>
          <w:p>
            <w:pPr>
              <w:pStyle w:val="yTableNAm"/>
            </w:pPr>
            <w:r>
              <w:t>3.</w:t>
            </w:r>
          </w:p>
        </w:tc>
        <w:tc>
          <w:tcPr>
            <w:tcW w:w="709" w:type="dxa"/>
          </w:tcPr>
          <w:p>
            <w:pPr>
              <w:pStyle w:val="yTableNAm"/>
            </w:pPr>
            <w:r>
              <w:t>16</w:t>
            </w:r>
          </w:p>
        </w:tc>
        <w:tc>
          <w:tcPr>
            <w:tcW w:w="4111" w:type="dxa"/>
          </w:tcPr>
          <w:p>
            <w:pPr>
              <w:pStyle w:val="yTableNAm"/>
              <w:tabs>
                <w:tab w:val="left" w:leader="dot" w:pos="5670"/>
              </w:tabs>
            </w:pPr>
            <w:r>
              <w:t xml:space="preserve">Provision of a duplicate certificate </w:t>
            </w:r>
            <w:r>
              <w:tab/>
            </w:r>
          </w:p>
        </w:tc>
        <w:tc>
          <w:tcPr>
            <w:tcW w:w="1240" w:type="dxa"/>
          </w:tcPr>
          <w:p>
            <w:pPr>
              <w:pStyle w:val="yTableNAm"/>
              <w:jc w:val="right"/>
            </w:pPr>
            <w:r>
              <w:t>18.90</w:t>
            </w:r>
          </w:p>
        </w:tc>
      </w:tr>
      <w:tr>
        <w:tc>
          <w:tcPr>
            <w:tcW w:w="708" w:type="dxa"/>
          </w:tcPr>
          <w:p>
            <w:pPr>
              <w:pStyle w:val="yTableNAm"/>
            </w:pPr>
            <w:r>
              <w:t>4.</w:t>
            </w:r>
          </w:p>
        </w:tc>
        <w:tc>
          <w:tcPr>
            <w:tcW w:w="709" w:type="dxa"/>
          </w:tcPr>
          <w:p>
            <w:pPr>
              <w:pStyle w:val="yTableNAm"/>
            </w:pPr>
            <w:r>
              <w:t>17(2)</w:t>
            </w:r>
          </w:p>
        </w:tc>
        <w:tc>
          <w:tcPr>
            <w:tcW w:w="4111" w:type="dxa"/>
          </w:tcPr>
          <w:p>
            <w:pPr>
              <w:pStyle w:val="yTableNAm"/>
              <w:tabs>
                <w:tab w:val="left" w:leader="dot" w:pos="5670"/>
              </w:tabs>
            </w:pPr>
            <w:r>
              <w:t xml:space="preserve">Application to transfer a registered brand </w:t>
            </w:r>
            <w:r>
              <w:tab/>
            </w:r>
          </w:p>
        </w:tc>
        <w:tc>
          <w:tcPr>
            <w:tcW w:w="1240" w:type="dxa"/>
          </w:tcPr>
          <w:p>
            <w:pPr>
              <w:pStyle w:val="yTableNAm"/>
              <w:jc w:val="right"/>
            </w:pPr>
            <w:r>
              <w:t>62.50</w:t>
            </w:r>
          </w:p>
        </w:tc>
      </w:tr>
      <w:tr>
        <w:tc>
          <w:tcPr>
            <w:tcW w:w="708" w:type="dxa"/>
          </w:tcPr>
          <w:p>
            <w:pPr>
              <w:pStyle w:val="yTableNAm"/>
            </w:pPr>
            <w:r>
              <w:t>5.</w:t>
            </w:r>
          </w:p>
        </w:tc>
        <w:tc>
          <w:tcPr>
            <w:tcW w:w="709" w:type="dxa"/>
          </w:tcPr>
          <w:p>
            <w:pPr>
              <w:pStyle w:val="yTableNAm"/>
            </w:pPr>
            <w:r>
              <w:t>18</w:t>
            </w:r>
          </w:p>
        </w:tc>
        <w:tc>
          <w:tcPr>
            <w:tcW w:w="4111" w:type="dxa"/>
          </w:tcPr>
          <w:p>
            <w:pPr>
              <w:pStyle w:val="yTableNAm"/>
              <w:tabs>
                <w:tab w:val="left" w:leader="dot" w:pos="5670"/>
              </w:tabs>
            </w:pPr>
            <w:r>
              <w:t>Application to re</w:t>
            </w:r>
            <w:r>
              <w:noBreakHyphen/>
              <w:t xml:space="preserve">register a brand </w:t>
            </w:r>
            <w:r>
              <w:tab/>
            </w:r>
          </w:p>
        </w:tc>
        <w:tc>
          <w:tcPr>
            <w:tcW w:w="1240" w:type="dxa"/>
          </w:tcPr>
          <w:p>
            <w:pPr>
              <w:pStyle w:val="yTableNAm"/>
              <w:jc w:val="right"/>
            </w:pPr>
            <w:r>
              <w:t>62.50</w:t>
            </w:r>
          </w:p>
        </w:tc>
      </w:tr>
    </w:tbl>
    <w:p>
      <w:pPr>
        <w:pStyle w:val="yFootnotesection"/>
      </w:pPr>
      <w:r>
        <w:tab/>
        <w:t>[Schedule 2 inserted in Gazette 30 Jun 2010 p. 3126.]</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47" w:name="_Toc76546388"/>
      <w:bookmarkStart w:id="148" w:name="_Toc105235344"/>
      <w:bookmarkStart w:id="149" w:name="_Toc105468701"/>
      <w:bookmarkStart w:id="150" w:name="_Toc106442431"/>
      <w:bookmarkStart w:id="151" w:name="_Toc106442867"/>
      <w:bookmarkStart w:id="152" w:name="_Toc106525591"/>
      <w:bookmarkStart w:id="153" w:name="_Toc107800896"/>
      <w:bookmarkStart w:id="154" w:name="_Toc112819387"/>
      <w:bookmarkStart w:id="155" w:name="_Toc112819430"/>
      <w:bookmarkStart w:id="156" w:name="_Toc114978268"/>
      <w:bookmarkStart w:id="157" w:name="_Toc115849067"/>
      <w:bookmarkStart w:id="158" w:name="_Toc115851268"/>
      <w:bookmarkStart w:id="159" w:name="_Toc117992964"/>
      <w:bookmarkStart w:id="160" w:name="_Toc119292188"/>
      <w:bookmarkStart w:id="161" w:name="_Toc138658216"/>
      <w:bookmarkStart w:id="162" w:name="_Toc139267725"/>
      <w:bookmarkStart w:id="163" w:name="_Toc139268620"/>
      <w:bookmarkStart w:id="164" w:name="_Toc146352758"/>
      <w:bookmarkStart w:id="165" w:name="_Toc146427561"/>
      <w:bookmarkStart w:id="166" w:name="_Toc170552955"/>
      <w:bookmarkStart w:id="167" w:name="_Toc170724996"/>
      <w:bookmarkStart w:id="168" w:name="_Toc198969530"/>
      <w:bookmarkStart w:id="169" w:name="_Toc198969646"/>
      <w:bookmarkStart w:id="170" w:name="_Toc199049086"/>
      <w:bookmarkStart w:id="171" w:name="_Toc212945679"/>
      <w:bookmarkStart w:id="172" w:name="_Toc212945722"/>
      <w:bookmarkStart w:id="173" w:name="_Toc212947918"/>
      <w:bookmarkStart w:id="174" w:name="_Toc213652926"/>
      <w:bookmarkStart w:id="175" w:name="_Toc231353920"/>
      <w:bookmarkStart w:id="176" w:name="_Toc233780292"/>
      <w:bookmarkStart w:id="177" w:name="_Toc265663034"/>
      <w:bookmarkStart w:id="178" w:name="_Toc290559603"/>
      <w:bookmarkStart w:id="179" w:name="_Toc290559728"/>
      <w:r>
        <w:t>Notes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nSubsection"/>
        <w:rPr>
          <w:snapToGrid w:val="0"/>
        </w:rPr>
      </w:pPr>
      <w:r>
        <w:rPr>
          <w:snapToGrid w:val="0"/>
          <w:vertAlign w:val="superscript"/>
        </w:rPr>
        <w:t>1</w:t>
      </w:r>
      <w:r>
        <w:rPr>
          <w:snapToGrid w:val="0"/>
        </w:rPr>
        <w:tab/>
        <w:t xml:space="preserve">This is a compilation of the </w:t>
      </w:r>
      <w:r>
        <w:rPr>
          <w:i/>
          <w:noProof/>
          <w:snapToGrid w:val="0"/>
        </w:rPr>
        <w:t>Stock (Identification and Movement)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0" w:name="_Toc290559729"/>
      <w:r>
        <w:rPr>
          <w:snapToGrid w:val="0"/>
        </w:rPr>
        <w:t>Compilation table</w:t>
      </w:r>
      <w:bookmarkEnd w:id="18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vertAlign w:val="superscript"/>
              </w:rPr>
            </w:pPr>
            <w:r>
              <w:rPr>
                <w:i/>
                <w:sz w:val="19"/>
              </w:rPr>
              <w:t>Stock (Brands and Movement) Act Regulations</w:t>
            </w:r>
            <w:r>
              <w:rPr>
                <w:sz w:val="19"/>
                <w:vertAlign w:val="superscript"/>
              </w:rPr>
              <w:t> 2</w:t>
            </w:r>
          </w:p>
        </w:tc>
        <w:tc>
          <w:tcPr>
            <w:tcW w:w="1276" w:type="dxa"/>
            <w:tcBorders>
              <w:top w:val="single" w:sz="8" w:space="0" w:color="auto"/>
            </w:tcBorders>
          </w:tcPr>
          <w:p>
            <w:pPr>
              <w:pStyle w:val="nTable"/>
              <w:spacing w:after="40"/>
              <w:rPr>
                <w:sz w:val="19"/>
              </w:rPr>
            </w:pPr>
            <w:r>
              <w:rPr>
                <w:sz w:val="19"/>
              </w:rPr>
              <w:t>30 Jun 1972 p. 2205</w:t>
            </w:r>
            <w:r>
              <w:rPr>
                <w:sz w:val="19"/>
              </w:rPr>
              <w:noBreakHyphen/>
              <w:t>12</w:t>
            </w:r>
          </w:p>
        </w:tc>
        <w:tc>
          <w:tcPr>
            <w:tcW w:w="2693" w:type="dxa"/>
            <w:tcBorders>
              <w:top w:val="single" w:sz="8" w:space="0" w:color="auto"/>
            </w:tcBorders>
          </w:tcPr>
          <w:p>
            <w:pPr>
              <w:pStyle w:val="nTable"/>
              <w:spacing w:after="40"/>
              <w:rPr>
                <w:sz w:val="19"/>
              </w:rPr>
            </w:pPr>
            <w:r>
              <w:rPr>
                <w:sz w:val="19"/>
              </w:rPr>
              <w:t>30 Jun 1972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14 Sep 1973 p. 3478</w:t>
            </w:r>
            <w:r>
              <w:rPr>
                <w:sz w:val="19"/>
              </w:rPr>
              <w:noBreakHyphen/>
              <w:t>81</w:t>
            </w:r>
          </w:p>
        </w:tc>
        <w:tc>
          <w:tcPr>
            <w:tcW w:w="2693" w:type="dxa"/>
          </w:tcPr>
          <w:p>
            <w:pPr>
              <w:pStyle w:val="nTable"/>
              <w:spacing w:after="40"/>
              <w:rPr>
                <w:sz w:val="19"/>
              </w:rPr>
            </w:pPr>
            <w:r>
              <w:rPr>
                <w:sz w:val="19"/>
              </w:rPr>
              <w:t>14 Sep 1973</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Jun 1975 p. 2157</w:t>
            </w:r>
            <w:r>
              <w:rPr>
                <w:sz w:val="19"/>
              </w:rPr>
              <w:noBreakHyphen/>
              <w:t>8</w:t>
            </w:r>
          </w:p>
        </w:tc>
        <w:tc>
          <w:tcPr>
            <w:tcW w:w="2693" w:type="dxa"/>
          </w:tcPr>
          <w:p>
            <w:pPr>
              <w:pStyle w:val="nTable"/>
              <w:spacing w:after="40"/>
              <w:rPr>
                <w:sz w:val="19"/>
              </w:rPr>
            </w:pPr>
            <w:r>
              <w:rPr>
                <w:sz w:val="19"/>
              </w:rPr>
              <w:t>27 Jun 1975</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 Oct 1976 p. 3611</w:t>
            </w:r>
            <w:r>
              <w:rPr>
                <w:sz w:val="19"/>
              </w:rPr>
              <w:noBreakHyphen/>
              <w:t>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6 May 1977 p. 1350</w:t>
            </w:r>
          </w:p>
        </w:tc>
        <w:tc>
          <w:tcPr>
            <w:tcW w:w="2693" w:type="dxa"/>
          </w:tcPr>
          <w:p>
            <w:pPr>
              <w:pStyle w:val="nTable"/>
              <w:spacing w:after="40"/>
              <w:rPr>
                <w:sz w:val="19"/>
              </w:rPr>
            </w:pPr>
            <w:r>
              <w:rPr>
                <w:sz w:val="19"/>
              </w:rPr>
              <w:t>6 May 1977</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22 Dec 1978 p. 4838</w:t>
            </w:r>
          </w:p>
        </w:tc>
        <w:tc>
          <w:tcPr>
            <w:tcW w:w="2693" w:type="dxa"/>
          </w:tcPr>
          <w:p>
            <w:pPr>
              <w:pStyle w:val="nTable"/>
              <w:spacing w:after="40"/>
              <w:rPr>
                <w:sz w:val="19"/>
              </w:rPr>
            </w:pPr>
            <w:r>
              <w:rPr>
                <w:sz w:val="19"/>
              </w:rPr>
              <w:t xml:space="preserve">22 Dec 1978 (see </w:t>
            </w:r>
            <w:r>
              <w:rPr>
                <w:i/>
                <w:sz w:val="19"/>
              </w:rPr>
              <w:t>Gazette</w:t>
            </w:r>
            <w:r>
              <w:rPr>
                <w:sz w:val="19"/>
              </w:rPr>
              <w:t xml:space="preserve"> 22 Dec 1978 p. 4772)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Apr 1979 p. 1126</w:t>
            </w:r>
          </w:p>
        </w:tc>
        <w:tc>
          <w:tcPr>
            <w:tcW w:w="2693" w:type="dxa"/>
          </w:tcPr>
          <w:p>
            <w:pPr>
              <w:pStyle w:val="nTable"/>
              <w:spacing w:after="40"/>
              <w:rPr>
                <w:sz w:val="19"/>
              </w:rPr>
            </w:pPr>
            <w:r>
              <w:rPr>
                <w:sz w:val="19"/>
              </w:rPr>
              <w:t>27 Apr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11 May 1979 p. 1262</w:t>
            </w:r>
            <w:r>
              <w:rPr>
                <w:sz w:val="19"/>
              </w:rPr>
              <w:noBreakHyphen/>
              <w:t>4</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7 Dec 1979 p. 3851</w:t>
            </w:r>
          </w:p>
        </w:tc>
        <w:tc>
          <w:tcPr>
            <w:tcW w:w="2693" w:type="dxa"/>
          </w:tcPr>
          <w:p>
            <w:pPr>
              <w:pStyle w:val="nTable"/>
              <w:spacing w:after="40"/>
              <w:rPr>
                <w:sz w:val="19"/>
              </w:rPr>
            </w:pPr>
            <w:r>
              <w:rPr>
                <w:sz w:val="19"/>
              </w:rPr>
              <w:t>7 Dec 1979</w:t>
            </w:r>
          </w:p>
        </w:tc>
      </w:tr>
      <w:tr>
        <w:trPr>
          <w:cantSplit/>
        </w:trPr>
        <w:tc>
          <w:tcPr>
            <w:tcW w:w="3119" w:type="dxa"/>
          </w:tcPr>
          <w:p>
            <w:pPr>
              <w:pStyle w:val="nTable"/>
              <w:spacing w:after="40"/>
              <w:rPr>
                <w:i/>
                <w:sz w:val="19"/>
              </w:rPr>
            </w:pPr>
            <w:r>
              <w:rPr>
                <w:i/>
                <w:sz w:val="19"/>
              </w:rPr>
              <w:t>Stock (Brands and Movement) Act Amendment Regulations 1980</w:t>
            </w:r>
          </w:p>
        </w:tc>
        <w:tc>
          <w:tcPr>
            <w:tcW w:w="1276" w:type="dxa"/>
          </w:tcPr>
          <w:p>
            <w:pPr>
              <w:pStyle w:val="nTable"/>
              <w:spacing w:after="40"/>
              <w:rPr>
                <w:sz w:val="19"/>
              </w:rPr>
            </w:pPr>
            <w:r>
              <w:rPr>
                <w:sz w:val="19"/>
              </w:rPr>
              <w:t>24 Dec 1980 p. 4404</w:t>
            </w:r>
          </w:p>
        </w:tc>
        <w:tc>
          <w:tcPr>
            <w:tcW w:w="2693" w:type="dxa"/>
          </w:tcPr>
          <w:p>
            <w:pPr>
              <w:pStyle w:val="nTable"/>
              <w:spacing w:after="40"/>
              <w:rPr>
                <w:sz w:val="19"/>
              </w:rPr>
            </w:pPr>
            <w:r>
              <w:rPr>
                <w:sz w:val="19"/>
              </w:rPr>
              <w:t>24 Dec 1980</w:t>
            </w:r>
          </w:p>
        </w:tc>
      </w:tr>
      <w:tr>
        <w:trPr>
          <w:cantSplit/>
        </w:trPr>
        <w:tc>
          <w:tcPr>
            <w:tcW w:w="3119" w:type="dxa"/>
          </w:tcPr>
          <w:p>
            <w:pPr>
              <w:pStyle w:val="nTable"/>
              <w:spacing w:after="40"/>
              <w:rPr>
                <w:i/>
                <w:sz w:val="19"/>
              </w:rPr>
            </w:pPr>
            <w:r>
              <w:rPr>
                <w:i/>
                <w:sz w:val="19"/>
              </w:rPr>
              <w:t>Stock (Brands and Movement) Amendment Regulations (No. 2) 1981</w:t>
            </w:r>
          </w:p>
        </w:tc>
        <w:tc>
          <w:tcPr>
            <w:tcW w:w="1276" w:type="dxa"/>
          </w:tcPr>
          <w:p>
            <w:pPr>
              <w:pStyle w:val="nTable"/>
              <w:spacing w:after="40"/>
              <w:rPr>
                <w:sz w:val="19"/>
              </w:rPr>
            </w:pPr>
            <w:r>
              <w:rPr>
                <w:sz w:val="19"/>
              </w:rPr>
              <w:t>20 Nov 1981 p. 4781</w:t>
            </w:r>
          </w:p>
        </w:tc>
        <w:tc>
          <w:tcPr>
            <w:tcW w:w="2693" w:type="dxa"/>
          </w:tcPr>
          <w:p>
            <w:pPr>
              <w:pStyle w:val="nTable"/>
              <w:spacing w:after="40"/>
              <w:rPr>
                <w:sz w:val="19"/>
              </w:rPr>
            </w:pPr>
            <w:r>
              <w:rPr>
                <w:sz w:val="19"/>
              </w:rPr>
              <w:t>20 Nov 1981</w:t>
            </w:r>
          </w:p>
        </w:tc>
      </w:tr>
      <w:tr>
        <w:trPr>
          <w:cantSplit/>
        </w:trPr>
        <w:tc>
          <w:tcPr>
            <w:tcW w:w="3119" w:type="dxa"/>
          </w:tcPr>
          <w:p>
            <w:pPr>
              <w:pStyle w:val="nTable"/>
              <w:spacing w:after="40"/>
              <w:rPr>
                <w:i/>
                <w:sz w:val="19"/>
              </w:rPr>
            </w:pPr>
            <w:r>
              <w:rPr>
                <w:i/>
                <w:sz w:val="19"/>
              </w:rPr>
              <w:t>Stock (Brands and Movement) Amendment Regulations 1981</w:t>
            </w:r>
          </w:p>
        </w:tc>
        <w:tc>
          <w:tcPr>
            <w:tcW w:w="1276" w:type="dxa"/>
          </w:tcPr>
          <w:p>
            <w:pPr>
              <w:pStyle w:val="nTable"/>
              <w:spacing w:after="40"/>
              <w:rPr>
                <w:sz w:val="19"/>
              </w:rPr>
            </w:pPr>
            <w:r>
              <w:rPr>
                <w:sz w:val="19"/>
              </w:rPr>
              <w:t>18 Jun 1982 p. 2045</w:t>
            </w:r>
          </w:p>
        </w:tc>
        <w:tc>
          <w:tcPr>
            <w:tcW w:w="2693" w:type="dxa"/>
          </w:tcPr>
          <w:p>
            <w:pPr>
              <w:pStyle w:val="nTable"/>
              <w:spacing w:after="40"/>
              <w:rPr>
                <w:sz w:val="19"/>
              </w:rPr>
            </w:pPr>
            <w:r>
              <w:rPr>
                <w:sz w:val="19"/>
              </w:rPr>
              <w:t>18 Jun 1982</w:t>
            </w:r>
          </w:p>
        </w:tc>
      </w:tr>
      <w:tr>
        <w:trPr>
          <w:cantSplit/>
        </w:trPr>
        <w:tc>
          <w:tcPr>
            <w:tcW w:w="3119" w:type="dxa"/>
          </w:tcPr>
          <w:p>
            <w:pPr>
              <w:pStyle w:val="nTable"/>
              <w:spacing w:after="40"/>
              <w:rPr>
                <w:i/>
                <w:sz w:val="19"/>
              </w:rPr>
            </w:pPr>
            <w:r>
              <w:rPr>
                <w:i/>
                <w:sz w:val="19"/>
              </w:rPr>
              <w:t>Stock (Brands and Movement) Amendment Regulations 1982</w:t>
            </w:r>
          </w:p>
        </w:tc>
        <w:tc>
          <w:tcPr>
            <w:tcW w:w="1276" w:type="dxa"/>
          </w:tcPr>
          <w:p>
            <w:pPr>
              <w:pStyle w:val="nTable"/>
              <w:spacing w:after="40"/>
              <w:rPr>
                <w:sz w:val="19"/>
              </w:rPr>
            </w:pPr>
            <w:r>
              <w:rPr>
                <w:sz w:val="19"/>
              </w:rPr>
              <w:t>2 Jul 1982 p. 2395</w:t>
            </w:r>
          </w:p>
        </w:tc>
        <w:tc>
          <w:tcPr>
            <w:tcW w:w="2693" w:type="dxa"/>
          </w:tcPr>
          <w:p>
            <w:pPr>
              <w:pStyle w:val="nTable"/>
              <w:spacing w:after="40"/>
              <w:rPr>
                <w:sz w:val="19"/>
              </w:rPr>
            </w:pPr>
            <w:r>
              <w:rPr>
                <w:sz w:val="19"/>
              </w:rPr>
              <w:t>2 Jul 1982</w:t>
            </w:r>
            <w:r>
              <w:rPr>
                <w:sz w:val="19"/>
                <w:vertAlign w:val="superscript"/>
              </w:rPr>
              <w:t> 3</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1983</w:t>
            </w:r>
          </w:p>
        </w:tc>
        <w:tc>
          <w:tcPr>
            <w:tcW w:w="1276" w:type="dxa"/>
          </w:tcPr>
          <w:p>
            <w:pPr>
              <w:pStyle w:val="nTable"/>
              <w:spacing w:after="40"/>
              <w:rPr>
                <w:sz w:val="19"/>
              </w:rPr>
            </w:pPr>
            <w:r>
              <w:rPr>
                <w:sz w:val="19"/>
              </w:rPr>
              <w:t>13 Jan 1984 p. 101</w:t>
            </w:r>
          </w:p>
        </w:tc>
        <w:tc>
          <w:tcPr>
            <w:tcW w:w="2693" w:type="dxa"/>
          </w:tcPr>
          <w:p>
            <w:pPr>
              <w:pStyle w:val="nTable"/>
              <w:spacing w:after="40"/>
              <w:rPr>
                <w:sz w:val="19"/>
              </w:rPr>
            </w:pPr>
            <w:r>
              <w:rPr>
                <w:sz w:val="19"/>
              </w:rPr>
              <w:t>13 Jan 1984</w:t>
            </w:r>
            <w:r>
              <w:rPr>
                <w:sz w:val="19"/>
                <w:vertAlign w:val="superscript"/>
              </w:rPr>
              <w:t> 4</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1985</w:t>
            </w:r>
          </w:p>
        </w:tc>
        <w:tc>
          <w:tcPr>
            <w:tcW w:w="1276" w:type="dxa"/>
          </w:tcPr>
          <w:p>
            <w:pPr>
              <w:pStyle w:val="nTable"/>
              <w:spacing w:after="40"/>
              <w:rPr>
                <w:sz w:val="19"/>
              </w:rPr>
            </w:pPr>
            <w:r>
              <w:rPr>
                <w:sz w:val="19"/>
              </w:rPr>
              <w:t>17 Jan 1986 p. 232</w:t>
            </w:r>
            <w:r>
              <w:rPr>
                <w:sz w:val="19"/>
              </w:rPr>
              <w:noBreakHyphen/>
              <w:t>3</w:t>
            </w:r>
          </w:p>
        </w:tc>
        <w:tc>
          <w:tcPr>
            <w:tcW w:w="2693" w:type="dxa"/>
          </w:tcPr>
          <w:p>
            <w:pPr>
              <w:pStyle w:val="nTable"/>
              <w:spacing w:after="40"/>
              <w:rPr>
                <w:sz w:val="19"/>
              </w:rPr>
            </w:pPr>
            <w:r>
              <w:rPr>
                <w:sz w:val="19"/>
              </w:rPr>
              <w:t>1 Feb 1986 (see r. 2)</w:t>
            </w:r>
          </w:p>
        </w:tc>
      </w:tr>
      <w:tr>
        <w:trPr>
          <w:cantSplit/>
        </w:trPr>
        <w:tc>
          <w:tcPr>
            <w:tcW w:w="3119" w:type="dxa"/>
          </w:tcPr>
          <w:p>
            <w:pPr>
              <w:pStyle w:val="nTable"/>
              <w:spacing w:after="40"/>
              <w:rPr>
                <w:i/>
                <w:sz w:val="19"/>
              </w:rPr>
            </w:pPr>
            <w:r>
              <w:rPr>
                <w:i/>
                <w:sz w:val="19"/>
              </w:rPr>
              <w:t>Stock (Brands and Movement) Amendment Regulations (No. 2) 1986</w:t>
            </w:r>
          </w:p>
        </w:tc>
        <w:tc>
          <w:tcPr>
            <w:tcW w:w="1276" w:type="dxa"/>
          </w:tcPr>
          <w:p>
            <w:pPr>
              <w:pStyle w:val="nTable"/>
              <w:spacing w:after="40"/>
              <w:rPr>
                <w:sz w:val="19"/>
              </w:rPr>
            </w:pPr>
            <w:r>
              <w:rPr>
                <w:sz w:val="19"/>
              </w:rPr>
              <w:t>13 Jun 1986 p. 2001</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rPr>
                <w:i/>
                <w:sz w:val="19"/>
              </w:rPr>
            </w:pPr>
            <w:r>
              <w:rPr>
                <w:i/>
                <w:sz w:val="19"/>
              </w:rPr>
              <w:t>Stock (Brands and Movement) Amendment Regulations 1987</w:t>
            </w:r>
          </w:p>
        </w:tc>
        <w:tc>
          <w:tcPr>
            <w:tcW w:w="1276" w:type="dxa"/>
          </w:tcPr>
          <w:p>
            <w:pPr>
              <w:pStyle w:val="nTable"/>
              <w:spacing w:after="40"/>
              <w:rPr>
                <w:sz w:val="19"/>
              </w:rPr>
            </w:pPr>
            <w:r>
              <w:rPr>
                <w:sz w:val="19"/>
              </w:rPr>
              <w:t>3 Apr 1987 p. 1263</w:t>
            </w:r>
            <w:r>
              <w:rPr>
                <w:sz w:val="19"/>
              </w:rPr>
              <w:noBreakHyphen/>
              <w:t>4</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rPr>
                <w:i/>
                <w:sz w:val="19"/>
              </w:rPr>
            </w:pPr>
            <w:r>
              <w:rPr>
                <w:i/>
                <w:sz w:val="19"/>
              </w:rPr>
              <w:t>Stock (Brands and Movement) Amendment Regulations (No. 2) 1987</w:t>
            </w:r>
          </w:p>
        </w:tc>
        <w:tc>
          <w:tcPr>
            <w:tcW w:w="1276" w:type="dxa"/>
          </w:tcPr>
          <w:p>
            <w:pPr>
              <w:pStyle w:val="nTable"/>
              <w:spacing w:after="40"/>
              <w:rPr>
                <w:sz w:val="19"/>
              </w:rPr>
            </w:pPr>
            <w:r>
              <w:rPr>
                <w:sz w:val="19"/>
              </w:rPr>
              <w:t>22 May 1987 p. 2203</w:t>
            </w:r>
          </w:p>
        </w:tc>
        <w:tc>
          <w:tcPr>
            <w:tcW w:w="2693" w:type="dxa"/>
          </w:tcPr>
          <w:p>
            <w:pPr>
              <w:pStyle w:val="nTable"/>
              <w:spacing w:after="40"/>
              <w:rPr>
                <w:sz w:val="19"/>
              </w:rPr>
            </w:pPr>
            <w:r>
              <w:rPr>
                <w:sz w:val="19"/>
              </w:rPr>
              <w:t>22 May 1987</w:t>
            </w:r>
          </w:p>
        </w:tc>
      </w:tr>
      <w:tr>
        <w:trPr>
          <w:cantSplit/>
        </w:trPr>
        <w:tc>
          <w:tcPr>
            <w:tcW w:w="3119" w:type="dxa"/>
          </w:tcPr>
          <w:p>
            <w:pPr>
              <w:pStyle w:val="nTable"/>
              <w:spacing w:after="40"/>
              <w:rPr>
                <w:i/>
                <w:sz w:val="19"/>
              </w:rPr>
            </w:pPr>
            <w:r>
              <w:rPr>
                <w:i/>
                <w:sz w:val="19"/>
              </w:rPr>
              <w:t>Stock (Brands and Movement) Amendment Regulations (No. 4) 1987</w:t>
            </w:r>
          </w:p>
        </w:tc>
        <w:tc>
          <w:tcPr>
            <w:tcW w:w="1276" w:type="dxa"/>
          </w:tcPr>
          <w:p>
            <w:pPr>
              <w:pStyle w:val="nTable"/>
              <w:spacing w:after="40"/>
              <w:rPr>
                <w:sz w:val="19"/>
              </w:rPr>
            </w:pPr>
            <w:r>
              <w:rPr>
                <w:sz w:val="19"/>
              </w:rPr>
              <w:t>13 Nov 1987 p. 4196</w:t>
            </w:r>
            <w:r>
              <w:rPr>
                <w:sz w:val="19"/>
              </w:rPr>
              <w:noBreakHyphen/>
              <w:t>7</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rPr>
                <w:i/>
                <w:sz w:val="19"/>
              </w:rPr>
            </w:pPr>
            <w:r>
              <w:rPr>
                <w:i/>
                <w:sz w:val="19"/>
              </w:rPr>
              <w:t>Stock (Brands and Movement) Amendment Regulations 1988</w:t>
            </w:r>
          </w:p>
        </w:tc>
        <w:tc>
          <w:tcPr>
            <w:tcW w:w="1276" w:type="dxa"/>
          </w:tcPr>
          <w:p>
            <w:pPr>
              <w:pStyle w:val="nTable"/>
              <w:spacing w:after="40"/>
              <w:rPr>
                <w:sz w:val="19"/>
              </w:rPr>
            </w:pPr>
            <w:r>
              <w:rPr>
                <w:sz w:val="19"/>
              </w:rPr>
              <w:t>10 Jun 1988 p. 1938</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rPr>
                <w:i/>
                <w:sz w:val="19"/>
              </w:rPr>
            </w:pPr>
            <w:r>
              <w:rPr>
                <w:i/>
                <w:sz w:val="19"/>
              </w:rPr>
              <w:t>Stock (Brands and Movement) Amendment Regulations (No. 2) 1988</w:t>
            </w:r>
          </w:p>
        </w:tc>
        <w:tc>
          <w:tcPr>
            <w:tcW w:w="1276" w:type="dxa"/>
          </w:tcPr>
          <w:p>
            <w:pPr>
              <w:pStyle w:val="nTable"/>
              <w:spacing w:after="40"/>
              <w:rPr>
                <w:sz w:val="19"/>
              </w:rPr>
            </w:pPr>
            <w:r>
              <w:rPr>
                <w:sz w:val="19"/>
              </w:rPr>
              <w:t>14 Oct 1988 p. 4208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rPr>
                <w:i/>
                <w:sz w:val="19"/>
              </w:rPr>
            </w:pPr>
            <w:r>
              <w:rPr>
                <w:i/>
                <w:sz w:val="19"/>
              </w:rPr>
              <w:t>Stock (Brands and Movement) Amendment Regulations 1990</w:t>
            </w:r>
          </w:p>
        </w:tc>
        <w:tc>
          <w:tcPr>
            <w:tcW w:w="1276" w:type="dxa"/>
          </w:tcPr>
          <w:p>
            <w:pPr>
              <w:pStyle w:val="nTable"/>
              <w:spacing w:after="40"/>
              <w:rPr>
                <w:sz w:val="19"/>
              </w:rPr>
            </w:pPr>
            <w:r>
              <w:rPr>
                <w:sz w:val="19"/>
              </w:rPr>
              <w:t>3 Aug 1990 p. 3669</w:t>
            </w:r>
            <w:r>
              <w:rPr>
                <w:sz w:val="19"/>
              </w:rPr>
              <w:noBreakHyphen/>
              <w:t>70</w:t>
            </w:r>
            <w:r>
              <w:rPr>
                <w:sz w:val="19"/>
              </w:rPr>
              <w:br/>
              <w:t>(erratum 10 Aug 1990 p. 3829)</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rPr>
                <w:i/>
                <w:sz w:val="19"/>
              </w:rPr>
            </w:pPr>
            <w:r>
              <w:rPr>
                <w:i/>
                <w:sz w:val="19"/>
              </w:rPr>
              <w:t>Stock (Brands and Movement) Amendment Regulations 1991</w:t>
            </w:r>
          </w:p>
        </w:tc>
        <w:tc>
          <w:tcPr>
            <w:tcW w:w="1276" w:type="dxa"/>
          </w:tcPr>
          <w:p>
            <w:pPr>
              <w:pStyle w:val="nTable"/>
              <w:spacing w:after="40"/>
              <w:rPr>
                <w:sz w:val="19"/>
              </w:rPr>
            </w:pPr>
            <w:r>
              <w:rPr>
                <w:sz w:val="19"/>
              </w:rPr>
              <w:t>18 Oct 1991 p. 5316</w:t>
            </w:r>
            <w:r>
              <w:rPr>
                <w:sz w:val="19"/>
              </w:rPr>
              <w:noBreakHyphen/>
              <w:t>17</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rPr>
                <w:i/>
                <w:sz w:val="19"/>
              </w:rPr>
            </w:pPr>
            <w:r>
              <w:rPr>
                <w:i/>
                <w:sz w:val="19"/>
              </w:rPr>
              <w:t>Stock (Brands and Movement) Amendment Regulations (No. 2) 1992</w:t>
            </w:r>
          </w:p>
        </w:tc>
        <w:tc>
          <w:tcPr>
            <w:tcW w:w="1276" w:type="dxa"/>
          </w:tcPr>
          <w:p>
            <w:pPr>
              <w:pStyle w:val="nTable"/>
              <w:spacing w:after="40"/>
              <w:rPr>
                <w:sz w:val="19"/>
              </w:rPr>
            </w:pPr>
            <w:r>
              <w:rPr>
                <w:sz w:val="19"/>
              </w:rPr>
              <w:t>24 Jul 1992 p. 3608</w:t>
            </w:r>
            <w:r>
              <w:rPr>
                <w:sz w:val="19"/>
              </w:rPr>
              <w:noBreakHyphen/>
              <w:t>9</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rPr>
                <w:i/>
                <w:sz w:val="19"/>
              </w:rPr>
            </w:pPr>
            <w:r>
              <w:rPr>
                <w:i/>
                <w:sz w:val="19"/>
              </w:rPr>
              <w:t>Stock (Brands and Movement) Amendment Regulations 1993</w:t>
            </w:r>
          </w:p>
        </w:tc>
        <w:tc>
          <w:tcPr>
            <w:tcW w:w="1276" w:type="dxa"/>
          </w:tcPr>
          <w:p>
            <w:pPr>
              <w:pStyle w:val="nTable"/>
              <w:spacing w:after="40"/>
              <w:rPr>
                <w:sz w:val="19"/>
              </w:rPr>
            </w:pPr>
            <w:r>
              <w:rPr>
                <w:sz w:val="19"/>
              </w:rPr>
              <w:t>23 Apr 1993 p. 2178</w:t>
            </w:r>
          </w:p>
        </w:tc>
        <w:tc>
          <w:tcPr>
            <w:tcW w:w="2693" w:type="dxa"/>
          </w:tcPr>
          <w:p>
            <w:pPr>
              <w:pStyle w:val="nTable"/>
              <w:spacing w:after="40"/>
              <w:rPr>
                <w:sz w:val="19"/>
              </w:rPr>
            </w:pPr>
            <w:r>
              <w:rPr>
                <w:sz w:val="19"/>
              </w:rPr>
              <w:t>23 Apr 1993</w:t>
            </w:r>
          </w:p>
        </w:tc>
      </w:tr>
      <w:tr>
        <w:trPr>
          <w:cantSplit/>
        </w:trPr>
        <w:tc>
          <w:tcPr>
            <w:tcW w:w="3119" w:type="dxa"/>
          </w:tcPr>
          <w:p>
            <w:pPr>
              <w:pStyle w:val="nTable"/>
              <w:spacing w:after="40"/>
              <w:rPr>
                <w:i/>
                <w:sz w:val="19"/>
              </w:rPr>
            </w:pPr>
            <w:r>
              <w:rPr>
                <w:i/>
                <w:sz w:val="19"/>
              </w:rPr>
              <w:t>Stock (Brands and Movement) Amendment Regulations (No. 2) 1993</w:t>
            </w:r>
          </w:p>
        </w:tc>
        <w:tc>
          <w:tcPr>
            <w:tcW w:w="1276" w:type="dxa"/>
          </w:tcPr>
          <w:p>
            <w:pPr>
              <w:pStyle w:val="nTable"/>
              <w:spacing w:after="40"/>
              <w:rPr>
                <w:sz w:val="19"/>
              </w:rPr>
            </w:pPr>
            <w:r>
              <w:rPr>
                <w:sz w:val="19"/>
              </w:rPr>
              <w:t>17 Sep 1993 p. 5048</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rPr>
                <w:i/>
                <w:sz w:val="19"/>
              </w:rPr>
            </w:pPr>
            <w:r>
              <w:rPr>
                <w:i/>
                <w:sz w:val="19"/>
              </w:rPr>
              <w:t>Stock (Brands and Movement) Amendment Regulations 1994</w:t>
            </w:r>
          </w:p>
        </w:tc>
        <w:tc>
          <w:tcPr>
            <w:tcW w:w="1276" w:type="dxa"/>
          </w:tcPr>
          <w:p>
            <w:pPr>
              <w:pStyle w:val="nTable"/>
              <w:spacing w:after="40"/>
              <w:rPr>
                <w:sz w:val="19"/>
              </w:rPr>
            </w:pPr>
            <w:r>
              <w:rPr>
                <w:sz w:val="19"/>
              </w:rPr>
              <w:t>24 Jun 1994 p. 2838</w:t>
            </w:r>
            <w:r>
              <w:rPr>
                <w:sz w:val="19"/>
              </w:rPr>
              <w:noBreakHyphen/>
              <w:t>9</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rPr>
                <w:i/>
                <w:sz w:val="19"/>
              </w:rPr>
            </w:pPr>
            <w:r>
              <w:rPr>
                <w:i/>
                <w:sz w:val="19"/>
              </w:rPr>
              <w:t>Stock (Brands and Movement) Amendment Regulations (No. 2) 1994</w:t>
            </w:r>
          </w:p>
        </w:tc>
        <w:tc>
          <w:tcPr>
            <w:tcW w:w="1276" w:type="dxa"/>
          </w:tcPr>
          <w:p>
            <w:pPr>
              <w:pStyle w:val="nTable"/>
              <w:spacing w:after="40"/>
              <w:rPr>
                <w:sz w:val="19"/>
              </w:rPr>
            </w:pPr>
            <w:r>
              <w:rPr>
                <w:sz w:val="19"/>
              </w:rPr>
              <w:t>28 Oct 1994 p. 5463</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3119" w:type="dxa"/>
          </w:tcPr>
          <w:p>
            <w:pPr>
              <w:pStyle w:val="nTable"/>
              <w:spacing w:after="40"/>
              <w:rPr>
                <w:i/>
                <w:sz w:val="19"/>
              </w:rPr>
            </w:pPr>
            <w:r>
              <w:rPr>
                <w:i/>
                <w:sz w:val="19"/>
              </w:rPr>
              <w:t>Stock (Brands and Movement) Amendment Regulations 1995</w:t>
            </w:r>
          </w:p>
        </w:tc>
        <w:tc>
          <w:tcPr>
            <w:tcW w:w="1276" w:type="dxa"/>
          </w:tcPr>
          <w:p>
            <w:pPr>
              <w:pStyle w:val="nTable"/>
              <w:spacing w:after="40"/>
              <w:rPr>
                <w:sz w:val="19"/>
              </w:rPr>
            </w:pPr>
            <w:r>
              <w:rPr>
                <w:sz w:val="19"/>
              </w:rPr>
              <w:t>2 May 1995 p. 1651</w:t>
            </w:r>
            <w:r>
              <w:rPr>
                <w:sz w:val="19"/>
              </w:rPr>
              <w:noBreakHyphen/>
              <w:t>62</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7 Jun 1995</w:t>
            </w:r>
            <w:r>
              <w:rPr>
                <w:sz w:val="19"/>
              </w:rPr>
              <w:t xml:space="preserve"> (includes amendments listed above)</w:t>
            </w:r>
          </w:p>
        </w:tc>
      </w:tr>
      <w:tr>
        <w:trPr>
          <w:cantSplit/>
        </w:trPr>
        <w:tc>
          <w:tcPr>
            <w:tcW w:w="3119" w:type="dxa"/>
          </w:tcPr>
          <w:p>
            <w:pPr>
              <w:pStyle w:val="nTable"/>
              <w:spacing w:after="40"/>
              <w:ind w:right="170"/>
              <w:rPr>
                <w:sz w:val="19"/>
              </w:rPr>
            </w:pPr>
            <w:r>
              <w:rPr>
                <w:i/>
                <w:sz w:val="19"/>
              </w:rPr>
              <w:t>Stock (Identification and Movement) Amendment Regulations 1995</w:t>
            </w:r>
          </w:p>
        </w:tc>
        <w:tc>
          <w:tcPr>
            <w:tcW w:w="1276" w:type="dxa"/>
          </w:tcPr>
          <w:p>
            <w:pPr>
              <w:pStyle w:val="nTable"/>
              <w:spacing w:after="40"/>
              <w:rPr>
                <w:sz w:val="19"/>
              </w:rPr>
            </w:pPr>
            <w:r>
              <w:rPr>
                <w:sz w:val="19"/>
              </w:rPr>
              <w:t>21 Jul 1995 p. 3067</w:t>
            </w:r>
            <w:r>
              <w:rPr>
                <w:sz w:val="19"/>
              </w:rPr>
              <w:noBreakHyphen/>
              <w:t>8</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Stock (Identification and Movement) Amendment Regulations 1996</w:t>
            </w:r>
          </w:p>
        </w:tc>
        <w:tc>
          <w:tcPr>
            <w:tcW w:w="1276" w:type="dxa"/>
          </w:tcPr>
          <w:p>
            <w:pPr>
              <w:pStyle w:val="nTable"/>
              <w:spacing w:after="40"/>
              <w:rPr>
                <w:sz w:val="19"/>
              </w:rPr>
            </w:pPr>
            <w:r>
              <w:rPr>
                <w:sz w:val="19"/>
              </w:rPr>
              <w:t>3 Sep 1996 p. 4378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Stock (Identification and Movement) Amendment Regulations 1997</w:t>
            </w:r>
          </w:p>
        </w:tc>
        <w:tc>
          <w:tcPr>
            <w:tcW w:w="1276" w:type="dxa"/>
          </w:tcPr>
          <w:p>
            <w:pPr>
              <w:pStyle w:val="nTable"/>
              <w:spacing w:after="40"/>
              <w:rPr>
                <w:sz w:val="19"/>
              </w:rPr>
            </w:pPr>
            <w:r>
              <w:rPr>
                <w:sz w:val="19"/>
              </w:rPr>
              <w:t>19 Aug 1997 p. 4717</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Stock (Identification and Movement) Amendment Regulations (No. 2) 1998</w:t>
            </w:r>
          </w:p>
        </w:tc>
        <w:tc>
          <w:tcPr>
            <w:tcW w:w="1276" w:type="dxa"/>
          </w:tcPr>
          <w:p>
            <w:pPr>
              <w:pStyle w:val="nTable"/>
              <w:spacing w:after="40"/>
              <w:rPr>
                <w:sz w:val="19"/>
              </w:rPr>
            </w:pPr>
            <w:r>
              <w:rPr>
                <w:sz w:val="19"/>
              </w:rPr>
              <w:t>23 Jun 1998 p. 3311</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sz w:val="19"/>
              </w:rPr>
            </w:pPr>
            <w:r>
              <w:rPr>
                <w:i/>
                <w:sz w:val="19"/>
              </w:rPr>
              <w:t>Stock (Identification and Movement) Amendment Regulations 1998</w:t>
            </w:r>
          </w:p>
        </w:tc>
        <w:tc>
          <w:tcPr>
            <w:tcW w:w="1276" w:type="dxa"/>
          </w:tcPr>
          <w:p>
            <w:pPr>
              <w:pStyle w:val="nTable"/>
              <w:spacing w:after="40"/>
              <w:rPr>
                <w:sz w:val="19"/>
              </w:rPr>
            </w:pPr>
            <w:r>
              <w:rPr>
                <w:sz w:val="19"/>
              </w:rPr>
              <w:t>23 Jun 1998 p. 3321</w:t>
            </w:r>
            <w:r>
              <w:rPr>
                <w:sz w:val="19"/>
              </w:rPr>
              <w:noBreakHyphen/>
              <w:t>2</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i/>
                <w:sz w:val="19"/>
              </w:rPr>
            </w:pPr>
            <w:r>
              <w:rPr>
                <w:i/>
                <w:sz w:val="19"/>
              </w:rPr>
              <w:t>Stock (Identification and Movement) Amendment Regulations 1999</w:t>
            </w:r>
          </w:p>
        </w:tc>
        <w:tc>
          <w:tcPr>
            <w:tcW w:w="1276" w:type="dxa"/>
          </w:tcPr>
          <w:p>
            <w:pPr>
              <w:pStyle w:val="nTable"/>
              <w:spacing w:after="40"/>
              <w:rPr>
                <w:sz w:val="19"/>
              </w:rPr>
            </w:pPr>
            <w:r>
              <w:rPr>
                <w:sz w:val="19"/>
              </w:rPr>
              <w:t>16 Jul 1999 p. 3184</w:t>
            </w:r>
          </w:p>
        </w:tc>
        <w:tc>
          <w:tcPr>
            <w:tcW w:w="2693" w:type="dxa"/>
          </w:tcPr>
          <w:p>
            <w:pPr>
              <w:pStyle w:val="nTable"/>
              <w:spacing w:after="40"/>
              <w:rPr>
                <w:sz w:val="19"/>
              </w:rPr>
            </w:pPr>
            <w:r>
              <w:rPr>
                <w:sz w:val="19"/>
              </w:rPr>
              <w:t>16 Jul 1999</w:t>
            </w:r>
          </w:p>
        </w:tc>
      </w:tr>
      <w:tr>
        <w:trPr>
          <w:cantSplit/>
        </w:trPr>
        <w:tc>
          <w:tcPr>
            <w:tcW w:w="3119" w:type="dxa"/>
          </w:tcPr>
          <w:p>
            <w:pPr>
              <w:pStyle w:val="nTable"/>
              <w:spacing w:after="40"/>
              <w:ind w:right="170"/>
              <w:rPr>
                <w:i/>
                <w:sz w:val="19"/>
              </w:rPr>
            </w:pPr>
            <w:r>
              <w:rPr>
                <w:i/>
                <w:sz w:val="19"/>
              </w:rPr>
              <w:t>Stock (Identification and Movement) Amendment Regulations 2000</w:t>
            </w:r>
          </w:p>
        </w:tc>
        <w:tc>
          <w:tcPr>
            <w:tcW w:w="1276" w:type="dxa"/>
          </w:tcPr>
          <w:p>
            <w:pPr>
              <w:pStyle w:val="nTable"/>
              <w:spacing w:after="40"/>
              <w:rPr>
                <w:sz w:val="19"/>
              </w:rPr>
            </w:pPr>
            <w:r>
              <w:rPr>
                <w:sz w:val="19"/>
              </w:rPr>
              <w:t>10 Mar 2000 p. 1119</w:t>
            </w:r>
            <w:r>
              <w:rPr>
                <w:sz w:val="19"/>
              </w:rPr>
              <w:noBreakHyphen/>
              <w:t>20</w:t>
            </w:r>
          </w:p>
        </w:tc>
        <w:tc>
          <w:tcPr>
            <w:tcW w:w="2693" w:type="dxa"/>
          </w:tcPr>
          <w:p>
            <w:pPr>
              <w:pStyle w:val="nTable"/>
              <w:spacing w:after="40"/>
              <w:rPr>
                <w:sz w:val="19"/>
              </w:rPr>
            </w:pPr>
            <w:r>
              <w:rPr>
                <w:sz w:val="19"/>
              </w:rPr>
              <w:t>10 Mar 2000</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10 Mar 2000</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Stock (Identification and Movement) Amendment Regulations (No. 2) 2000</w:t>
            </w:r>
          </w:p>
        </w:tc>
        <w:tc>
          <w:tcPr>
            <w:tcW w:w="1276" w:type="dxa"/>
          </w:tcPr>
          <w:p>
            <w:pPr>
              <w:pStyle w:val="nTable"/>
              <w:spacing w:after="40"/>
              <w:rPr>
                <w:sz w:val="19"/>
              </w:rPr>
            </w:pPr>
            <w:r>
              <w:rPr>
                <w:sz w:val="19"/>
              </w:rPr>
              <w:t>20 Jun 2000 p. 3001</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Stock (Identification and Movement) Amendment Regulations 2001</w:t>
            </w:r>
          </w:p>
        </w:tc>
        <w:tc>
          <w:tcPr>
            <w:tcW w:w="1276" w:type="dxa"/>
          </w:tcPr>
          <w:p>
            <w:pPr>
              <w:pStyle w:val="nTable"/>
              <w:spacing w:after="40"/>
              <w:rPr>
                <w:sz w:val="19"/>
              </w:rPr>
            </w:pPr>
            <w:r>
              <w:rPr>
                <w:sz w:val="19"/>
              </w:rPr>
              <w:t>5 Jun 2001 p. 2846</w:t>
            </w:r>
            <w:r>
              <w:rPr>
                <w:sz w:val="19"/>
              </w:rPr>
              <w:noBreakHyphen/>
              <w:t>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Stock (Identification and Movement) Amendment Regulations 2002</w:t>
            </w:r>
          </w:p>
        </w:tc>
        <w:tc>
          <w:tcPr>
            <w:tcW w:w="1276" w:type="dxa"/>
          </w:tcPr>
          <w:p>
            <w:pPr>
              <w:pStyle w:val="nTable"/>
              <w:spacing w:after="40"/>
              <w:rPr>
                <w:sz w:val="19"/>
              </w:rPr>
            </w:pPr>
            <w:r>
              <w:rPr>
                <w:sz w:val="19"/>
              </w:rPr>
              <w:t>28 Jun 2002 p. 3047</w:t>
            </w:r>
            <w:r>
              <w:rPr>
                <w:sz w:val="19"/>
              </w:rPr>
              <w:noBreakHyphen/>
              <w:t>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Stock (Identification and Movement) Amendment Regulations 2003</w:t>
            </w:r>
          </w:p>
        </w:tc>
        <w:tc>
          <w:tcPr>
            <w:tcW w:w="1276" w:type="dxa"/>
          </w:tcPr>
          <w:p>
            <w:pPr>
              <w:pStyle w:val="nTable"/>
              <w:spacing w:after="40"/>
              <w:rPr>
                <w:sz w:val="19"/>
              </w:rPr>
            </w:pPr>
            <w:r>
              <w:rPr>
                <w:sz w:val="19"/>
              </w:rPr>
              <w:t>17 Jun 2003 p. 2205</w:t>
            </w:r>
            <w:r>
              <w:rPr>
                <w:sz w:val="19"/>
              </w:rPr>
              <w:noBreakHyphen/>
              <w:t>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Stock (Identification and Movement) Amendment Regulations 2004</w:t>
            </w:r>
          </w:p>
        </w:tc>
        <w:tc>
          <w:tcPr>
            <w:tcW w:w="1276" w:type="dxa"/>
          </w:tcPr>
          <w:p>
            <w:pPr>
              <w:pStyle w:val="nTable"/>
              <w:spacing w:after="40"/>
              <w:rPr>
                <w:sz w:val="19"/>
              </w:rPr>
            </w:pPr>
            <w:r>
              <w:rPr>
                <w:sz w:val="19"/>
              </w:rPr>
              <w:t>23 Apr 2004 p. 1313</w:t>
            </w:r>
            <w:r>
              <w:rPr>
                <w:sz w:val="19"/>
              </w:rPr>
              <w:noBreakHyphen/>
              <w:t>15</w:t>
            </w:r>
          </w:p>
        </w:tc>
        <w:tc>
          <w:tcPr>
            <w:tcW w:w="2693" w:type="dxa"/>
          </w:tcPr>
          <w:p>
            <w:pPr>
              <w:pStyle w:val="nTable"/>
              <w:spacing w:after="40"/>
              <w:rPr>
                <w:sz w:val="19"/>
              </w:rPr>
            </w:pPr>
            <w:r>
              <w:rPr>
                <w:sz w:val="19"/>
              </w:rPr>
              <w:t>23 Apr 2004</w:t>
            </w:r>
          </w:p>
        </w:tc>
      </w:tr>
      <w:tr>
        <w:trPr>
          <w:cantSplit/>
        </w:trPr>
        <w:tc>
          <w:tcPr>
            <w:tcW w:w="3119" w:type="dxa"/>
          </w:tcPr>
          <w:p>
            <w:pPr>
              <w:pStyle w:val="nTable"/>
              <w:spacing w:after="40"/>
              <w:ind w:right="170"/>
              <w:rPr>
                <w:sz w:val="19"/>
              </w:rPr>
            </w:pPr>
            <w:r>
              <w:rPr>
                <w:i/>
                <w:sz w:val="19"/>
              </w:rPr>
              <w:t>Stock (Identification and Movement) Amendment Regulations (No. 2) 2004</w:t>
            </w:r>
            <w:r>
              <w:rPr>
                <w:sz w:val="19"/>
              </w:rPr>
              <w:t xml:space="preserve"> </w:t>
            </w:r>
          </w:p>
        </w:tc>
        <w:tc>
          <w:tcPr>
            <w:tcW w:w="1276" w:type="dxa"/>
          </w:tcPr>
          <w:p>
            <w:pPr>
              <w:pStyle w:val="nTable"/>
              <w:spacing w:after="40"/>
              <w:rPr>
                <w:sz w:val="19"/>
              </w:rPr>
            </w:pPr>
            <w:r>
              <w:rPr>
                <w:sz w:val="19"/>
              </w:rPr>
              <w:t>18 May 2004 p. 1564</w:t>
            </w:r>
            <w:r>
              <w:rPr>
                <w:sz w:val="19"/>
              </w:rPr>
              <w:noBreakHyphen/>
              <w:t>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70"/>
              <w:rPr>
                <w:i/>
                <w:sz w:val="19"/>
              </w:rPr>
            </w:pPr>
            <w:r>
              <w:rPr>
                <w:i/>
                <w:sz w:val="19"/>
              </w:rPr>
              <w:t>Stock (Identification and Movement) Amendment Regulations (No. 2) 2005</w:t>
            </w:r>
          </w:p>
        </w:tc>
        <w:tc>
          <w:tcPr>
            <w:tcW w:w="1276" w:type="dxa"/>
          </w:tcPr>
          <w:p>
            <w:pPr>
              <w:pStyle w:val="nTable"/>
              <w:spacing w:after="40"/>
              <w:rPr>
                <w:sz w:val="19"/>
              </w:rPr>
            </w:pPr>
            <w:r>
              <w:rPr>
                <w:sz w:val="19"/>
              </w:rPr>
              <w:t>31 May 2005 p. 2403</w:t>
            </w:r>
            <w:r>
              <w:rPr>
                <w:sz w:val="19"/>
              </w:rPr>
              <w:noBreakHyphen/>
              <w:t>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70"/>
              <w:rPr>
                <w:i/>
                <w:sz w:val="19"/>
              </w:rPr>
            </w:pPr>
            <w:r>
              <w:rPr>
                <w:i/>
                <w:sz w:val="19"/>
              </w:rPr>
              <w:t>Stock (Identification and Movement) Amendment Regulations 2005</w:t>
            </w:r>
          </w:p>
        </w:tc>
        <w:tc>
          <w:tcPr>
            <w:tcW w:w="1276" w:type="dxa"/>
          </w:tcPr>
          <w:p>
            <w:pPr>
              <w:pStyle w:val="nTable"/>
              <w:spacing w:after="40"/>
              <w:rPr>
                <w:sz w:val="19"/>
              </w:rPr>
            </w:pPr>
            <w:r>
              <w:rPr>
                <w:sz w:val="19"/>
              </w:rPr>
              <w:t>14 Jun 2005 p. 2619</w:t>
            </w:r>
            <w:r>
              <w:rPr>
                <w:sz w:val="19"/>
              </w:rPr>
              <w:noBreakHyphen/>
              <w:t>25</w:t>
            </w:r>
          </w:p>
        </w:tc>
        <w:tc>
          <w:tcPr>
            <w:tcW w:w="2693" w:type="dxa"/>
          </w:tcPr>
          <w:p>
            <w:pPr>
              <w:pStyle w:val="nTable"/>
              <w:spacing w:after="40"/>
              <w:rPr>
                <w:sz w:val="19"/>
              </w:rPr>
            </w:pPr>
            <w:r>
              <w:rPr>
                <w:sz w:val="19"/>
              </w:rPr>
              <w:t>14 Jun 2005</w:t>
            </w:r>
          </w:p>
        </w:tc>
      </w:tr>
      <w:tr>
        <w:trPr>
          <w:cantSplit/>
        </w:trPr>
        <w:tc>
          <w:tcPr>
            <w:tcW w:w="7088" w:type="dxa"/>
            <w:gridSpan w:val="3"/>
          </w:tcPr>
          <w:p>
            <w:pPr>
              <w:pStyle w:val="nTable"/>
              <w:spacing w:after="40"/>
              <w:rPr>
                <w:sz w:val="19"/>
              </w:rPr>
            </w:pPr>
            <w:r>
              <w:rPr>
                <w:b/>
                <w:sz w:val="19"/>
              </w:rPr>
              <w:t xml:space="preserve">Reprint 3: The </w:t>
            </w:r>
            <w:r>
              <w:rPr>
                <w:b/>
                <w:i/>
                <w:sz w:val="19"/>
              </w:rPr>
              <w:t>Stock (Identification and Movement) Regulations 1972</w:t>
            </w:r>
            <w:r>
              <w:rPr>
                <w:b/>
                <w:sz w:val="19"/>
              </w:rPr>
              <w:t xml:space="preserve"> as at 7 Oct 2005</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Stock (Identification and Movement) Amendment Regulations (No. 2) 2006</w:t>
            </w:r>
          </w:p>
        </w:tc>
        <w:tc>
          <w:tcPr>
            <w:tcW w:w="1276" w:type="dxa"/>
          </w:tcPr>
          <w:p>
            <w:pPr>
              <w:pStyle w:val="nTable"/>
              <w:spacing w:after="40"/>
              <w:rPr>
                <w:sz w:val="19"/>
              </w:rPr>
            </w:pPr>
            <w:r>
              <w:rPr>
                <w:sz w:val="19"/>
              </w:rPr>
              <w:t>16 Jun 2006 p. 2120</w:t>
            </w:r>
            <w:r>
              <w:rPr>
                <w:sz w:val="19"/>
              </w:rPr>
              <w:noBreakHyphen/>
              <w:t>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70"/>
              <w:rPr>
                <w:i/>
                <w:sz w:val="19"/>
              </w:rPr>
            </w:pPr>
            <w:r>
              <w:rPr>
                <w:i/>
                <w:sz w:val="19"/>
              </w:rPr>
              <w:t>Stock (Identification and Movement) Amendment Regulations 2006</w:t>
            </w:r>
          </w:p>
        </w:tc>
        <w:tc>
          <w:tcPr>
            <w:tcW w:w="1276" w:type="dxa"/>
          </w:tcPr>
          <w:p>
            <w:pPr>
              <w:pStyle w:val="nTable"/>
              <w:spacing w:after="40"/>
              <w:rPr>
                <w:sz w:val="19"/>
              </w:rPr>
            </w:pPr>
            <w:r>
              <w:rPr>
                <w:sz w:val="19"/>
              </w:rPr>
              <w:t>19 Sep 2006 p. 3707-8</w:t>
            </w:r>
          </w:p>
        </w:tc>
        <w:tc>
          <w:tcPr>
            <w:tcW w:w="2693" w:type="dxa"/>
          </w:tcPr>
          <w:p>
            <w:pPr>
              <w:pStyle w:val="nTable"/>
              <w:spacing w:after="40"/>
              <w:rPr>
                <w:sz w:val="19"/>
              </w:rPr>
            </w:pPr>
            <w:r>
              <w:rPr>
                <w:sz w:val="19"/>
              </w:rPr>
              <w:t>19 Sep 2006</w:t>
            </w:r>
          </w:p>
        </w:tc>
      </w:tr>
      <w:tr>
        <w:trPr>
          <w:cantSplit/>
        </w:trPr>
        <w:tc>
          <w:tcPr>
            <w:tcW w:w="3119" w:type="dxa"/>
          </w:tcPr>
          <w:p>
            <w:pPr>
              <w:pStyle w:val="nTable"/>
              <w:spacing w:after="40"/>
              <w:ind w:right="170"/>
              <w:rPr>
                <w:i/>
                <w:sz w:val="19"/>
              </w:rPr>
            </w:pPr>
            <w:r>
              <w:rPr>
                <w:i/>
                <w:sz w:val="19"/>
              </w:rPr>
              <w:t>Stock (Identification and Movement) Amendment Regulations 2007</w:t>
            </w:r>
          </w:p>
        </w:tc>
        <w:tc>
          <w:tcPr>
            <w:tcW w:w="1276" w:type="dxa"/>
          </w:tcPr>
          <w:p>
            <w:pPr>
              <w:pStyle w:val="nTable"/>
              <w:spacing w:after="40"/>
              <w:rPr>
                <w:sz w:val="19"/>
              </w:rPr>
            </w:pPr>
            <w:r>
              <w:rPr>
                <w:sz w:val="19"/>
              </w:rPr>
              <w:t>15 Jun 2007 p. 2761</w:t>
            </w:r>
            <w:r>
              <w:rPr>
                <w:sz w:val="19"/>
              </w:rPr>
              <w:noBreakHyphen/>
              <w:t>2</w:t>
            </w:r>
          </w:p>
        </w:tc>
        <w:tc>
          <w:tcPr>
            <w:tcW w:w="2693" w:type="dxa"/>
          </w:tcPr>
          <w:p>
            <w:pPr>
              <w:pStyle w:val="nTable"/>
              <w:spacing w:after="40"/>
              <w:rPr>
                <w:sz w:val="19"/>
              </w:rPr>
            </w:pPr>
            <w:r>
              <w:rPr>
                <w:snapToGrid w:val="0"/>
                <w:sz w:val="19"/>
                <w:lang w:val="en-US"/>
              </w:rPr>
              <w:t>r. 1 and 2: 15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Cs/>
                <w:sz w:val="19"/>
              </w:rPr>
            </w:pPr>
            <w:r>
              <w:rPr>
                <w:i/>
                <w:sz w:val="19"/>
              </w:rPr>
              <w:t>Stock (Identification and Movement) Amendment Regulations 2008</w:t>
            </w:r>
          </w:p>
        </w:tc>
        <w:tc>
          <w:tcPr>
            <w:tcW w:w="1276" w:type="dxa"/>
          </w:tcPr>
          <w:p>
            <w:pPr>
              <w:pStyle w:val="nTable"/>
              <w:spacing w:after="40"/>
              <w:rPr>
                <w:sz w:val="19"/>
              </w:rPr>
            </w:pPr>
            <w:r>
              <w:rPr>
                <w:sz w:val="19"/>
              </w:rPr>
              <w:t>20 May 2008 p. 1941</w:t>
            </w:r>
          </w:p>
        </w:tc>
        <w:tc>
          <w:tcPr>
            <w:tcW w:w="2693" w:type="dxa"/>
          </w:tcPr>
          <w:p>
            <w:pPr>
              <w:pStyle w:val="nTable"/>
              <w:spacing w:after="40"/>
              <w:rPr>
                <w:sz w:val="19"/>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Stock (Identification and Movement) Regulations 1972</w:t>
            </w:r>
            <w:r>
              <w:rPr>
                <w:b/>
                <w:sz w:val="19"/>
              </w:rPr>
              <w:t xml:space="preserve"> as at 14 Nov 2008</w:t>
            </w:r>
            <w:r>
              <w:rPr>
                <w:sz w:val="19"/>
              </w:rPr>
              <w:t xml:space="preserve"> (includes amendments listed above)</w:t>
            </w:r>
          </w:p>
        </w:tc>
      </w:tr>
      <w:tr>
        <w:trPr>
          <w:cantSplit/>
        </w:trPr>
        <w:tc>
          <w:tcPr>
            <w:tcW w:w="3119" w:type="dxa"/>
          </w:tcPr>
          <w:p>
            <w:pPr>
              <w:pStyle w:val="nTable"/>
              <w:spacing w:after="40"/>
              <w:ind w:right="113"/>
              <w:rPr>
                <w:iCs/>
                <w:sz w:val="19"/>
              </w:rPr>
            </w:pPr>
            <w:r>
              <w:rPr>
                <w:i/>
                <w:sz w:val="19"/>
              </w:rPr>
              <w:t>Stock (Identification and Movement) Amendment Regulations 2009</w:t>
            </w:r>
          </w:p>
        </w:tc>
        <w:tc>
          <w:tcPr>
            <w:tcW w:w="1276" w:type="dxa"/>
          </w:tcPr>
          <w:p>
            <w:pPr>
              <w:pStyle w:val="nTable"/>
              <w:spacing w:after="40"/>
              <w:rPr>
                <w:sz w:val="19"/>
              </w:rPr>
            </w:pPr>
            <w:r>
              <w:rPr>
                <w:sz w:val="19"/>
              </w:rPr>
              <w:t>29 May 2009 p. 1831</w:t>
            </w:r>
            <w:r>
              <w:rPr>
                <w:sz w:val="19"/>
              </w:rPr>
              <w:noBreakHyphen/>
              <w:t>2</w:t>
            </w:r>
          </w:p>
        </w:tc>
        <w:tc>
          <w:tcPr>
            <w:tcW w:w="2693" w:type="dxa"/>
          </w:tcPr>
          <w:p>
            <w:pPr>
              <w:pStyle w:val="nTable"/>
              <w:spacing w:after="40"/>
              <w:rPr>
                <w:sz w:val="19"/>
              </w:rPr>
            </w:pPr>
            <w:r>
              <w:rPr>
                <w:snapToGrid w:val="0"/>
                <w:sz w:val="19"/>
                <w:lang w:val="en-US"/>
              </w:rPr>
              <w:t>r. 1 and 2: 29 May 2009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Stock (Identification and Movement) Amendment Regulations (No. 2) 2009</w:t>
            </w:r>
          </w:p>
        </w:tc>
        <w:tc>
          <w:tcPr>
            <w:tcW w:w="1276" w:type="dxa"/>
          </w:tcPr>
          <w:p>
            <w:pPr>
              <w:pStyle w:val="nTable"/>
              <w:spacing w:after="40"/>
              <w:rPr>
                <w:sz w:val="19"/>
              </w:rPr>
            </w:pPr>
            <w:r>
              <w:rPr>
                <w:sz w:val="19"/>
              </w:rPr>
              <w:t>26 Jun 2009 p. 2617</w:t>
            </w:r>
            <w:r>
              <w:rPr>
                <w:sz w:val="19"/>
              </w:rPr>
              <w:noBreakHyphen/>
              <w:t>18</w:t>
            </w:r>
          </w:p>
        </w:tc>
        <w:tc>
          <w:tcPr>
            <w:tcW w:w="2693" w:type="dxa"/>
          </w:tcPr>
          <w:p>
            <w:pPr>
              <w:pStyle w:val="nTable"/>
              <w:spacing w:after="40"/>
              <w:rPr>
                <w:snapToGrid w:val="0"/>
                <w:sz w:val="19"/>
                <w:lang w:val="en-US"/>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Stock (Identification and Movement) Amendment Regulations 2010</w:t>
            </w:r>
          </w:p>
        </w:tc>
        <w:tc>
          <w:tcPr>
            <w:tcW w:w="1276" w:type="dxa"/>
          </w:tcPr>
          <w:p>
            <w:pPr>
              <w:pStyle w:val="nTable"/>
              <w:spacing w:after="40"/>
              <w:rPr>
                <w:sz w:val="19"/>
              </w:rPr>
            </w:pPr>
            <w:r>
              <w:rPr>
                <w:sz w:val="19"/>
              </w:rPr>
              <w:t>30 Jun 2010 p. 3125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3119" w:type="dxa"/>
            <w:tcBorders>
              <w:bottom w:val="single" w:sz="4" w:space="0" w:color="auto"/>
            </w:tcBorders>
          </w:tcPr>
          <w:p>
            <w:pPr>
              <w:pStyle w:val="nTable"/>
              <w:spacing w:after="40"/>
              <w:ind w:right="113"/>
              <w:rPr>
                <w:i/>
                <w:sz w:val="19"/>
              </w:rPr>
            </w:pPr>
            <w:r>
              <w:rPr>
                <w:i/>
                <w:sz w:val="19"/>
              </w:rPr>
              <w:t>Stock (Identification and Movement) Amendment Regulations 2011</w:t>
            </w:r>
          </w:p>
        </w:tc>
        <w:tc>
          <w:tcPr>
            <w:tcW w:w="1276" w:type="dxa"/>
            <w:tcBorders>
              <w:bottom w:val="single" w:sz="4" w:space="0" w:color="auto"/>
            </w:tcBorders>
          </w:tcPr>
          <w:p>
            <w:pPr>
              <w:pStyle w:val="nTable"/>
              <w:spacing w:after="40"/>
              <w:rPr>
                <w:sz w:val="19"/>
              </w:rPr>
            </w:pPr>
            <w:r>
              <w:rPr>
                <w:sz w:val="19"/>
              </w:rPr>
              <w:t>15 Apr 2011 p. 1412</w:t>
            </w:r>
            <w:r>
              <w:rPr>
                <w:sz w:val="19"/>
              </w:rPr>
              <w:noBreakHyphen/>
              <w:t>13</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15 Apr 2011 (see r. 2(a));</w:t>
            </w:r>
            <w:r>
              <w:rPr>
                <w:snapToGrid w:val="0"/>
                <w:spacing w:val="-2"/>
                <w:sz w:val="19"/>
                <w:lang w:val="en-US"/>
              </w:rPr>
              <w:br/>
              <w:t>Regulations other than r. 1 and 2: 16 Apr 2011 (see r. 2(b))</w:t>
            </w:r>
          </w:p>
        </w:tc>
      </w:tr>
    </w:tbl>
    <w:p>
      <w:pPr>
        <w:pStyle w:val="nSubsection"/>
      </w:pPr>
      <w:r>
        <w:rPr>
          <w:vertAlign w:val="superscript"/>
        </w:rPr>
        <w:t>2</w:t>
      </w:r>
      <w:r>
        <w:tab/>
        <w:t xml:space="preserve">Now known as the </w:t>
      </w:r>
      <w:r>
        <w:rPr>
          <w:i/>
        </w:rPr>
        <w:t>Stock (Identification and Movement) Regulations 1972</w:t>
      </w:r>
      <w:r>
        <w:t>; citation changed (see note under r. 1).</w:t>
      </w:r>
    </w:p>
    <w:p>
      <w:pPr>
        <w:pStyle w:val="nSubsection"/>
        <w:spacing w:before="60"/>
      </w:pPr>
      <w:r>
        <w:rPr>
          <w:vertAlign w:val="superscript"/>
        </w:rPr>
        <w:t>3</w:t>
      </w:r>
      <w:r>
        <w:tab/>
        <w:t>The commencement date of 1 Jul 1982 that was specified was before the date of gazettal.</w:t>
      </w:r>
    </w:p>
    <w:p>
      <w:pPr>
        <w:pStyle w:val="nSubsection"/>
        <w:spacing w:before="60"/>
      </w:pPr>
      <w:r>
        <w:rPr>
          <w:vertAlign w:val="superscript"/>
        </w:rPr>
        <w:t>4</w:t>
      </w:r>
      <w:r>
        <w:tab/>
        <w:t>The commencement date of 1 Oct 1983 that was specified was before the date of gazettal.</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81" w:name="_Toc212947920"/>
      <w:bookmarkStart w:id="182" w:name="_Toc213652928"/>
      <w:bookmarkStart w:id="183" w:name="_Toc231353922"/>
      <w:bookmarkStart w:id="184" w:name="_Toc233780294"/>
      <w:bookmarkStart w:id="185" w:name="_Toc265663036"/>
      <w:bookmarkStart w:id="186" w:name="_Toc290559605"/>
      <w:bookmarkStart w:id="187" w:name="_Toc290559730"/>
      <w:r>
        <w:rPr>
          <w:sz w:val="28"/>
        </w:rPr>
        <w:t>Defined Terms</w:t>
      </w:r>
      <w:bookmarkEnd w:id="181"/>
      <w:bookmarkEnd w:id="182"/>
      <w:bookmarkEnd w:id="183"/>
      <w:bookmarkEnd w:id="184"/>
      <w:bookmarkEnd w:id="185"/>
      <w:bookmarkEnd w:id="186"/>
      <w:bookmarkEnd w:id="1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8" w:name="DefinedTerms"/>
      <w:bookmarkEnd w:id="188"/>
      <w:r>
        <w:t>approved manufacturer</w:t>
      </w:r>
      <w:r>
        <w:tab/>
        <w:t>4A(1)</w:t>
      </w:r>
    </w:p>
    <w:p>
      <w:pPr>
        <w:pStyle w:val="DefinedTerms"/>
      </w:pPr>
      <w:r>
        <w:t>Breed Society mark</w:t>
      </w:r>
      <w:r>
        <w:tab/>
        <w:t>7A(1)</w:t>
      </w:r>
    </w:p>
    <w:p>
      <w:pPr>
        <w:pStyle w:val="DefinedTerms"/>
      </w:pPr>
      <w:r>
        <w:t>eartag</w:t>
      </w:r>
      <w:r>
        <w:tab/>
        <w:t>4A(1)</w:t>
      </w:r>
    </w:p>
    <w:p>
      <w:pPr>
        <w:pStyle w:val="DefinedTerms"/>
      </w:pPr>
      <w:r>
        <w:t>evidence</w:t>
      </w:r>
      <w:r>
        <w:tab/>
        <w:t>20H(5)</w:t>
      </w:r>
    </w:p>
    <w:p>
      <w:pPr>
        <w:pStyle w:val="DefinedTerms"/>
      </w:pPr>
      <w:r>
        <w:t>number plate</w:t>
      </w:r>
      <w:r>
        <w:tab/>
        <w:t>20(1b)</w:t>
      </w:r>
    </w:p>
    <w:p>
      <w:pPr>
        <w:pStyle w:val="DefinedTerms"/>
      </w:pPr>
      <w:r>
        <w:t>other document</w:t>
      </w:r>
      <w:r>
        <w:tab/>
        <w:t>20C(3)</w:t>
      </w:r>
    </w:p>
    <w:p>
      <w:pPr>
        <w:pStyle w:val="DefinedTerms"/>
      </w:pPr>
      <w:r>
        <w:t>property of origin</w:t>
      </w:r>
      <w:r>
        <w:tab/>
        <w:t>4(6)</w:t>
      </w: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C21FD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C726B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BA4D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F23D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4CEF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A0CF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19E4D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BE70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689C46"/>
    <w:lvl w:ilvl="0">
      <w:start w:val="1"/>
      <w:numFmt w:val="decimal"/>
      <w:pStyle w:val="ListNumber"/>
      <w:lvlText w:val="%1."/>
      <w:lvlJc w:val="left"/>
      <w:pPr>
        <w:tabs>
          <w:tab w:val="num" w:pos="360"/>
        </w:tabs>
        <w:ind w:left="360" w:hanging="360"/>
      </w:pPr>
    </w:lvl>
  </w:abstractNum>
  <w:abstractNum w:abstractNumId="9">
    <w:nsid w:val="FFFFFF89"/>
    <w:multiLevelType w:val="singleLevel"/>
    <w:tmpl w:val="0C3EFC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AF895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7C2F5C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415"/>
    <w:docVar w:name="WAFER_20151210160415" w:val="RemoveTrackChanges"/>
    <w:docVar w:name="WAFER_20151210160415_GUID" w:val="834cade9-4398-4df7-8cd6-0812373dc1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8544</Words>
  <Characters>39305</Characters>
  <Application>Microsoft Office Word</Application>
  <DocSecurity>0</DocSecurity>
  <Lines>1355</Lines>
  <Paragraphs>810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1972 - 04-e0-02</dc:title>
  <dc:subject/>
  <dc:creator/>
  <cp:keywords/>
  <dc:description/>
  <cp:lastModifiedBy>svcMRProcess</cp:lastModifiedBy>
  <cp:revision>4</cp:revision>
  <cp:lastPrinted>2011-04-14T06:25:00Z</cp:lastPrinted>
  <dcterms:created xsi:type="dcterms:W3CDTF">2015-12-14T20:14:00Z</dcterms:created>
  <dcterms:modified xsi:type="dcterms:W3CDTF">2015-12-14T20:14:00Z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20110416</vt:lpwstr>
  </property>
  <property fmtid="{D5CDD505-2E9C-101B-9397-08002B2CF9AE}" pid="4" name="DocumentType">
    <vt:lpwstr>Reg</vt:lpwstr>
  </property>
  <property fmtid="{D5CDD505-2E9C-101B-9397-08002B2CF9AE}" pid="5" name="OwlsUID">
    <vt:i4>4792</vt:i4>
  </property>
  <property fmtid="{D5CDD505-2E9C-101B-9397-08002B2CF9AE}" pid="6" name="ReprintNo">
    <vt:lpwstr>4</vt:lpwstr>
  </property>
  <property fmtid="{D5CDD505-2E9C-101B-9397-08002B2CF9AE}" pid="7" name="AsAtDate">
    <vt:lpwstr>16 Apr 2011</vt:lpwstr>
  </property>
  <property fmtid="{D5CDD505-2E9C-101B-9397-08002B2CF9AE}" pid="8" name="Suffix">
    <vt:lpwstr>04-e0-02</vt:lpwstr>
  </property>
</Properties>
</file>