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_Toc125868920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_Toc125868921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_Toc125868922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_Toc125868924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_Toc125868925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_Toc125868926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_Toc125868927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_Toc125868928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_Toc125868929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_Toc125868930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_Toc125868931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_Toc125868932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_Toc125868934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_Toc125868935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_Toc125868936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_Toc125868937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_Toc125868938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_Toc125868939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_Toc125868940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_Toc125868941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_Toc125868942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_Toc125868943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_Toc125868944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_Toc125868945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_Toc125868946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_Toc125868947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_Toc125868948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_Toc125868949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_Toc125868950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_Toc125868951 \h </w:instrText>
      </w:r>
      <w:r>
        <w:fldChar w:fldCharType="separate"/>
      </w:r>
      <w:r>
        <w:t>35</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_Toc125868952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_Toc125868953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_Toc125868954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_Toc125868955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_Toc125868956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_Toc125868957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_Toc125868958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_Toc125868960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_Toc125868961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_Toc125868962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_Toc125868963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_Toc125868964 \h </w:instrText>
      </w:r>
      <w:r>
        <w:fldChar w:fldCharType="separate"/>
      </w:r>
      <w:r>
        <w:t>56</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_Toc125868965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_Toc125868966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_Toc125868967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_Toc125868968 \h </w:instrText>
      </w:r>
      <w:r>
        <w:fldChar w:fldCharType="separate"/>
      </w:r>
      <w:r>
        <w:t>63</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_Toc125868969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_Toc125868970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_Toc125868971 \h </w:instrText>
      </w:r>
      <w:r>
        <w:fldChar w:fldCharType="separate"/>
      </w:r>
      <w:r>
        <w:t>66</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_Toc125868972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_Toc125868973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_Toc125868974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_Toc125868975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_Toc125868976 \h </w:instrText>
      </w:r>
      <w:r>
        <w:fldChar w:fldCharType="separate"/>
      </w:r>
      <w:r>
        <w:t>69</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_Toc125868977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_Toc125868978 \h </w:instrText>
      </w:r>
      <w:r>
        <w:fldChar w:fldCharType="separate"/>
      </w:r>
      <w:r>
        <w:t>70</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_Toc125868979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_Toc125868980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_Toc125868981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_Toc125868982 \h </w:instrText>
      </w:r>
      <w:r>
        <w:fldChar w:fldCharType="separate"/>
      </w:r>
      <w:r>
        <w:t>74</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_Toc125868983 \h </w:instrText>
      </w:r>
      <w:r>
        <w:fldChar w:fldCharType="separate"/>
      </w:r>
      <w:r>
        <w:t>75</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_Toc125868984 \h </w:instrText>
      </w:r>
      <w:r>
        <w:fldChar w:fldCharType="separate"/>
      </w:r>
      <w:r>
        <w:t>77</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_Toc125868985 \h </w:instrText>
      </w:r>
      <w:r>
        <w:fldChar w:fldCharType="separate"/>
      </w:r>
      <w:r>
        <w:t>79</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_Toc125868986 \h </w:instrText>
      </w:r>
      <w:r>
        <w:fldChar w:fldCharType="separate"/>
      </w:r>
      <w:r>
        <w:t>80</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_Toc125868987 \h </w:instrText>
      </w:r>
      <w:r>
        <w:fldChar w:fldCharType="separate"/>
      </w:r>
      <w:r>
        <w:t>81</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_Toc125868988 \h </w:instrText>
      </w:r>
      <w:r>
        <w:fldChar w:fldCharType="separate"/>
      </w:r>
      <w:r>
        <w:t>82</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_Toc125868989 \h </w:instrText>
      </w:r>
      <w:r>
        <w:fldChar w:fldCharType="separate"/>
      </w:r>
      <w:r>
        <w:t>86</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_Toc125868990 \h </w:instrText>
      </w:r>
      <w:r>
        <w:fldChar w:fldCharType="separate"/>
      </w:r>
      <w:r>
        <w:t>88</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_Toc125868991 \h </w:instrText>
      </w:r>
      <w:r>
        <w:fldChar w:fldCharType="separate"/>
      </w:r>
      <w:r>
        <w:t>89</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_Toc125868992 \h </w:instrText>
      </w:r>
      <w:r>
        <w:fldChar w:fldCharType="separate"/>
      </w:r>
      <w:r>
        <w:t>89</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_Toc125868993 \h </w:instrText>
      </w:r>
      <w:r>
        <w:fldChar w:fldCharType="separate"/>
      </w:r>
      <w:r>
        <w:t>91</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_Toc125868994 \h </w:instrText>
      </w:r>
      <w:r>
        <w:fldChar w:fldCharType="separate"/>
      </w:r>
      <w:r>
        <w:t>94</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_Toc125868995 \h </w:instrText>
      </w:r>
      <w:r>
        <w:fldChar w:fldCharType="separate"/>
      </w:r>
      <w:r>
        <w:t>94</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_Toc125868996 \h </w:instrText>
      </w:r>
      <w:r>
        <w:fldChar w:fldCharType="separate"/>
      </w:r>
      <w:r>
        <w:t>97</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_Toc125868997 \h </w:instrText>
      </w:r>
      <w:r>
        <w:fldChar w:fldCharType="separate"/>
      </w:r>
      <w:r>
        <w:t>98</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_Toc125868998 \h </w:instrText>
      </w:r>
      <w:r>
        <w:fldChar w:fldCharType="separate"/>
      </w:r>
      <w:r>
        <w:t>100</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_Toc125868999 \h </w:instrText>
      </w:r>
      <w:r>
        <w:fldChar w:fldCharType="separate"/>
      </w:r>
      <w:r>
        <w:t>105</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_Toc125869000 \h </w:instrText>
      </w:r>
      <w:r>
        <w:fldChar w:fldCharType="separate"/>
      </w:r>
      <w:r>
        <w:t>108</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_Toc125869001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_Toc125869002 \h </w:instrText>
      </w:r>
      <w:r>
        <w:fldChar w:fldCharType="separate"/>
      </w:r>
      <w:r>
        <w:t>119</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_Toc125869003 \h </w:instrText>
      </w:r>
      <w:r>
        <w:fldChar w:fldCharType="separate"/>
      </w:r>
      <w:r>
        <w:t>121</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_Toc125869004 \h </w:instrText>
      </w:r>
      <w:r>
        <w:fldChar w:fldCharType="separate"/>
      </w:r>
      <w:r>
        <w:t>121</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_Toc125869005 \h </w:instrText>
      </w:r>
      <w:r>
        <w:fldChar w:fldCharType="separate"/>
      </w:r>
      <w:r>
        <w:t>122</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_Toc125869006 \h </w:instrText>
      </w:r>
      <w:r>
        <w:fldChar w:fldCharType="separate"/>
      </w:r>
      <w:r>
        <w:t>123</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_Toc125869007 \h </w:instrText>
      </w:r>
      <w:r>
        <w:fldChar w:fldCharType="separate"/>
      </w:r>
      <w:r>
        <w:t>123</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_Toc125869008 \h </w:instrText>
      </w:r>
      <w:r>
        <w:fldChar w:fldCharType="separate"/>
      </w:r>
      <w:r>
        <w:t>123</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_Toc125869009 \h </w:instrText>
      </w:r>
      <w:r>
        <w:fldChar w:fldCharType="separate"/>
      </w:r>
      <w:r>
        <w:t>125</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_Toc125869010 \h </w:instrText>
      </w:r>
      <w:r>
        <w:fldChar w:fldCharType="separate"/>
      </w:r>
      <w:r>
        <w:t>126</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_Toc125869011 \h </w:instrText>
      </w:r>
      <w:r>
        <w:fldChar w:fldCharType="separate"/>
      </w:r>
      <w:r>
        <w:t>129</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_Toc125869012 \h </w:instrText>
      </w:r>
      <w:r>
        <w:fldChar w:fldCharType="separate"/>
      </w:r>
      <w:r>
        <w:t>131</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_Toc125869014 \h </w:instrText>
      </w:r>
      <w:r>
        <w:fldChar w:fldCharType="separate"/>
      </w:r>
      <w:r>
        <w:t>132</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_Toc125869015 \h </w:instrText>
      </w:r>
      <w:r>
        <w:fldChar w:fldCharType="separate"/>
      </w:r>
      <w:r>
        <w:t>135</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_Toc125869016 \h </w:instrText>
      </w:r>
      <w:r>
        <w:fldChar w:fldCharType="separate"/>
      </w:r>
      <w:r>
        <w:t>138</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_Toc125869017 \h </w:instrText>
      </w:r>
      <w:r>
        <w:fldChar w:fldCharType="separate"/>
      </w:r>
      <w:r>
        <w:t>138</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_Toc125869018 \h </w:instrText>
      </w:r>
      <w:r>
        <w:fldChar w:fldCharType="separate"/>
      </w:r>
      <w:r>
        <w:t>139</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_Toc125869019 \h </w:instrText>
      </w:r>
      <w:r>
        <w:fldChar w:fldCharType="separate"/>
      </w:r>
      <w:r>
        <w:t>140</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_Toc125869020 \h </w:instrText>
      </w:r>
      <w:r>
        <w:fldChar w:fldCharType="separate"/>
      </w:r>
      <w:r>
        <w:t>143</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_Toc125869022 \h </w:instrText>
      </w:r>
      <w:r>
        <w:fldChar w:fldCharType="separate"/>
      </w:r>
      <w:r>
        <w:t>145</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_Toc125869023 \h </w:instrText>
      </w:r>
      <w:r>
        <w:fldChar w:fldCharType="separate"/>
      </w:r>
      <w:r>
        <w:t>146</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_Toc125869024 \h </w:instrText>
      </w:r>
      <w:r>
        <w:fldChar w:fldCharType="separate"/>
      </w:r>
      <w:r>
        <w:t>148</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_Toc125869025 \h </w:instrText>
      </w:r>
      <w:r>
        <w:fldChar w:fldCharType="separate"/>
      </w:r>
      <w:r>
        <w:t>150</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_Toc125869026 \h </w:instrText>
      </w:r>
      <w:r>
        <w:fldChar w:fldCharType="separate"/>
      </w:r>
      <w:r>
        <w:t>159</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_Toc125869027 \h </w:instrText>
      </w:r>
      <w:r>
        <w:fldChar w:fldCharType="separate"/>
      </w:r>
      <w:r>
        <w:t>159</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_Toc125869028 \h </w:instrText>
      </w:r>
      <w:r>
        <w:fldChar w:fldCharType="separate"/>
      </w:r>
      <w:r>
        <w:t>161</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_Toc125869029 \h </w:instrText>
      </w:r>
      <w:r>
        <w:fldChar w:fldCharType="separate"/>
      </w:r>
      <w:r>
        <w:t>162</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_Toc125869030 \h </w:instrText>
      </w:r>
      <w:r>
        <w:fldChar w:fldCharType="separate"/>
      </w:r>
      <w:r>
        <w:t>163</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_Toc125869031 \h </w:instrText>
      </w:r>
      <w:r>
        <w:fldChar w:fldCharType="separate"/>
      </w:r>
      <w:r>
        <w:t>166</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_Toc125869032 \h </w:instrText>
      </w:r>
      <w:r>
        <w:fldChar w:fldCharType="separate"/>
      </w:r>
      <w:r>
        <w:t>167</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_Toc125869035 \h </w:instrText>
      </w:r>
      <w:r>
        <w:fldChar w:fldCharType="separate"/>
      </w:r>
      <w:r>
        <w:t>169</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_Toc125869036 \h </w:instrText>
      </w:r>
      <w:r>
        <w:fldChar w:fldCharType="separate"/>
      </w:r>
      <w:r>
        <w:t>177</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_Toc125869037 \h </w:instrText>
      </w:r>
      <w:r>
        <w:fldChar w:fldCharType="separate"/>
      </w:r>
      <w:r>
        <w:t>178</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_Toc125869038 \h </w:instrText>
      </w:r>
      <w:r>
        <w:fldChar w:fldCharType="separate"/>
      </w:r>
      <w:r>
        <w:t>178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_Toc125869040 \h </w:instrText>
      </w:r>
      <w:r>
        <w:fldChar w:fldCharType="separate"/>
      </w:r>
      <w:r>
        <w:t>180</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_Toc125869041 \h </w:instrText>
      </w:r>
      <w:r>
        <w:fldChar w:fldCharType="separate"/>
      </w:r>
      <w:r>
        <w:t>183</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_Toc125869042 \h </w:instrText>
      </w:r>
      <w:r>
        <w:fldChar w:fldCharType="separate"/>
      </w:r>
      <w:r>
        <w:t>185</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_Toc125869043 \h </w:instrText>
      </w:r>
      <w:r>
        <w:fldChar w:fldCharType="separate"/>
      </w:r>
      <w:r>
        <w:t>190</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_Toc125869044 \h </w:instrText>
      </w:r>
      <w:r>
        <w:fldChar w:fldCharType="separate"/>
      </w:r>
      <w:r>
        <w:t>192</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_Toc125869045 \h </w:instrText>
      </w:r>
      <w:r>
        <w:fldChar w:fldCharType="separate"/>
      </w:r>
      <w:r>
        <w:t>193</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_Toc125869046 \h </w:instrText>
      </w:r>
      <w:r>
        <w:fldChar w:fldCharType="separate"/>
      </w:r>
      <w:r>
        <w:t>196</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_Toc125869048 \h </w:instrText>
      </w:r>
      <w:r>
        <w:fldChar w:fldCharType="separate"/>
      </w:r>
      <w:r>
        <w:t>196</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_Toc125869049 \h </w:instrText>
      </w:r>
      <w:r>
        <w:fldChar w:fldCharType="separate"/>
      </w:r>
      <w:r>
        <w:t>199</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_Toc125869050 \h </w:instrText>
      </w:r>
      <w:r>
        <w:fldChar w:fldCharType="separate"/>
      </w:r>
      <w:r>
        <w:t>201</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_Toc125869051 \h </w:instrText>
      </w:r>
      <w:r>
        <w:fldChar w:fldCharType="separate"/>
      </w:r>
      <w:r>
        <w:t>207</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_Toc125869052 \h </w:instrText>
      </w:r>
      <w:r>
        <w:fldChar w:fldCharType="separate"/>
      </w:r>
      <w:r>
        <w:t>209</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_Toc125869053 \h </w:instrText>
      </w:r>
      <w:r>
        <w:fldChar w:fldCharType="separate"/>
      </w:r>
      <w:r>
        <w:t>212</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_Toc125869055 \h </w:instrText>
      </w:r>
      <w:r>
        <w:fldChar w:fldCharType="separate"/>
      </w:r>
      <w:r>
        <w:t>214</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_Toc125869056 \h </w:instrText>
      </w:r>
      <w:r>
        <w:fldChar w:fldCharType="separate"/>
      </w:r>
      <w:r>
        <w:t>219</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_Toc125869057 \h </w:instrText>
      </w:r>
      <w:r>
        <w:fldChar w:fldCharType="separate"/>
      </w:r>
      <w:r>
        <w:t>221</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_Toc125869058 \h </w:instrText>
      </w:r>
      <w:r>
        <w:fldChar w:fldCharType="separate"/>
      </w:r>
      <w:r>
        <w:t>226</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_Toc125869059 \h </w:instrText>
      </w:r>
      <w:r>
        <w:fldChar w:fldCharType="separate"/>
      </w:r>
      <w:r>
        <w:t>227</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_Toc125869060 \h </w:instrText>
      </w:r>
      <w:r>
        <w:fldChar w:fldCharType="separate"/>
      </w:r>
      <w:r>
        <w:t>228</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_Toc125869061 \h </w:instrText>
      </w:r>
      <w:r>
        <w:fldChar w:fldCharType="separate"/>
      </w:r>
      <w:r>
        <w:t>231</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_Toc125869063 \h </w:instrText>
      </w:r>
      <w:r>
        <w:fldChar w:fldCharType="separate"/>
      </w:r>
      <w:r>
        <w:t>232</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_Toc125869064 \h </w:instrText>
      </w:r>
      <w:r>
        <w:fldChar w:fldCharType="separate"/>
      </w:r>
      <w:r>
        <w:t>236</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_Toc125869065 \h </w:instrText>
      </w:r>
      <w:r>
        <w:fldChar w:fldCharType="separate"/>
      </w:r>
      <w:r>
        <w:t>239</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_Toc125869066 \h </w:instrText>
      </w:r>
      <w:r>
        <w:fldChar w:fldCharType="separate"/>
      </w:r>
      <w:r>
        <w:t>245</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_Toc125869067 \h </w:instrText>
      </w:r>
      <w:r>
        <w:fldChar w:fldCharType="separate"/>
      </w:r>
      <w:r>
        <w:t>245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_Toc125869068 \h </w:instrText>
      </w:r>
      <w:r>
        <w:fldChar w:fldCharType="separate"/>
      </w:r>
      <w:r>
        <w:t>248</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_Toc125869070 \h </w:instrText>
      </w:r>
      <w:r>
        <w:fldChar w:fldCharType="separate"/>
      </w:r>
      <w:r>
        <w:t>251</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_Toc125869072 \h </w:instrText>
      </w:r>
      <w:r>
        <w:fldChar w:fldCharType="separate"/>
      </w:r>
      <w:r>
        <w:t>252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_Toc125869073 \h </w:instrText>
      </w:r>
      <w:r>
        <w:fldChar w:fldCharType="separate"/>
      </w:r>
      <w:r>
        <w:t>254</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_Toc125869074 \h </w:instrText>
      </w:r>
      <w:r>
        <w:fldChar w:fldCharType="separate"/>
      </w:r>
      <w:r>
        <w:t>254</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_Toc125869076 \h </w:instrText>
      </w:r>
      <w:r>
        <w:fldChar w:fldCharType="separate"/>
      </w:r>
      <w:r>
        <w:t>255</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_Toc125869077 \h </w:instrText>
      </w:r>
      <w:r>
        <w:fldChar w:fldCharType="separate"/>
      </w:r>
      <w:r>
        <w:t>258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_Toc125869078 \h </w:instrText>
      </w:r>
      <w:r>
        <w:fldChar w:fldCharType="separate"/>
      </w:r>
      <w:r>
        <w:t>261</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_Toc125869079 \h </w:instrText>
      </w:r>
      <w:r>
        <w:fldChar w:fldCharType="separate"/>
      </w:r>
      <w:r>
        <w:t>264</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_Toc125869080 \h </w:instrText>
      </w:r>
      <w:r>
        <w:fldChar w:fldCharType="separate"/>
      </w:r>
      <w:r>
        <w:t>264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_Toc125869081 \h </w:instrText>
      </w:r>
      <w:r>
        <w:fldChar w:fldCharType="separate"/>
      </w:r>
      <w:r>
        <w:t>265</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_Toc125869082 \h </w:instrText>
      </w:r>
      <w:r>
        <w:fldChar w:fldCharType="separate"/>
      </w:r>
      <w:r>
        <w:t>265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_Toc125869083 \h </w:instrText>
      </w:r>
      <w:r>
        <w:fldChar w:fldCharType="separate"/>
      </w:r>
      <w:r>
        <w:t>266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_Toc125869084 \h </w:instrText>
      </w:r>
      <w:r>
        <w:fldChar w:fldCharType="separate"/>
      </w:r>
      <w:r>
        <w:t>267</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_Toc125869085 \h </w:instrText>
      </w:r>
      <w:r>
        <w:fldChar w:fldCharType="separate"/>
      </w:r>
      <w:r>
        <w:t>268</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_Toc125869086 \h </w:instrText>
      </w:r>
      <w:r>
        <w:fldChar w:fldCharType="separate"/>
      </w:r>
      <w:r>
        <w:t>268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_Toc125869087 \h </w:instrText>
      </w:r>
      <w:r>
        <w:fldChar w:fldCharType="separate"/>
      </w:r>
      <w:r>
        <w:t>269</w:t>
      </w:r>
      <w:r>
        <w:fldChar w:fldCharType="end"/>
      </w:r>
    </w:p>
    <w:p>
      <w:pPr>
        <w:pStyle w:val="TOC8"/>
        <w:rPr>
          <w:sz w:val="24"/>
          <w:szCs w:val="24"/>
        </w:rPr>
      </w:pPr>
      <w:r>
        <w:rPr>
          <w:szCs w:val="24"/>
        </w:rPr>
        <w:t>76N.</w:t>
      </w:r>
      <w:r>
        <w:rPr>
          <w:szCs w:val="24"/>
        </w:rPr>
        <w:tab/>
        <w:t>Records</w:t>
      </w:r>
      <w:r>
        <w:tab/>
      </w:r>
      <w:r>
        <w:fldChar w:fldCharType="begin"/>
      </w:r>
      <w:r>
        <w:instrText xml:space="preserve"> PAGEREF _Toc125869088 \h </w:instrText>
      </w:r>
      <w:r>
        <w:fldChar w:fldCharType="separate"/>
      </w:r>
      <w:r>
        <w:t>269</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_Toc125869090 \h </w:instrText>
      </w:r>
      <w:r>
        <w:fldChar w:fldCharType="separate"/>
      </w:r>
      <w:r>
        <w:t>270</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_Toc125869091 \h </w:instrText>
      </w:r>
      <w:r>
        <w:fldChar w:fldCharType="separate"/>
      </w:r>
      <w:r>
        <w:t>270</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_Toc125869092 \h </w:instrText>
      </w:r>
      <w:r>
        <w:fldChar w:fldCharType="separate"/>
      </w:r>
      <w:r>
        <w:t>272</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_Toc125869093 \h </w:instrText>
      </w:r>
      <w:r>
        <w:fldChar w:fldCharType="separate"/>
      </w:r>
      <w:r>
        <w:t>273</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_Toc125869094 \h </w:instrText>
      </w:r>
      <w:r>
        <w:fldChar w:fldCharType="separate"/>
      </w:r>
      <w:r>
        <w:t>274</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_Toc125869097 \h </w:instrText>
      </w:r>
      <w:r>
        <w:fldChar w:fldCharType="separate"/>
      </w:r>
      <w:r>
        <w:t>275</w:t>
      </w:r>
      <w:r>
        <w:fldChar w:fldCharType="end"/>
      </w:r>
    </w:p>
    <w:p>
      <w:pPr>
        <w:pStyle w:val="TOC8"/>
        <w:rPr>
          <w:sz w:val="24"/>
          <w:szCs w:val="24"/>
        </w:rPr>
      </w:pPr>
      <w:r>
        <w:rPr>
          <w:szCs w:val="24"/>
        </w:rPr>
        <w:t>82.</w:t>
      </w:r>
      <w:r>
        <w:rPr>
          <w:szCs w:val="24"/>
        </w:rPr>
        <w:tab/>
        <w:t>Mortgages</w:t>
      </w:r>
      <w:r>
        <w:tab/>
      </w:r>
      <w:r>
        <w:fldChar w:fldCharType="begin"/>
      </w:r>
      <w:r>
        <w:instrText xml:space="preserve"> PAGEREF _Toc125869098 \h </w:instrText>
      </w:r>
      <w:r>
        <w:fldChar w:fldCharType="separate"/>
      </w:r>
      <w:r>
        <w:t>276</w:t>
      </w:r>
      <w:r>
        <w:fldChar w:fldCharType="end"/>
      </w:r>
    </w:p>
    <w:p>
      <w:pPr>
        <w:pStyle w:val="TOC8"/>
        <w:rPr>
          <w:sz w:val="24"/>
          <w:szCs w:val="24"/>
        </w:rPr>
      </w:pPr>
      <w:r>
        <w:rPr>
          <w:szCs w:val="24"/>
        </w:rPr>
        <w:t>83.</w:t>
      </w:r>
      <w:r>
        <w:rPr>
          <w:szCs w:val="24"/>
        </w:rPr>
        <w:tab/>
        <w:t>Advances</w:t>
      </w:r>
      <w:r>
        <w:tab/>
      </w:r>
      <w:r>
        <w:fldChar w:fldCharType="begin"/>
      </w:r>
      <w:r>
        <w:instrText xml:space="preserve"> PAGEREF _Toc125869099 \h </w:instrText>
      </w:r>
      <w:r>
        <w:fldChar w:fldCharType="separate"/>
      </w:r>
      <w:r>
        <w:t>277</w:t>
      </w:r>
      <w:r>
        <w:fldChar w:fldCharType="end"/>
      </w:r>
    </w:p>
    <w:p>
      <w:pPr>
        <w:pStyle w:val="TOC8"/>
        <w:rPr>
          <w:sz w:val="24"/>
          <w:szCs w:val="24"/>
        </w:rPr>
      </w:pPr>
      <w:r>
        <w:rPr>
          <w:szCs w:val="24"/>
        </w:rPr>
        <w:t>84.</w:t>
      </w:r>
      <w:r>
        <w:rPr>
          <w:szCs w:val="24"/>
        </w:rPr>
        <w:tab/>
        <w:t>Loans</w:t>
      </w:r>
      <w:r>
        <w:tab/>
      </w:r>
      <w:r>
        <w:fldChar w:fldCharType="begin"/>
      </w:r>
      <w:r>
        <w:instrText xml:space="preserve"> PAGEREF _Toc125869100 \h </w:instrText>
      </w:r>
      <w:r>
        <w:fldChar w:fldCharType="separate"/>
      </w:r>
      <w:r>
        <w:t>277</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_Toc125869101 \h </w:instrText>
      </w:r>
      <w:r>
        <w:fldChar w:fldCharType="separate"/>
      </w:r>
      <w:r>
        <w:t>278</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86.</w:t>
      </w:r>
      <w:r>
        <w:rPr>
          <w:szCs w:val="24"/>
        </w:rPr>
        <w:tab/>
        <w:t>Assessing mortgage duty</w:t>
      </w:r>
      <w:r>
        <w:tab/>
      </w:r>
      <w:r>
        <w:fldChar w:fldCharType="begin"/>
      </w:r>
      <w:r>
        <w:instrText xml:space="preserve"> PAGEREF _Toc125869103 \h </w:instrText>
      </w:r>
      <w:r>
        <w:fldChar w:fldCharType="separate"/>
      </w:r>
      <w:r>
        <w:t>279</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_Toc125869104 \h </w:instrText>
      </w:r>
      <w:r>
        <w:fldChar w:fldCharType="separate"/>
      </w:r>
      <w:r>
        <w:t>279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_Toc125869105 \h </w:instrText>
      </w:r>
      <w:r>
        <w:fldChar w:fldCharType="separate"/>
      </w:r>
      <w:r>
        <w:t>281</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_Toc125869106 \h </w:instrText>
      </w:r>
      <w:r>
        <w:fldChar w:fldCharType="separate"/>
      </w:r>
      <w:r>
        <w:t>282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_Toc125869107 \h </w:instrText>
      </w:r>
      <w:r>
        <w:fldChar w:fldCharType="separate"/>
      </w:r>
      <w:r>
        <w:t>283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_Toc125869109 \h </w:instrText>
      </w:r>
      <w:r>
        <w:fldChar w:fldCharType="separate"/>
      </w:r>
      <w:r>
        <w:t>284</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_Toc125869110 \h </w:instrText>
      </w:r>
      <w:r>
        <w:fldChar w:fldCharType="separate"/>
      </w:r>
      <w:r>
        <w:t>285</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_Toc125869111 \h </w:instrText>
      </w:r>
      <w:r>
        <w:fldChar w:fldCharType="separate"/>
      </w:r>
      <w:r>
        <w:t>285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_Toc125869112 \h </w:instrText>
      </w:r>
      <w:r>
        <w:fldChar w:fldCharType="separate"/>
      </w:r>
      <w:r>
        <w:t>287</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_Toc125869113 \h </w:instrText>
      </w:r>
      <w:r>
        <w:fldChar w:fldCharType="separate"/>
      </w:r>
      <w:r>
        <w:t>287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_Toc125869114 \h </w:instrText>
      </w:r>
      <w:r>
        <w:fldChar w:fldCharType="separate"/>
      </w:r>
      <w:r>
        <w:t>288</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_Toc125869115 \h </w:instrText>
      </w:r>
      <w:r>
        <w:fldChar w:fldCharType="separate"/>
      </w:r>
      <w:r>
        <w:t>289</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_Toc125869116 \h </w:instrText>
      </w:r>
      <w:r>
        <w:fldChar w:fldCharType="separate"/>
      </w:r>
      <w:r>
        <w:t>289</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_Toc125869117 \h </w:instrText>
      </w:r>
      <w:r>
        <w:fldChar w:fldCharType="separate"/>
      </w:r>
      <w:r>
        <w:t>289</w:t>
      </w:r>
      <w:r>
        <w:fldChar w:fldCharType="end"/>
      </w:r>
    </w:p>
    <w:p>
      <w:pPr>
        <w:pStyle w:val="TOC2"/>
        <w:tabs>
          <w:tab w:val="right" w:leader="dot" w:pos="7086"/>
        </w:tabs>
        <w:rPr>
          <w:b w:val="0"/>
          <w:sz w:val="24"/>
          <w:szCs w:val="24"/>
        </w:rPr>
      </w:pPr>
      <w:r>
        <w:rPr>
          <w:szCs w:val="30"/>
        </w:rPr>
        <w:t>Part IIIF — Policies of insurance</w:t>
      </w:r>
    </w:p>
    <w:p>
      <w:pPr>
        <w:pStyle w:val="TOC8"/>
        <w:rPr>
          <w:sz w:val="24"/>
          <w:szCs w:val="24"/>
        </w:rPr>
      </w:pPr>
      <w:r>
        <w:rPr>
          <w:szCs w:val="24"/>
        </w:rPr>
        <w:t>92</w:t>
      </w:r>
      <w:r>
        <w:rPr>
          <w:snapToGrid w:val="0"/>
          <w:szCs w:val="24"/>
        </w:rPr>
        <w:t>.</w:t>
      </w:r>
      <w:r>
        <w:rPr>
          <w:snapToGrid w:val="0"/>
          <w:szCs w:val="24"/>
        </w:rPr>
        <w:tab/>
        <w:t>Interpretation in Part IIIF</w:t>
      </w:r>
      <w:r>
        <w:tab/>
      </w:r>
      <w:r>
        <w:fldChar w:fldCharType="begin"/>
      </w:r>
      <w:r>
        <w:instrText xml:space="preserve"> PAGEREF _Toc125869119 \h </w:instrText>
      </w:r>
      <w:r>
        <w:fldChar w:fldCharType="separate"/>
      </w:r>
      <w:r>
        <w:t>291</w:t>
      </w:r>
      <w:r>
        <w:fldChar w:fldCharType="end"/>
      </w:r>
    </w:p>
    <w:p>
      <w:pPr>
        <w:pStyle w:val="TOC8"/>
        <w:rPr>
          <w:sz w:val="24"/>
          <w:szCs w:val="24"/>
        </w:rPr>
      </w:pPr>
      <w:r>
        <w:rPr>
          <w:szCs w:val="24"/>
        </w:rPr>
        <w:t>92A.</w:t>
      </w:r>
      <w:r>
        <w:rPr>
          <w:szCs w:val="24"/>
        </w:rPr>
        <w:tab/>
        <w:t>Dutiable statement required if policy issued outside Western Australia</w:t>
      </w:r>
      <w:r>
        <w:tab/>
      </w:r>
      <w:r>
        <w:fldChar w:fldCharType="begin"/>
      </w:r>
      <w:r>
        <w:instrText xml:space="preserve"> PAGEREF _Toc125869120 \h </w:instrText>
      </w:r>
      <w:r>
        <w:fldChar w:fldCharType="separate"/>
      </w:r>
      <w:r>
        <w:t>293</w:t>
      </w:r>
      <w:r>
        <w:fldChar w:fldCharType="end"/>
      </w:r>
    </w:p>
    <w:p>
      <w:pPr>
        <w:pStyle w:val="TOC8"/>
        <w:rPr>
          <w:sz w:val="24"/>
          <w:szCs w:val="24"/>
        </w:rPr>
      </w:pPr>
      <w:r>
        <w:rPr>
          <w:szCs w:val="24"/>
        </w:rPr>
        <w:t>92B</w:t>
      </w:r>
      <w:r>
        <w:rPr>
          <w:snapToGrid w:val="0"/>
          <w:szCs w:val="24"/>
        </w:rPr>
        <w:t>.</w:t>
      </w:r>
      <w:r>
        <w:rPr>
          <w:snapToGrid w:val="0"/>
          <w:szCs w:val="24"/>
        </w:rPr>
        <w:tab/>
        <w:t>Statements to be made in respect of certain insurance</w:t>
      </w:r>
      <w:r>
        <w:tab/>
      </w:r>
      <w:r>
        <w:fldChar w:fldCharType="begin"/>
      </w:r>
      <w:r>
        <w:instrText xml:space="preserve"> PAGEREF _Toc125869121 \h </w:instrText>
      </w:r>
      <w:r>
        <w:fldChar w:fldCharType="separate"/>
      </w:r>
      <w:r>
        <w:t>294</w:t>
      </w:r>
      <w:r>
        <w:fldChar w:fldCharType="end"/>
      </w:r>
    </w:p>
    <w:p>
      <w:pPr>
        <w:pStyle w:val="TOC8"/>
        <w:rPr>
          <w:sz w:val="24"/>
          <w:szCs w:val="24"/>
        </w:rPr>
      </w:pPr>
      <w:r>
        <w:rPr>
          <w:szCs w:val="24"/>
        </w:rPr>
        <w:t>94</w:t>
      </w:r>
      <w:r>
        <w:rPr>
          <w:snapToGrid w:val="0"/>
          <w:szCs w:val="24"/>
        </w:rPr>
        <w:t>.</w:t>
      </w:r>
      <w:r>
        <w:rPr>
          <w:snapToGrid w:val="0"/>
          <w:szCs w:val="24"/>
        </w:rPr>
        <w:tab/>
        <w:t>Penalty for not making out policy</w:t>
      </w:r>
      <w:r>
        <w:tab/>
      </w:r>
      <w:r>
        <w:fldChar w:fldCharType="begin"/>
      </w:r>
      <w:r>
        <w:instrText xml:space="preserve"> PAGEREF _Toc125869122 \h </w:instrText>
      </w:r>
      <w:r>
        <w:fldChar w:fldCharType="separate"/>
      </w:r>
      <w:r>
        <w:t>295</w:t>
      </w:r>
      <w:r>
        <w:fldChar w:fldCharType="end"/>
      </w:r>
    </w:p>
    <w:p>
      <w:pPr>
        <w:pStyle w:val="TOC8"/>
        <w:rPr>
          <w:sz w:val="24"/>
          <w:szCs w:val="24"/>
        </w:rPr>
      </w:pPr>
      <w:r>
        <w:rPr>
          <w:szCs w:val="24"/>
        </w:rPr>
        <w:t>95</w:t>
      </w:r>
      <w:r>
        <w:rPr>
          <w:snapToGrid w:val="0"/>
          <w:szCs w:val="24"/>
        </w:rPr>
        <w:t>.</w:t>
      </w:r>
      <w:r>
        <w:rPr>
          <w:snapToGrid w:val="0"/>
          <w:szCs w:val="24"/>
        </w:rPr>
        <w:tab/>
        <w:t>Policies of reinsurance to be exempt from duty</w:t>
      </w:r>
      <w:r>
        <w:tab/>
      </w:r>
      <w:r>
        <w:fldChar w:fldCharType="begin"/>
      </w:r>
      <w:r>
        <w:instrText xml:space="preserve"> PAGEREF _Toc125869123 \h </w:instrText>
      </w:r>
      <w:r>
        <w:fldChar w:fldCharType="separate"/>
      </w:r>
      <w:r>
        <w:t>296</w:t>
      </w:r>
      <w:r>
        <w:fldChar w:fldCharType="end"/>
      </w:r>
    </w:p>
    <w:p>
      <w:pPr>
        <w:pStyle w:val="TOC8"/>
        <w:rPr>
          <w:sz w:val="24"/>
          <w:szCs w:val="24"/>
        </w:rPr>
      </w:pPr>
      <w:r>
        <w:rPr>
          <w:szCs w:val="24"/>
        </w:rPr>
        <w:t>96</w:t>
      </w:r>
      <w:r>
        <w:rPr>
          <w:snapToGrid w:val="0"/>
          <w:szCs w:val="24"/>
        </w:rPr>
        <w:t>.</w:t>
      </w:r>
      <w:r>
        <w:rPr>
          <w:snapToGrid w:val="0"/>
          <w:szCs w:val="24"/>
        </w:rPr>
        <w:tab/>
        <w:t>No duty chargeable on amount received on account of duty</w:t>
      </w:r>
      <w:r>
        <w:tab/>
      </w:r>
      <w:r>
        <w:fldChar w:fldCharType="begin"/>
      </w:r>
      <w:r>
        <w:instrText xml:space="preserve"> PAGEREF _Toc125869124 \h </w:instrText>
      </w:r>
      <w:r>
        <w:fldChar w:fldCharType="separate"/>
      </w:r>
      <w:r>
        <w:t>297</w:t>
      </w:r>
      <w:r>
        <w:fldChar w:fldCharType="end"/>
      </w:r>
    </w:p>
    <w:p>
      <w:pPr>
        <w:pStyle w:val="TOC8"/>
        <w:rPr>
          <w:sz w:val="24"/>
          <w:szCs w:val="24"/>
        </w:rPr>
      </w:pPr>
      <w:r>
        <w:rPr>
          <w:szCs w:val="24"/>
        </w:rPr>
        <w:t>97.</w:t>
      </w:r>
      <w:r>
        <w:rPr>
          <w:szCs w:val="24"/>
        </w:rPr>
        <w:tab/>
        <w:t>Offshore risk policies exempt from duty</w:t>
      </w:r>
      <w:r>
        <w:tab/>
      </w:r>
      <w:r>
        <w:fldChar w:fldCharType="begin"/>
      </w:r>
      <w:r>
        <w:instrText xml:space="preserve"> PAGEREF _Toc125869125 \h </w:instrText>
      </w:r>
      <w:r>
        <w:fldChar w:fldCharType="separate"/>
      </w:r>
      <w:r>
        <w:t>297</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_Toc125869128 \h </w:instrText>
      </w:r>
      <w:r>
        <w:fldChar w:fldCharType="separate"/>
      </w:r>
      <w:r>
        <w:t>300</w:t>
      </w:r>
      <w:r>
        <w:fldChar w:fldCharType="end"/>
      </w:r>
    </w:p>
    <w:p>
      <w:pPr>
        <w:pStyle w:val="TOC8"/>
        <w:rPr>
          <w:sz w:val="24"/>
          <w:szCs w:val="24"/>
        </w:rPr>
      </w:pPr>
      <w:r>
        <w:rPr>
          <w:szCs w:val="24"/>
        </w:rPr>
        <w:t>112IA.</w:t>
      </w:r>
      <w:r>
        <w:rPr>
          <w:szCs w:val="24"/>
        </w:rPr>
        <w:tab/>
        <w:t>Goods</w:t>
      </w:r>
      <w:r>
        <w:tab/>
      </w:r>
      <w:r>
        <w:fldChar w:fldCharType="begin"/>
      </w:r>
      <w:r>
        <w:instrText xml:space="preserve"> PAGEREF _Toc125869129 \h </w:instrText>
      </w:r>
      <w:r>
        <w:fldChar w:fldCharType="separate"/>
      </w:r>
      <w:r>
        <w:t>300</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_Toc125869130 \h </w:instrText>
      </w:r>
      <w:r>
        <w:fldChar w:fldCharType="separate"/>
      </w:r>
      <w:r>
        <w:t>300</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_Toc125869131 \h </w:instrText>
      </w:r>
      <w:r>
        <w:fldChar w:fldCharType="separate"/>
      </w:r>
      <w:r>
        <w:t>302</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_Toc125869132 \h </w:instrText>
      </w:r>
      <w:r>
        <w:fldChar w:fldCharType="separate"/>
      </w:r>
      <w:r>
        <w:t>302</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_Toc125869133 \h </w:instrText>
      </w:r>
      <w:r>
        <w:fldChar w:fldCharType="separate"/>
      </w:r>
      <w:r>
        <w:t>303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_Toc125869134 \h </w:instrText>
      </w:r>
      <w:r>
        <w:fldChar w:fldCharType="separate"/>
      </w:r>
      <w:r>
        <w:t>304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_Toc125869136 \h </w:instrText>
      </w:r>
      <w:r>
        <w:fldChar w:fldCharType="separate"/>
      </w:r>
      <w:r>
        <w:t>305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_Toc125869137 \h </w:instrText>
      </w:r>
      <w:r>
        <w:fldChar w:fldCharType="separate"/>
      </w:r>
      <w:r>
        <w:t>305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_Toc125869138 \h </w:instrText>
      </w:r>
      <w:r>
        <w:fldChar w:fldCharType="separate"/>
      </w:r>
      <w:r>
        <w:t>306</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_Toc125869140 \h </w:instrText>
      </w:r>
      <w:r>
        <w:fldChar w:fldCharType="separate"/>
      </w:r>
      <w:r>
        <w:t>306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_Toc125869142 \h </w:instrText>
      </w:r>
      <w:r>
        <w:fldChar w:fldCharType="separate"/>
      </w:r>
      <w:r>
        <w:t>307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_Toc125869143 \h </w:instrText>
      </w:r>
      <w:r>
        <w:fldChar w:fldCharType="separate"/>
      </w:r>
      <w:r>
        <w:t>308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_Toc125869144 \h </w:instrText>
      </w:r>
      <w:r>
        <w:fldChar w:fldCharType="separate"/>
      </w:r>
      <w:r>
        <w:t>309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_Toc125869145 \h </w:instrText>
      </w:r>
      <w:r>
        <w:fldChar w:fldCharType="separate"/>
      </w:r>
      <w:r>
        <w:t>309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_Toc125869146 \h </w:instrText>
      </w:r>
      <w:r>
        <w:fldChar w:fldCharType="separate"/>
      </w:r>
      <w:r>
        <w:t>310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_Toc125869148 \h </w:instrText>
      </w:r>
      <w:r>
        <w:fldChar w:fldCharType="separate"/>
      </w:r>
      <w:r>
        <w:t>311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_Toc125869149 \h </w:instrText>
      </w:r>
      <w:r>
        <w:fldChar w:fldCharType="separate"/>
      </w:r>
      <w:r>
        <w:t>312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_Toc125869150 \h </w:instrText>
      </w:r>
      <w:r>
        <w:fldChar w:fldCharType="separate"/>
      </w:r>
      <w:r>
        <w:t>313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_Toc125869152 \h </w:instrText>
      </w:r>
      <w:r>
        <w:fldChar w:fldCharType="separate"/>
      </w:r>
      <w:r>
        <w:t>313</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_Toc125869153 \h </w:instrText>
      </w:r>
      <w:r>
        <w:fldChar w:fldCharType="separate"/>
      </w:r>
      <w:r>
        <w:t>314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_Toc125869154 \h </w:instrText>
      </w:r>
      <w:r>
        <w:fldChar w:fldCharType="separate"/>
      </w:r>
      <w:r>
        <w:t>314</w:t>
      </w:r>
      <w:r>
        <w:fldChar w:fldCharType="end"/>
      </w:r>
    </w:p>
    <w:p>
      <w:pPr>
        <w:pStyle w:val="TOC8"/>
        <w:rPr>
          <w:sz w:val="24"/>
          <w:szCs w:val="24"/>
        </w:rPr>
      </w:pPr>
      <w:r>
        <w:rPr>
          <w:szCs w:val="24"/>
        </w:rPr>
        <w:t>112NC.</w:t>
      </w:r>
      <w:r>
        <w:rPr>
          <w:szCs w:val="24"/>
        </w:rPr>
        <w:tab/>
        <w:t>Records</w:t>
      </w:r>
      <w:r>
        <w:tab/>
      </w:r>
      <w:r>
        <w:fldChar w:fldCharType="begin"/>
      </w:r>
      <w:r>
        <w:instrText xml:space="preserve"> PAGEREF _Toc125869155 \h </w:instrText>
      </w:r>
      <w:r>
        <w:fldChar w:fldCharType="separate"/>
      </w:r>
      <w:r>
        <w:t>315</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_Toc125869157 \h </w:instrText>
      </w:r>
      <w:r>
        <w:fldChar w:fldCharType="separate"/>
      </w:r>
      <w:r>
        <w:t>317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_Toc125869158 \h </w:instrText>
      </w:r>
      <w:r>
        <w:fldChar w:fldCharType="separate"/>
      </w:r>
      <w:r>
        <w:t>317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_Toc125869159 \h </w:instrText>
      </w:r>
      <w:r>
        <w:fldChar w:fldCharType="separate"/>
      </w:r>
      <w:r>
        <w:t>318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_Toc125869161 \h </w:instrText>
      </w:r>
      <w:r>
        <w:fldChar w:fldCharType="separate"/>
      </w:r>
      <w:r>
        <w:t>319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_Toc125869162 \h </w:instrText>
      </w:r>
      <w:r>
        <w:fldChar w:fldCharType="separate"/>
      </w:r>
      <w:r>
        <w:t>320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_Toc125869163 \h </w:instrText>
      </w:r>
      <w:r>
        <w:fldChar w:fldCharType="separate"/>
      </w:r>
      <w:r>
        <w:t>321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_Toc125869164 \h </w:instrText>
      </w:r>
      <w:r>
        <w:fldChar w:fldCharType="separate"/>
      </w:r>
      <w:r>
        <w:t>322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_Toc125869166 \h </w:instrText>
      </w:r>
      <w:r>
        <w:fldChar w:fldCharType="separate"/>
      </w:r>
      <w:r>
        <w:t>323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_Toc125869168 \h </w:instrText>
      </w:r>
      <w:r>
        <w:fldChar w:fldCharType="separate"/>
      </w:r>
      <w:r>
        <w:t>325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_Toc125869169 \h </w:instrText>
      </w:r>
      <w:r>
        <w:fldChar w:fldCharType="separate"/>
      </w:r>
      <w:r>
        <w:t>325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_Toc125869170 \h </w:instrText>
      </w:r>
      <w:r>
        <w:fldChar w:fldCharType="separate"/>
      </w:r>
      <w:r>
        <w:t>326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_Toc125869171 \h </w:instrText>
      </w:r>
      <w:r>
        <w:fldChar w:fldCharType="separate"/>
      </w:r>
      <w:r>
        <w:t>327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_Toc125869172 \h </w:instrText>
      </w:r>
      <w:r>
        <w:fldChar w:fldCharType="separate"/>
      </w:r>
      <w:r>
        <w:t>328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7"/>
        <w:tabs>
          <w:tab w:val="right" w:leader="dot" w:pos="7086"/>
        </w:tabs>
        <w:rPr>
          <w:rFonts w:ascii="Times New Roman" w:hAnsi="Times New Roman"/>
          <w:b w:val="0"/>
          <w:noProof/>
          <w:sz w:val="24"/>
          <w:szCs w:val="24"/>
        </w:rPr>
      </w:pPr>
      <w:r>
        <w:rPr>
          <w:b w:val="0"/>
          <w:noProof/>
          <w:szCs w:val="22"/>
        </w:rPr>
        <w:t>2.5% of the market value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_Toc125869179 \h </w:instrText>
      </w:r>
      <w:r>
        <w:fldChar w:fldCharType="separate"/>
      </w:r>
      <w:r>
        <w:t>346</w:t>
      </w:r>
      <w:r>
        <w:fldChar w:fldCharType="end"/>
      </w:r>
    </w:p>
    <w:p>
      <w:pPr>
        <w:pStyle w:val="TOC8"/>
        <w:rPr>
          <w:sz w:val="24"/>
        </w:rPr>
      </w:pPr>
      <w:r>
        <w:rPr>
          <w:snapToGrid w:val="0"/>
        </w:rPr>
        <w:tab/>
        <w:t>Provisions that have not come into operation</w:t>
      </w:r>
      <w:r>
        <w:tab/>
      </w:r>
      <w:r>
        <w:fldChar w:fldCharType="begin"/>
      </w:r>
      <w:r>
        <w:instrText xml:space="preserve"> PAGEREF _Toc125869180 \h </w:instrText>
      </w:r>
      <w:r>
        <w:fldChar w:fldCharType="separate"/>
      </w:r>
      <w:r>
        <w:t>358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_Toc170192392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Interpretation</w:instrText>
      </w:r>
      <w:r>
        <w:tab/>
      </w:r>
      <w:r>
        <w:fldChar w:fldCharType="begin"/>
      </w:r>
      <w:r>
        <w:instrText xml:space="preserve"> PAGEREF _Toc170192393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_Toc170192394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_Toc170192396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_Toc170192397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_Toc170192398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_Toc170192399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_Toc170192400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_Toc170192401 \h </w:instrText>
      </w:r>
      <w:r>
        <w:fldChar w:fldCharType="separate"/>
      </w:r>
      <w:r>
        <w:instrText>12</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_Toc170192402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_Toc170192403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_Toc170192404 \h </w:instrText>
      </w:r>
      <w:r>
        <w:fldChar w:fldCharType="separate"/>
      </w:r>
      <w:r>
        <w:instrText>13</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_Toc170192406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_Toc170192407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_Toc170192408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_Toc170192409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_Toc170192410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_Toc170192411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_Toc170192412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_Toc170192413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_Toc170192414 \h </w:instrText>
      </w:r>
      <w:r>
        <w:fldChar w:fldCharType="separate"/>
      </w:r>
      <w:r>
        <w:instrText>20</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_Toc170192415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_Toc170192416 \h </w:instrText>
      </w:r>
      <w:r>
        <w:fldChar w:fldCharType="separate"/>
      </w:r>
      <w:r>
        <w:instrText>23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_Toc170192417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_Toc170192418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_Toc170192419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_Toc170192420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_Toc170192421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_Toc170192422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_Toc170192423 \h </w:instrText>
      </w:r>
      <w:r>
        <w:fldChar w:fldCharType="separate"/>
      </w:r>
      <w:r>
        <w:instrText>35</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_Toc170192424 \h </w:instrText>
      </w:r>
      <w:r>
        <w:fldChar w:fldCharType="separate"/>
      </w:r>
      <w:r>
        <w:instrText>36</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_Toc170192425 \h </w:instrText>
      </w:r>
      <w:r>
        <w:fldChar w:fldCharType="separate"/>
      </w:r>
      <w:r>
        <w:instrText>38</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_Toc170192426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_Toc170192427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_Toc170192428 \h </w:instrText>
      </w:r>
      <w:r>
        <w:fldChar w:fldCharType="separate"/>
      </w:r>
      <w:r>
        <w:instrText>40</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_Toc170192429 \h </w:instrText>
      </w:r>
      <w:r>
        <w:fldChar w:fldCharType="separate"/>
      </w:r>
      <w:r>
        <w:instrText>40</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_Toc170192430 \h </w:instrText>
      </w:r>
      <w:r>
        <w:fldChar w:fldCharType="separate"/>
      </w:r>
      <w:r>
        <w:instrText>41</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Interpretation in Part IIIB</w:instrText>
      </w:r>
      <w:r>
        <w:tab/>
      </w:r>
      <w:r>
        <w:fldChar w:fldCharType="begin"/>
      </w:r>
      <w:r>
        <w:instrText xml:space="preserve"> PAGEREF _Toc170192432 \h </w:instrText>
      </w:r>
      <w:r>
        <w:fldChar w:fldCharType="separate"/>
      </w:r>
      <w:r>
        <w:instrText>43</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_Toc170192433 \h </w:instrText>
      </w:r>
      <w:r>
        <w:fldChar w:fldCharType="separate"/>
      </w:r>
      <w:r>
        <w:instrText>48</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_Toc170192434 \h </w:instrText>
      </w:r>
      <w:r>
        <w:fldChar w:fldCharType="separate"/>
      </w:r>
      <w:r>
        <w:instrText>50</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_Toc170192435 \h </w:instrText>
      </w:r>
      <w:r>
        <w:fldChar w:fldCharType="separate"/>
      </w:r>
      <w:r>
        <w:instrText>55</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_Toc170192436 \h </w:instrText>
      </w:r>
      <w:r>
        <w:fldChar w:fldCharType="separate"/>
      </w:r>
      <w:r>
        <w:instrText>56</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_Toc170192437 \h </w:instrText>
      </w:r>
      <w:r>
        <w:fldChar w:fldCharType="separate"/>
      </w:r>
      <w:r>
        <w:instrText>59</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_Toc170192438 \h </w:instrText>
      </w:r>
      <w:r>
        <w:fldChar w:fldCharType="separate"/>
      </w:r>
      <w:r>
        <w:instrText>60</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_Toc170192439 \h </w:instrText>
      </w:r>
      <w:r>
        <w:fldChar w:fldCharType="separate"/>
      </w:r>
      <w:r>
        <w:instrText>62</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_Toc170192440 \h </w:instrText>
      </w:r>
      <w:r>
        <w:fldChar w:fldCharType="separate"/>
      </w:r>
      <w:r>
        <w:instrText>63</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_Toc170192441 \h </w:instrText>
      </w:r>
      <w:r>
        <w:fldChar w:fldCharType="separate"/>
      </w:r>
      <w:r>
        <w:instrText>64</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_Toc170192442 \h </w:instrText>
      </w:r>
      <w:r>
        <w:fldChar w:fldCharType="separate"/>
      </w:r>
      <w:r>
        <w:instrText>66</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_Toc170192443 \h </w:instrText>
      </w:r>
      <w:r>
        <w:fldChar w:fldCharType="separate"/>
      </w:r>
      <w:r>
        <w:instrText>66</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_Toc170192444 \h </w:instrText>
      </w:r>
      <w:r>
        <w:fldChar w:fldCharType="separate"/>
      </w:r>
      <w:r>
        <w:instrText>67</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_Toc170192445 \h </w:instrText>
      </w:r>
      <w:r>
        <w:fldChar w:fldCharType="separate"/>
      </w:r>
      <w:r>
        <w:instrText>68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_Toc170192446 \h </w:instrText>
      </w:r>
      <w:r>
        <w:fldChar w:fldCharType="separate"/>
      </w:r>
      <w:r>
        <w:instrText>68</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_Toc170192447 \h </w:instrText>
      </w:r>
      <w:r>
        <w:fldChar w:fldCharType="separate"/>
      </w:r>
      <w:r>
        <w:instrText>69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_Toc170192448 \h </w:instrText>
      </w:r>
      <w:r>
        <w:fldChar w:fldCharType="separate"/>
      </w:r>
      <w:r>
        <w:instrText>69</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_Toc170192449 \h </w:instrText>
      </w:r>
      <w:r>
        <w:fldChar w:fldCharType="separate"/>
      </w:r>
      <w:r>
        <w:instrText>70</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_Toc170192450 \h </w:instrText>
      </w:r>
      <w:r>
        <w:fldChar w:fldCharType="separate"/>
      </w:r>
      <w:r>
        <w:instrText>70</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_Toc170192451 \h </w:instrText>
      </w:r>
      <w:r>
        <w:fldChar w:fldCharType="separate"/>
      </w:r>
      <w:r>
        <w:instrText>71</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_Toc170192452 \h </w:instrText>
      </w:r>
      <w:r>
        <w:fldChar w:fldCharType="separate"/>
      </w:r>
      <w:r>
        <w:instrText>73</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_Toc170192453 \h </w:instrText>
      </w:r>
      <w:r>
        <w:fldChar w:fldCharType="separate"/>
      </w:r>
      <w:r>
        <w:instrText>74</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_Toc170192454 \h </w:instrText>
      </w:r>
      <w:r>
        <w:fldChar w:fldCharType="separate"/>
      </w:r>
      <w:r>
        <w:instrText>74</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_Toc170192455 \h </w:instrText>
      </w:r>
      <w:r>
        <w:fldChar w:fldCharType="separate"/>
      </w:r>
      <w:r>
        <w:instrText>75</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_Toc170192456 \h </w:instrText>
      </w:r>
      <w:r>
        <w:fldChar w:fldCharType="separate"/>
      </w:r>
      <w:r>
        <w:instrText>77</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_Toc170192457 \h </w:instrText>
      </w:r>
      <w:r>
        <w:fldChar w:fldCharType="separate"/>
      </w:r>
      <w:r>
        <w:instrText>79</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_Toc170192458 \h </w:instrText>
      </w:r>
      <w:r>
        <w:fldChar w:fldCharType="separate"/>
      </w:r>
      <w:r>
        <w:instrText>80</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_Toc170192459 \h </w:instrText>
      </w:r>
      <w:r>
        <w:fldChar w:fldCharType="separate"/>
      </w:r>
      <w:r>
        <w:instrText>81</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_Toc170192460 \h </w:instrText>
      </w:r>
      <w:r>
        <w:fldChar w:fldCharType="separate"/>
      </w:r>
      <w:r>
        <w:instrText>82</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_Toc170192461 \h </w:instrText>
      </w:r>
      <w:r>
        <w:fldChar w:fldCharType="separate"/>
      </w:r>
      <w:r>
        <w:instrText>86</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_Toc170192462 \h </w:instrText>
      </w:r>
      <w:r>
        <w:fldChar w:fldCharType="separate"/>
      </w:r>
      <w:r>
        <w:instrText>88</w:instrText>
      </w:r>
      <w:r>
        <w:fldChar w:fldCharType="end"/>
      </w:r>
    </w:p>
    <w:p>
      <w:pPr>
        <w:pStyle w:val="TOC8"/>
        <w:rPr>
          <w:sz w:val="24"/>
          <w:szCs w:val="24"/>
        </w:rPr>
      </w:pPr>
      <w:r>
        <w:rPr>
          <w:szCs w:val="24"/>
        </w:rPr>
        <w:instrText>73DB.</w:instrText>
      </w:r>
      <w:r>
        <w:rPr>
          <w:szCs w:val="24"/>
        </w:rPr>
        <w:tab/>
        <w:instrText>Interpretation for sections 73DC, 73DD and 73DE</w:instrText>
      </w:r>
      <w:r>
        <w:tab/>
      </w:r>
      <w:r>
        <w:fldChar w:fldCharType="begin"/>
      </w:r>
      <w:r>
        <w:instrText xml:space="preserve"> PAGEREF _Toc170192463 \h </w:instrText>
      </w:r>
      <w:r>
        <w:fldChar w:fldCharType="separate"/>
      </w:r>
      <w:r>
        <w:instrText>89</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_Toc170192464 \h </w:instrText>
      </w:r>
      <w:r>
        <w:fldChar w:fldCharType="separate"/>
      </w:r>
      <w:r>
        <w:instrText>89</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_Toc170192465 \h </w:instrText>
      </w:r>
      <w:r>
        <w:fldChar w:fldCharType="separate"/>
      </w:r>
      <w:r>
        <w:instrText>91</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_Toc170192466 \h </w:instrText>
      </w:r>
      <w:r>
        <w:fldChar w:fldCharType="separate"/>
      </w:r>
      <w:r>
        <w:instrText>94</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_Toc170192467 \h </w:instrText>
      </w:r>
      <w:r>
        <w:fldChar w:fldCharType="separate"/>
      </w:r>
      <w:r>
        <w:instrText>94</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_Toc170192468 \h </w:instrText>
      </w:r>
      <w:r>
        <w:fldChar w:fldCharType="separate"/>
      </w:r>
      <w:r>
        <w:instrText>97</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_Toc170192469 \h </w:instrText>
      </w:r>
      <w:r>
        <w:fldChar w:fldCharType="separate"/>
      </w:r>
      <w:r>
        <w:instrText>98</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_Toc170192470 \h </w:instrText>
      </w:r>
      <w:r>
        <w:fldChar w:fldCharType="separate"/>
      </w:r>
      <w:r>
        <w:instrText>100</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_Toc170192471 \h </w:instrText>
      </w:r>
      <w:r>
        <w:fldChar w:fldCharType="separate"/>
      </w:r>
      <w:r>
        <w:instrText>105</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_Toc170192472 \h </w:instrText>
      </w:r>
      <w:r>
        <w:fldChar w:fldCharType="separate"/>
      </w:r>
      <w:r>
        <w:instrText>108</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_Toc170192473 \h </w:instrText>
      </w:r>
      <w:r>
        <w:fldChar w:fldCharType="separate"/>
      </w:r>
      <w:r>
        <w:instrText>114</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_Toc170192474 \h </w:instrText>
      </w:r>
      <w:r>
        <w:fldChar w:fldCharType="separate"/>
      </w:r>
      <w:r>
        <w:instrText>119</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_Toc170192475 \h </w:instrText>
      </w:r>
      <w:r>
        <w:fldChar w:fldCharType="separate"/>
      </w:r>
      <w:r>
        <w:instrText>121</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_Toc170192476 \h </w:instrText>
      </w:r>
      <w:r>
        <w:fldChar w:fldCharType="separate"/>
      </w:r>
      <w:r>
        <w:instrText>121</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_Toc170192477 \h </w:instrText>
      </w:r>
      <w:r>
        <w:fldChar w:fldCharType="separate"/>
      </w:r>
      <w:r>
        <w:instrText>122</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_Toc170192478 \h </w:instrText>
      </w:r>
      <w:r>
        <w:fldChar w:fldCharType="separate"/>
      </w:r>
      <w:r>
        <w:instrText>123</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_Toc170192479 \h </w:instrText>
      </w:r>
      <w:r>
        <w:fldChar w:fldCharType="separate"/>
      </w:r>
      <w:r>
        <w:instrText>123</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_Toc170192480 \h </w:instrText>
      </w:r>
      <w:r>
        <w:fldChar w:fldCharType="separate"/>
      </w:r>
      <w:r>
        <w:instrText>123</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_Toc170192481 \h </w:instrText>
      </w:r>
      <w:r>
        <w:fldChar w:fldCharType="separate"/>
      </w:r>
      <w:r>
        <w:instrText>125</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_Toc170192482 \h </w:instrText>
      </w:r>
      <w:r>
        <w:fldChar w:fldCharType="separate"/>
      </w:r>
      <w:r>
        <w:instrText>126</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_Toc170192483 \h </w:instrText>
      </w:r>
      <w:r>
        <w:fldChar w:fldCharType="separate"/>
      </w:r>
      <w:r>
        <w:instrText>129</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_Toc170192484 \h </w:instrText>
      </w:r>
      <w:r>
        <w:fldChar w:fldCharType="separate"/>
      </w:r>
      <w:r>
        <w:instrText>131</w:instrText>
      </w:r>
      <w:r>
        <w:fldChar w:fldCharType="end"/>
      </w:r>
    </w:p>
    <w:p>
      <w:pPr>
        <w:pStyle w:val="TOC2"/>
        <w:tabs>
          <w:tab w:val="right" w:pos="7086"/>
        </w:tabs>
        <w:rPr>
          <w:b w:val="0"/>
          <w:sz w:val="24"/>
          <w:szCs w:val="24"/>
        </w:rPr>
      </w:pPr>
      <w:r>
        <w:rPr>
          <w:szCs w:val="30"/>
        </w:rPr>
        <w:instrText>Part IIIBAA — Certain transfers of farming property </w:instrText>
      </w:r>
      <w:r>
        <w:rPr>
          <w:b w:val="0"/>
          <w:szCs w:val="30"/>
          <w:vertAlign w:val="superscript"/>
        </w:rPr>
        <w:instrText>5</w:instrText>
      </w:r>
    </w:p>
    <w:p>
      <w:pPr>
        <w:pStyle w:val="TOC8"/>
        <w:rPr>
          <w:sz w:val="24"/>
          <w:szCs w:val="24"/>
        </w:rPr>
      </w:pPr>
      <w:r>
        <w:rPr>
          <w:szCs w:val="24"/>
        </w:rPr>
        <w:instrText>75D</w:instrText>
      </w:r>
      <w:r>
        <w:rPr>
          <w:snapToGrid w:val="0"/>
          <w:szCs w:val="24"/>
        </w:rPr>
        <w:instrText>.</w:instrText>
      </w:r>
      <w:r>
        <w:rPr>
          <w:snapToGrid w:val="0"/>
          <w:szCs w:val="24"/>
        </w:rPr>
        <w:tab/>
        <w:instrText>Interpretation in Part IIIBAA</w:instrText>
      </w:r>
      <w:r>
        <w:tab/>
      </w:r>
      <w:r>
        <w:fldChar w:fldCharType="begin"/>
      </w:r>
      <w:r>
        <w:instrText xml:space="preserve"> PAGEREF _Toc170192486 \h </w:instrText>
      </w:r>
      <w:r>
        <w:fldChar w:fldCharType="separate"/>
      </w:r>
      <w:r>
        <w:instrText>132</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_Toc170192487 \h </w:instrText>
      </w:r>
      <w:r>
        <w:fldChar w:fldCharType="separate"/>
      </w:r>
      <w:r>
        <w:instrText>135</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_Toc170192488 \h </w:instrText>
      </w:r>
      <w:r>
        <w:fldChar w:fldCharType="separate"/>
      </w:r>
      <w:r>
        <w:instrText>138</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_Toc170192489 \h </w:instrText>
      </w:r>
      <w:r>
        <w:fldChar w:fldCharType="separate"/>
      </w:r>
      <w:r>
        <w:instrText>138</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_Toc170192490 \h </w:instrText>
      </w:r>
      <w:r>
        <w:fldChar w:fldCharType="separate"/>
      </w:r>
      <w:r>
        <w:instrText>139</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_Toc170192491 \h </w:instrText>
      </w:r>
      <w:r>
        <w:fldChar w:fldCharType="separate"/>
      </w:r>
      <w:r>
        <w:instrText>140</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_Toc170192492 \h </w:instrText>
      </w:r>
      <w:r>
        <w:fldChar w:fldCharType="separate"/>
      </w:r>
      <w:r>
        <w:instrText>143</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Interpretation in Part IIIBAAA</w:instrText>
      </w:r>
      <w:r>
        <w:tab/>
      </w:r>
      <w:r>
        <w:fldChar w:fldCharType="begin"/>
      </w:r>
      <w:r>
        <w:instrText xml:space="preserve"> PAGEREF _Toc170192494 \h </w:instrText>
      </w:r>
      <w:r>
        <w:fldChar w:fldCharType="separate"/>
      </w:r>
      <w:r>
        <w:instrText>145</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_Toc170192495 \h </w:instrText>
      </w:r>
      <w:r>
        <w:fldChar w:fldCharType="separate"/>
      </w:r>
      <w:r>
        <w:instrText>146</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_Toc170192496 \h </w:instrText>
      </w:r>
      <w:r>
        <w:fldChar w:fldCharType="separate"/>
      </w:r>
      <w:r>
        <w:instrText>148</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_Toc170192497 \h </w:instrText>
      </w:r>
      <w:r>
        <w:fldChar w:fldCharType="separate"/>
      </w:r>
      <w:r>
        <w:instrText>150</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_Toc170192498 \h </w:instrText>
      </w:r>
      <w:r>
        <w:fldChar w:fldCharType="separate"/>
      </w:r>
      <w:r>
        <w:instrText>159</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_Toc170192499 \h </w:instrText>
      </w:r>
      <w:r>
        <w:fldChar w:fldCharType="separate"/>
      </w:r>
      <w:r>
        <w:instrText>159</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_Toc170192500 \h </w:instrText>
      </w:r>
      <w:r>
        <w:fldChar w:fldCharType="separate"/>
      </w:r>
      <w:r>
        <w:instrText>161</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_Toc170192501 \h </w:instrText>
      </w:r>
      <w:r>
        <w:fldChar w:fldCharType="separate"/>
      </w:r>
      <w:r>
        <w:instrText>162</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_Toc170192502 \h </w:instrText>
      </w:r>
      <w:r>
        <w:fldChar w:fldCharType="separate"/>
      </w:r>
      <w:r>
        <w:instrText>163</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_Toc170192503 \h </w:instrText>
      </w:r>
      <w:r>
        <w:fldChar w:fldCharType="separate"/>
      </w:r>
      <w:r>
        <w:instrText>166</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_Toc170192504 \h </w:instrText>
      </w:r>
      <w:r>
        <w:fldChar w:fldCharType="separate"/>
      </w:r>
      <w:r>
        <w:instrText>167</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Interpretation in Part IIIBA</w:instrText>
      </w:r>
      <w:r>
        <w:tab/>
      </w:r>
      <w:r>
        <w:fldChar w:fldCharType="begin"/>
      </w:r>
      <w:r>
        <w:instrText xml:space="preserve"> PAGEREF _Toc170192507 \h </w:instrText>
      </w:r>
      <w:r>
        <w:fldChar w:fldCharType="separate"/>
      </w:r>
      <w:r>
        <w:instrText>169</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_Toc170192508 \h </w:instrText>
      </w:r>
      <w:r>
        <w:fldChar w:fldCharType="separate"/>
      </w:r>
      <w:r>
        <w:instrText>177</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_Toc170192509 \h </w:instrText>
      </w:r>
      <w:r>
        <w:fldChar w:fldCharType="separate"/>
      </w:r>
      <w:r>
        <w:instrText>178</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_Toc170192510 \h </w:instrText>
      </w:r>
      <w:r>
        <w:fldChar w:fldCharType="separate"/>
      </w:r>
      <w:r>
        <w:instrText>178</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_Toc170192512 \h </w:instrText>
      </w:r>
      <w:r>
        <w:fldChar w:fldCharType="separate"/>
      </w:r>
      <w:r>
        <w:instrText>180</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_Toc170192513 \h </w:instrText>
      </w:r>
      <w:r>
        <w:fldChar w:fldCharType="separate"/>
      </w:r>
      <w:r>
        <w:instrText>183</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_Toc170192514 \h </w:instrText>
      </w:r>
      <w:r>
        <w:fldChar w:fldCharType="separate"/>
      </w:r>
      <w:r>
        <w:instrText>185</w:instrText>
      </w:r>
      <w:r>
        <w:fldChar w:fldCharType="end"/>
      </w:r>
    </w:p>
    <w:p>
      <w:pPr>
        <w:pStyle w:val="TOC8"/>
        <w:rPr>
          <w:sz w:val="24"/>
          <w:szCs w:val="24"/>
        </w:rPr>
      </w:pPr>
      <w:r>
        <w:rPr>
          <w:szCs w:val="24"/>
        </w:rPr>
        <w:instrText>76AJ.</w:instrText>
      </w:r>
      <w:r>
        <w:rPr>
          <w:szCs w:val="24"/>
        </w:rPr>
        <w:tab/>
        <w:instrText>Meaning of “relevant acquisition”</w:instrText>
      </w:r>
      <w:r>
        <w:tab/>
      </w:r>
      <w:r>
        <w:fldChar w:fldCharType="begin"/>
      </w:r>
      <w:r>
        <w:instrText xml:space="preserve"> PAGEREF _Toc170192515 \h </w:instrText>
      </w:r>
      <w:r>
        <w:fldChar w:fldCharType="separate"/>
      </w:r>
      <w:r>
        <w:instrText>190</w:instrText>
      </w:r>
      <w:r>
        <w:fldChar w:fldCharType="end"/>
      </w:r>
    </w:p>
    <w:p>
      <w:pPr>
        <w:pStyle w:val="TOC8"/>
        <w:rPr>
          <w:sz w:val="24"/>
          <w:szCs w:val="24"/>
        </w:rPr>
      </w:pPr>
      <w:r>
        <w:rPr>
          <w:szCs w:val="24"/>
        </w:rPr>
        <w:instrText>76AK.</w:instrText>
      </w:r>
      <w:r>
        <w:rPr>
          <w:szCs w:val="24"/>
        </w:rPr>
        <w:tab/>
        <w:instrText>Meaning of “interest”, “majority interest” or “further interest”</w:instrText>
      </w:r>
      <w:r>
        <w:tab/>
      </w:r>
      <w:r>
        <w:fldChar w:fldCharType="begin"/>
      </w:r>
      <w:r>
        <w:instrText xml:space="preserve"> PAGEREF _Toc170192516 \h </w:instrText>
      </w:r>
      <w:r>
        <w:fldChar w:fldCharType="separate"/>
      </w:r>
      <w:r>
        <w:instrText>192</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_Toc170192517 \h </w:instrText>
      </w:r>
      <w:r>
        <w:fldChar w:fldCharType="separate"/>
      </w:r>
      <w:r>
        <w:instrText>193</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_Toc170192518 \h </w:instrText>
      </w:r>
      <w:r>
        <w:fldChar w:fldCharType="separate"/>
      </w:r>
      <w:r>
        <w:instrText>196</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_Toc170192520 \h </w:instrText>
      </w:r>
      <w:r>
        <w:fldChar w:fldCharType="separate"/>
      </w:r>
      <w:r>
        <w:instrText>196</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_Toc170192521 \h </w:instrText>
      </w:r>
      <w:r>
        <w:fldChar w:fldCharType="separate"/>
      </w:r>
      <w:r>
        <w:instrText>199</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_Toc170192522 \h </w:instrText>
      </w:r>
      <w:r>
        <w:fldChar w:fldCharType="separate"/>
      </w:r>
      <w:r>
        <w:instrText>201</w:instrText>
      </w:r>
      <w:r>
        <w:fldChar w:fldCharType="end"/>
      </w:r>
    </w:p>
    <w:p>
      <w:pPr>
        <w:pStyle w:val="TOC8"/>
        <w:rPr>
          <w:sz w:val="24"/>
          <w:szCs w:val="24"/>
        </w:rPr>
      </w:pPr>
      <w:r>
        <w:rPr>
          <w:szCs w:val="24"/>
        </w:rPr>
        <w:instrText>76AQ.</w:instrText>
      </w:r>
      <w:r>
        <w:rPr>
          <w:szCs w:val="24"/>
        </w:rPr>
        <w:tab/>
        <w:instrText>Meaning of “relevant acquisition”</w:instrText>
      </w:r>
      <w:r>
        <w:tab/>
      </w:r>
      <w:r>
        <w:fldChar w:fldCharType="begin"/>
      </w:r>
      <w:r>
        <w:instrText xml:space="preserve"> PAGEREF _Toc170192523 \h </w:instrText>
      </w:r>
      <w:r>
        <w:fldChar w:fldCharType="separate"/>
      </w:r>
      <w:r>
        <w:instrText>207</w:instrText>
      </w:r>
      <w:r>
        <w:fldChar w:fldCharType="end"/>
      </w:r>
    </w:p>
    <w:p>
      <w:pPr>
        <w:pStyle w:val="TOC8"/>
        <w:rPr>
          <w:sz w:val="24"/>
          <w:szCs w:val="24"/>
        </w:rPr>
      </w:pPr>
      <w:r>
        <w:rPr>
          <w:szCs w:val="24"/>
        </w:rPr>
        <w:instrText>76AR.</w:instrText>
      </w:r>
      <w:r>
        <w:rPr>
          <w:szCs w:val="24"/>
        </w:rPr>
        <w:tab/>
        <w:instrText>Meaning of “interest”, “majority interest” or “further interest”</w:instrText>
      </w:r>
      <w:r>
        <w:tab/>
      </w:r>
      <w:r>
        <w:fldChar w:fldCharType="begin"/>
      </w:r>
      <w:r>
        <w:instrText xml:space="preserve"> PAGEREF _Toc170192524 \h </w:instrText>
      </w:r>
      <w:r>
        <w:fldChar w:fldCharType="separate"/>
      </w:r>
      <w:r>
        <w:instrText>209</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_Toc170192525 \h </w:instrText>
      </w:r>
      <w:r>
        <w:fldChar w:fldCharType="separate"/>
      </w:r>
      <w:r>
        <w:instrText>212</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_Toc170192527 \h </w:instrText>
      </w:r>
      <w:r>
        <w:fldChar w:fldCharType="separate"/>
      </w:r>
      <w:r>
        <w:instrText>214</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_Toc170192528 \h </w:instrText>
      </w:r>
      <w:r>
        <w:fldChar w:fldCharType="separate"/>
      </w:r>
      <w:r>
        <w:instrText>219</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_Toc170192529 \h </w:instrText>
      </w:r>
      <w:r>
        <w:fldChar w:fldCharType="separate"/>
      </w:r>
      <w:r>
        <w:instrText>221</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_Toc170192530 \h </w:instrText>
      </w:r>
      <w:r>
        <w:fldChar w:fldCharType="separate"/>
      </w:r>
      <w:r>
        <w:instrText>226</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_Toc170192531 \h </w:instrText>
      </w:r>
      <w:r>
        <w:fldChar w:fldCharType="separate"/>
      </w:r>
      <w:r>
        <w:instrText>227</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_Toc170192532 \h </w:instrText>
      </w:r>
      <w:r>
        <w:fldChar w:fldCharType="separate"/>
      </w:r>
      <w:r>
        <w:instrText>228</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_Toc170192533 \h </w:instrText>
      </w:r>
      <w:r>
        <w:fldChar w:fldCharType="separate"/>
      </w:r>
      <w:r>
        <w:instrText>231</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_Toc170192535 \h </w:instrText>
      </w:r>
      <w:r>
        <w:fldChar w:fldCharType="separate"/>
      </w:r>
      <w:r>
        <w:instrText>232</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_Toc170192536 \h </w:instrText>
      </w:r>
      <w:r>
        <w:fldChar w:fldCharType="separate"/>
      </w:r>
      <w:r>
        <w:instrText>236</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_Toc170192537 \h </w:instrText>
      </w:r>
      <w:r>
        <w:fldChar w:fldCharType="separate"/>
      </w:r>
      <w:r>
        <w:instrText>239</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_Toc170192538 \h </w:instrText>
      </w:r>
      <w:r>
        <w:fldChar w:fldCharType="separate"/>
      </w:r>
      <w:r>
        <w:instrText>245</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_Toc170192539 \h </w:instrText>
      </w:r>
      <w:r>
        <w:fldChar w:fldCharType="separate"/>
      </w:r>
      <w:r>
        <w:instrText>245</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_Toc170192540 \h </w:instrText>
      </w:r>
      <w:r>
        <w:fldChar w:fldCharType="separate"/>
      </w:r>
      <w:r>
        <w:instrText>248</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_Toc170192542 \h </w:instrText>
      </w:r>
      <w:r>
        <w:fldChar w:fldCharType="separate"/>
      </w:r>
      <w:r>
        <w:instrText>251</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_Toc170192544 \h </w:instrText>
      </w:r>
      <w:r>
        <w:fldChar w:fldCharType="separate"/>
      </w:r>
      <w:r>
        <w:instrText>252</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_Toc170192545 \h </w:instrText>
      </w:r>
      <w:r>
        <w:fldChar w:fldCharType="separate"/>
      </w:r>
      <w:r>
        <w:instrText>254</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_Toc170192546 \h </w:instrText>
      </w:r>
      <w:r>
        <w:fldChar w:fldCharType="separate"/>
      </w:r>
      <w:r>
        <w:instrText>254</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Interpretation in Part IIIC</w:instrText>
      </w:r>
      <w:r>
        <w:tab/>
      </w:r>
      <w:r>
        <w:fldChar w:fldCharType="begin"/>
      </w:r>
      <w:r>
        <w:instrText xml:space="preserve"> PAGEREF _Toc170192548 \h </w:instrText>
      </w:r>
      <w:r>
        <w:fldChar w:fldCharType="separate"/>
      </w:r>
      <w:r>
        <w:instrText>255</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_Toc170192549 \h </w:instrText>
      </w:r>
      <w:r>
        <w:fldChar w:fldCharType="separate"/>
      </w:r>
      <w:r>
        <w:instrText>258</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_Toc170192550 \h </w:instrText>
      </w:r>
      <w:r>
        <w:fldChar w:fldCharType="separate"/>
      </w:r>
      <w:r>
        <w:instrText>261</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_Toc170192551 \h </w:instrText>
      </w:r>
      <w:r>
        <w:fldChar w:fldCharType="separate"/>
      </w:r>
      <w:r>
        <w:instrText>264</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_Toc170192552 \h </w:instrText>
      </w:r>
      <w:r>
        <w:fldChar w:fldCharType="separate"/>
      </w:r>
      <w:r>
        <w:instrText>264</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_Toc170192553 \h </w:instrText>
      </w:r>
      <w:r>
        <w:fldChar w:fldCharType="separate"/>
      </w:r>
      <w:r>
        <w:instrText>265</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_Toc170192554 \h </w:instrText>
      </w:r>
      <w:r>
        <w:fldChar w:fldCharType="separate"/>
      </w:r>
      <w:r>
        <w:instrText>265</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_Toc170192555 \h </w:instrText>
      </w:r>
      <w:r>
        <w:fldChar w:fldCharType="separate"/>
      </w:r>
      <w:r>
        <w:instrText>266</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_Toc170192556 \h </w:instrText>
      </w:r>
      <w:r>
        <w:fldChar w:fldCharType="separate"/>
      </w:r>
      <w:r>
        <w:instrText>267</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_Toc170192557 \h </w:instrText>
      </w:r>
      <w:r>
        <w:fldChar w:fldCharType="separate"/>
      </w:r>
      <w:r>
        <w:instrText>268</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_Toc170192558 \h </w:instrText>
      </w:r>
      <w:r>
        <w:fldChar w:fldCharType="separate"/>
      </w:r>
      <w:r>
        <w:instrText>268</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_Toc170192559 \h </w:instrText>
      </w:r>
      <w:r>
        <w:fldChar w:fldCharType="separate"/>
      </w:r>
      <w:r>
        <w:instrText>269</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_Toc170192560 \h </w:instrText>
      </w:r>
      <w:r>
        <w:fldChar w:fldCharType="separate"/>
      </w:r>
      <w:r>
        <w:instrText>269</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_Toc170192562 \h </w:instrText>
      </w:r>
      <w:r>
        <w:fldChar w:fldCharType="separate"/>
      </w:r>
      <w:r>
        <w:instrText>270</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_Toc170192563 \h </w:instrText>
      </w:r>
      <w:r>
        <w:fldChar w:fldCharType="separate"/>
      </w:r>
      <w:r>
        <w:instrText>270</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_Toc170192564 \h </w:instrText>
      </w:r>
      <w:r>
        <w:fldChar w:fldCharType="separate"/>
      </w:r>
      <w:r>
        <w:instrText>272</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_Toc170192565 \h </w:instrText>
      </w:r>
      <w:r>
        <w:fldChar w:fldCharType="separate"/>
      </w:r>
      <w:r>
        <w:instrText>273</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_Toc170192566 \h </w:instrText>
      </w:r>
      <w:r>
        <w:fldChar w:fldCharType="separate"/>
      </w:r>
      <w:r>
        <w:instrText>274</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Definitions</w:instrText>
      </w:r>
      <w:r>
        <w:tab/>
      </w:r>
      <w:r>
        <w:fldChar w:fldCharType="begin"/>
      </w:r>
      <w:r>
        <w:instrText xml:space="preserve"> PAGEREF _Toc170192569 \h </w:instrText>
      </w:r>
      <w:r>
        <w:fldChar w:fldCharType="separate"/>
      </w:r>
      <w:r>
        <w:instrText>275</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_Toc170192570 \h </w:instrText>
      </w:r>
      <w:r>
        <w:fldChar w:fldCharType="separate"/>
      </w:r>
      <w:r>
        <w:instrText>276</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_Toc170192571 \h </w:instrText>
      </w:r>
      <w:r>
        <w:fldChar w:fldCharType="separate"/>
      </w:r>
      <w:r>
        <w:instrText>277</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_Toc170192572 \h </w:instrText>
      </w:r>
      <w:r>
        <w:fldChar w:fldCharType="separate"/>
      </w:r>
      <w:r>
        <w:instrText>277</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_Toc170192573 \h </w:instrText>
      </w:r>
      <w:r>
        <w:fldChar w:fldCharType="separate"/>
      </w:r>
      <w:r>
        <w:instrText>278</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_Toc170192575 \h </w:instrText>
      </w:r>
      <w:r>
        <w:fldChar w:fldCharType="separate"/>
      </w:r>
      <w:r>
        <w:instrText>279</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_Toc170192576 \h </w:instrText>
      </w:r>
      <w:r>
        <w:fldChar w:fldCharType="separate"/>
      </w:r>
      <w:r>
        <w:instrText>279</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_Toc170192577 \h </w:instrText>
      </w:r>
      <w:r>
        <w:fldChar w:fldCharType="separate"/>
      </w:r>
      <w:r>
        <w:instrText>281</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_Toc170192578 \h </w:instrText>
      </w:r>
      <w:r>
        <w:fldChar w:fldCharType="separate"/>
      </w:r>
      <w:r>
        <w:instrText>282</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_Toc170192579 \h </w:instrText>
      </w:r>
      <w:r>
        <w:fldChar w:fldCharType="separate"/>
      </w:r>
      <w:r>
        <w:instrText>283</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_Toc170192581 \h </w:instrText>
      </w:r>
      <w:r>
        <w:fldChar w:fldCharType="separate"/>
      </w:r>
      <w:r>
        <w:instrText>284</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_Toc170192582 \h </w:instrText>
      </w:r>
      <w:r>
        <w:fldChar w:fldCharType="separate"/>
      </w:r>
      <w:r>
        <w:instrText>285</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_Toc170192583 \h </w:instrText>
      </w:r>
      <w:r>
        <w:fldChar w:fldCharType="separate"/>
      </w:r>
      <w:r>
        <w:instrText>285</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_Toc170192584 \h </w:instrText>
      </w:r>
      <w:r>
        <w:fldChar w:fldCharType="separate"/>
      </w:r>
      <w:r>
        <w:instrText>287</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_Toc170192585 \h </w:instrText>
      </w:r>
      <w:r>
        <w:fldChar w:fldCharType="separate"/>
      </w:r>
      <w:r>
        <w:instrText>287</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_Toc170192586 \h </w:instrText>
      </w:r>
      <w:r>
        <w:fldChar w:fldCharType="separate"/>
      </w:r>
      <w:r>
        <w:instrText>288</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_Toc170192587 \h </w:instrText>
      </w:r>
      <w:r>
        <w:fldChar w:fldCharType="separate"/>
      </w:r>
      <w:r>
        <w:instrText>289</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_Toc170192588 \h </w:instrText>
      </w:r>
      <w:r>
        <w:fldChar w:fldCharType="separate"/>
      </w:r>
      <w:r>
        <w:instrText>289</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_Toc170192589 \h </w:instrText>
      </w:r>
      <w:r>
        <w:fldChar w:fldCharType="separate"/>
      </w:r>
      <w:r>
        <w:instrText>289</w:instrText>
      </w:r>
      <w:r>
        <w:fldChar w:fldCharType="end"/>
      </w:r>
    </w:p>
    <w:p>
      <w:pPr>
        <w:pStyle w:val="TOC2"/>
        <w:tabs>
          <w:tab w:val="right" w:pos="7086"/>
        </w:tabs>
        <w:rPr>
          <w:b w:val="0"/>
          <w:sz w:val="24"/>
          <w:szCs w:val="24"/>
        </w:rPr>
      </w:pPr>
      <w:r>
        <w:rPr>
          <w:szCs w:val="30"/>
        </w:rPr>
        <w:instrText>Part IIIF — Policies of insurance</w:instrText>
      </w:r>
    </w:p>
    <w:p>
      <w:pPr>
        <w:pStyle w:val="TOC8"/>
        <w:rPr>
          <w:sz w:val="24"/>
          <w:szCs w:val="24"/>
        </w:rPr>
      </w:pPr>
      <w:r>
        <w:rPr>
          <w:szCs w:val="24"/>
        </w:rPr>
        <w:instrText>92</w:instrText>
      </w:r>
      <w:r>
        <w:rPr>
          <w:snapToGrid w:val="0"/>
          <w:szCs w:val="24"/>
        </w:rPr>
        <w:instrText>.</w:instrText>
      </w:r>
      <w:r>
        <w:rPr>
          <w:snapToGrid w:val="0"/>
          <w:szCs w:val="24"/>
        </w:rPr>
        <w:tab/>
        <w:instrText>Interpretation in Part IIIF</w:instrText>
      </w:r>
      <w:r>
        <w:tab/>
      </w:r>
      <w:r>
        <w:fldChar w:fldCharType="begin"/>
      </w:r>
      <w:r>
        <w:instrText xml:space="preserve"> PAGEREF _Toc170192591 \h </w:instrText>
      </w:r>
      <w:r>
        <w:fldChar w:fldCharType="separate"/>
      </w:r>
      <w:r>
        <w:instrText>291</w:instrText>
      </w:r>
      <w:r>
        <w:fldChar w:fldCharType="end"/>
      </w:r>
    </w:p>
    <w:p>
      <w:pPr>
        <w:pStyle w:val="TOC8"/>
        <w:rPr>
          <w:sz w:val="24"/>
          <w:szCs w:val="24"/>
        </w:rPr>
      </w:pPr>
      <w:r>
        <w:rPr>
          <w:szCs w:val="24"/>
        </w:rPr>
        <w:instrText>92A.</w:instrText>
      </w:r>
      <w:r>
        <w:rPr>
          <w:szCs w:val="24"/>
        </w:rPr>
        <w:tab/>
        <w:instrText>Dutiable statement required if policy issued outside Western Australia</w:instrText>
      </w:r>
      <w:r>
        <w:tab/>
      </w:r>
      <w:r>
        <w:fldChar w:fldCharType="begin"/>
      </w:r>
      <w:r>
        <w:instrText xml:space="preserve"> PAGEREF _Toc170192592 \h </w:instrText>
      </w:r>
      <w:r>
        <w:fldChar w:fldCharType="separate"/>
      </w:r>
      <w:r>
        <w:instrText>293</w:instrText>
      </w:r>
      <w:r>
        <w:fldChar w:fldCharType="end"/>
      </w:r>
    </w:p>
    <w:p>
      <w:pPr>
        <w:pStyle w:val="TOC8"/>
        <w:rPr>
          <w:sz w:val="24"/>
          <w:szCs w:val="24"/>
        </w:rPr>
      </w:pPr>
      <w:r>
        <w:rPr>
          <w:szCs w:val="24"/>
        </w:rPr>
        <w:instrText>92B</w:instrText>
      </w:r>
      <w:r>
        <w:rPr>
          <w:snapToGrid w:val="0"/>
          <w:szCs w:val="24"/>
        </w:rPr>
        <w:instrText>.</w:instrText>
      </w:r>
      <w:r>
        <w:rPr>
          <w:snapToGrid w:val="0"/>
          <w:szCs w:val="24"/>
        </w:rPr>
        <w:tab/>
        <w:instrText>Statements to be made in respect of certain insurance</w:instrText>
      </w:r>
      <w:r>
        <w:tab/>
      </w:r>
      <w:r>
        <w:fldChar w:fldCharType="begin"/>
      </w:r>
      <w:r>
        <w:instrText xml:space="preserve"> PAGEREF _Toc170192593 \h </w:instrText>
      </w:r>
      <w:r>
        <w:fldChar w:fldCharType="separate"/>
      </w:r>
      <w:r>
        <w:instrText>294</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Penalty for not making out policy</w:instrText>
      </w:r>
      <w:r>
        <w:tab/>
      </w:r>
      <w:r>
        <w:fldChar w:fldCharType="begin"/>
      </w:r>
      <w:r>
        <w:instrText xml:space="preserve"> PAGEREF _Toc170192594 \h </w:instrText>
      </w:r>
      <w:r>
        <w:fldChar w:fldCharType="separate"/>
      </w:r>
      <w:r>
        <w:instrText>295</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Policies of reinsurance to be exempt from duty</w:instrText>
      </w:r>
      <w:r>
        <w:tab/>
      </w:r>
      <w:r>
        <w:fldChar w:fldCharType="begin"/>
      </w:r>
      <w:r>
        <w:instrText xml:space="preserve"> PAGEREF _Toc170192595 \h </w:instrText>
      </w:r>
      <w:r>
        <w:fldChar w:fldCharType="separate"/>
      </w:r>
      <w:r>
        <w:instrText>296</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No duty chargeable on amount received on account of duty</w:instrText>
      </w:r>
      <w:r>
        <w:tab/>
      </w:r>
      <w:r>
        <w:fldChar w:fldCharType="begin"/>
      </w:r>
      <w:r>
        <w:instrText xml:space="preserve"> PAGEREF _Toc170192596 \h </w:instrText>
      </w:r>
      <w:r>
        <w:fldChar w:fldCharType="separate"/>
      </w:r>
      <w:r>
        <w:instrText>297</w:instrText>
      </w:r>
      <w:r>
        <w:fldChar w:fldCharType="end"/>
      </w:r>
    </w:p>
    <w:p>
      <w:pPr>
        <w:pStyle w:val="TOC8"/>
        <w:rPr>
          <w:sz w:val="24"/>
          <w:szCs w:val="24"/>
        </w:rPr>
      </w:pPr>
      <w:r>
        <w:rPr>
          <w:szCs w:val="24"/>
        </w:rPr>
        <w:instrText>97.</w:instrText>
      </w:r>
      <w:r>
        <w:rPr>
          <w:szCs w:val="24"/>
        </w:rPr>
        <w:tab/>
        <w:instrText>Offshore risk policies exempt from duty</w:instrText>
      </w:r>
      <w:r>
        <w:tab/>
      </w:r>
      <w:r>
        <w:fldChar w:fldCharType="begin"/>
      </w:r>
      <w:r>
        <w:instrText xml:space="preserve"> PAGEREF _Toc170192597 \h </w:instrText>
      </w:r>
      <w:r>
        <w:fldChar w:fldCharType="separate"/>
      </w:r>
      <w:r>
        <w:instrText>297</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 — Interpretation in Part IVB</w:instrText>
      </w:r>
    </w:p>
    <w:p>
      <w:pPr>
        <w:pStyle w:val="TOC8"/>
        <w:rPr>
          <w:sz w:val="24"/>
          <w:szCs w:val="24"/>
        </w:rPr>
      </w:pPr>
      <w:r>
        <w:rPr>
          <w:szCs w:val="24"/>
        </w:rPr>
        <w:instrText>112I.</w:instrText>
      </w:r>
      <w:r>
        <w:rPr>
          <w:szCs w:val="24"/>
        </w:rPr>
        <w:tab/>
        <w:instrText>Commercial hire business</w:instrText>
      </w:r>
      <w:r>
        <w:tab/>
      </w:r>
      <w:r>
        <w:fldChar w:fldCharType="begin"/>
      </w:r>
      <w:r>
        <w:instrText xml:space="preserve"> PAGEREF _Toc170192600 \h </w:instrText>
      </w:r>
      <w:r>
        <w:fldChar w:fldCharType="separate"/>
      </w:r>
      <w:r>
        <w:instrText>300</w:instrText>
      </w:r>
      <w:r>
        <w:fldChar w:fldCharType="end"/>
      </w:r>
    </w:p>
    <w:p>
      <w:pPr>
        <w:pStyle w:val="TOC8"/>
        <w:rPr>
          <w:sz w:val="24"/>
          <w:szCs w:val="24"/>
        </w:rPr>
      </w:pPr>
      <w:r>
        <w:rPr>
          <w:szCs w:val="24"/>
        </w:rPr>
        <w:instrText>112IA.</w:instrText>
      </w:r>
      <w:r>
        <w:rPr>
          <w:szCs w:val="24"/>
        </w:rPr>
        <w:tab/>
        <w:instrText>Goods</w:instrText>
      </w:r>
      <w:r>
        <w:tab/>
      </w:r>
      <w:r>
        <w:fldChar w:fldCharType="begin"/>
      </w:r>
      <w:r>
        <w:instrText xml:space="preserve"> PAGEREF _Toc170192601 \h </w:instrText>
      </w:r>
      <w:r>
        <w:fldChar w:fldCharType="separate"/>
      </w:r>
      <w:r>
        <w:instrText>300</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_Toc170192602 \h </w:instrText>
      </w:r>
      <w:r>
        <w:fldChar w:fldCharType="separate"/>
      </w:r>
      <w:r>
        <w:instrText>300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_Toc170192603 \h </w:instrText>
      </w:r>
      <w:r>
        <w:fldChar w:fldCharType="separate"/>
      </w:r>
      <w:r>
        <w:instrText>302</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_Toc170192604 \h </w:instrText>
      </w:r>
      <w:r>
        <w:fldChar w:fldCharType="separate"/>
      </w:r>
      <w:r>
        <w:instrText>302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_Toc170192605 \h </w:instrText>
      </w:r>
      <w:r>
        <w:fldChar w:fldCharType="separate"/>
      </w:r>
      <w:r>
        <w:instrText>303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_Toc170192606 \h </w:instrText>
      </w:r>
      <w:r>
        <w:fldChar w:fldCharType="separate"/>
      </w:r>
      <w:r>
        <w:instrText>304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_Toc170192608 \h </w:instrText>
      </w:r>
      <w:r>
        <w:fldChar w:fldCharType="separate"/>
      </w:r>
      <w:r>
        <w:instrText>305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_Toc170192609 \h </w:instrText>
      </w:r>
      <w:r>
        <w:fldChar w:fldCharType="separate"/>
      </w:r>
      <w:r>
        <w:instrText>305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_Toc170192610 \h </w:instrText>
      </w:r>
      <w:r>
        <w:fldChar w:fldCharType="separate"/>
      </w:r>
      <w:r>
        <w:instrText>306</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_Toc170192612 \h </w:instrText>
      </w:r>
      <w:r>
        <w:fldChar w:fldCharType="separate"/>
      </w:r>
      <w:r>
        <w:instrText>306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_Toc170192614 \h </w:instrText>
      </w:r>
      <w:r>
        <w:fldChar w:fldCharType="separate"/>
      </w:r>
      <w:r>
        <w:instrText>307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_Toc170192615 \h </w:instrText>
      </w:r>
      <w:r>
        <w:fldChar w:fldCharType="separate"/>
      </w:r>
      <w:r>
        <w:instrText>308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_Toc170192616 \h </w:instrText>
      </w:r>
      <w:r>
        <w:fldChar w:fldCharType="separate"/>
      </w:r>
      <w:r>
        <w:instrText>309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_Toc170192617 \h </w:instrText>
      </w:r>
      <w:r>
        <w:fldChar w:fldCharType="separate"/>
      </w:r>
      <w:r>
        <w:instrText>309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_Toc170192618 \h </w:instrText>
      </w:r>
      <w:r>
        <w:fldChar w:fldCharType="separate"/>
      </w:r>
      <w:r>
        <w:instrText>310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_Toc170192620 \h </w:instrText>
      </w:r>
      <w:r>
        <w:fldChar w:fldCharType="separate"/>
      </w:r>
      <w:r>
        <w:instrText>311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_Toc170192621 \h </w:instrText>
      </w:r>
      <w:r>
        <w:fldChar w:fldCharType="separate"/>
      </w:r>
      <w:r>
        <w:instrText>312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_Toc170192622 \h </w:instrText>
      </w:r>
      <w:r>
        <w:fldChar w:fldCharType="separate"/>
      </w:r>
      <w:r>
        <w:instrText>313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_Toc170192624 \h </w:instrText>
      </w:r>
      <w:r>
        <w:fldChar w:fldCharType="separate"/>
      </w:r>
      <w:r>
        <w:instrText>313</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_Toc170192625 \h </w:instrText>
      </w:r>
      <w:r>
        <w:fldChar w:fldCharType="separate"/>
      </w:r>
      <w:r>
        <w:instrText>314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_Toc170192626 \h </w:instrText>
      </w:r>
      <w:r>
        <w:fldChar w:fldCharType="separate"/>
      </w:r>
      <w:r>
        <w:instrText>314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_Toc170192627 \h </w:instrText>
      </w:r>
      <w:r>
        <w:fldChar w:fldCharType="separate"/>
      </w:r>
      <w:r>
        <w:instrText>315</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_Toc170192629 \h </w:instrText>
      </w:r>
      <w:r>
        <w:fldChar w:fldCharType="separate"/>
      </w:r>
      <w:r>
        <w:instrText>317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_Toc170192630 \h </w:instrText>
      </w:r>
      <w:r>
        <w:fldChar w:fldCharType="separate"/>
      </w:r>
      <w:r>
        <w:instrText>317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_Toc170192631 \h </w:instrText>
      </w:r>
      <w:r>
        <w:fldChar w:fldCharType="separate"/>
      </w:r>
      <w:r>
        <w:instrText>318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Interpretation in Part IVD</w:instrText>
      </w:r>
      <w:r>
        <w:tab/>
      </w:r>
      <w:r>
        <w:fldChar w:fldCharType="begin"/>
      </w:r>
      <w:r>
        <w:instrText xml:space="preserve"> PAGEREF _Toc170192633 \h </w:instrText>
      </w:r>
      <w:r>
        <w:fldChar w:fldCharType="separate"/>
      </w:r>
      <w:r>
        <w:instrText>319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_Toc170192634 \h </w:instrText>
      </w:r>
      <w:r>
        <w:fldChar w:fldCharType="separate"/>
      </w:r>
      <w:r>
        <w:instrText>320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_Toc170192635 \h </w:instrText>
      </w:r>
      <w:r>
        <w:fldChar w:fldCharType="separate"/>
      </w:r>
      <w:r>
        <w:instrText>321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_Toc170192636 \h </w:instrText>
      </w:r>
      <w:r>
        <w:fldChar w:fldCharType="separate"/>
      </w:r>
      <w:r>
        <w:instrText>322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_Toc170192638 \h </w:instrText>
      </w:r>
      <w:r>
        <w:fldChar w:fldCharType="separate"/>
      </w:r>
      <w:r>
        <w:instrText>323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_Toc170192640 \h </w:instrText>
      </w:r>
      <w:r>
        <w:fldChar w:fldCharType="separate"/>
      </w:r>
      <w:r>
        <w:instrText>325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_Toc170192641 \h </w:instrText>
      </w:r>
      <w:r>
        <w:fldChar w:fldCharType="separate"/>
      </w:r>
      <w:r>
        <w:instrText>325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_Toc170192642 \h </w:instrText>
      </w:r>
      <w:r>
        <w:fldChar w:fldCharType="separate"/>
      </w:r>
      <w:r>
        <w:instrText>326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_Toc170192643 \h </w:instrText>
      </w:r>
      <w:r>
        <w:fldChar w:fldCharType="separate"/>
      </w:r>
      <w:r>
        <w:instrText>327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_Toc170192644 \h </w:instrText>
      </w:r>
      <w:r>
        <w:fldChar w:fldCharType="separate"/>
      </w:r>
      <w:r>
        <w:instrText>328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7"/>
        <w:tabs>
          <w:tab w:val="right" w:pos="7086"/>
        </w:tabs>
        <w:rPr>
          <w:rFonts w:ascii="Times New Roman" w:hAnsi="Times New Roman"/>
          <w:b w:val="0"/>
          <w:noProof/>
          <w:sz w:val="24"/>
          <w:szCs w:val="24"/>
        </w:rPr>
      </w:pPr>
      <w:r>
        <w:rPr>
          <w:b w:val="0"/>
          <w:noProof/>
          <w:szCs w:val="22"/>
        </w:rPr>
        <w:instrText>2.5% of the market value</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_Toc170192651 \h </w:instrText>
      </w:r>
      <w:r>
        <w:fldChar w:fldCharType="separate"/>
      </w:r>
      <w:r>
        <w:instrText>346</w:instrText>
      </w:r>
      <w:r>
        <w:fldChar w:fldCharType="end"/>
      </w:r>
    </w:p>
    <w:p>
      <w:pPr>
        <w:pStyle w:val="TOC8"/>
        <w:rPr>
          <w:sz w:val="24"/>
          <w:szCs w:val="24"/>
        </w:rPr>
      </w:pPr>
      <w:r>
        <w:rPr>
          <w:szCs w:val="24"/>
        </w:rPr>
        <w:instrText>Provisions that have not come into operation</w:instrText>
      </w:r>
      <w:r>
        <w:tab/>
      </w:r>
      <w:r>
        <w:fldChar w:fldCharType="begin"/>
      </w:r>
      <w:r>
        <w:instrText xml:space="preserve"> PAGEREF _Toc170192652 \h </w:instrText>
      </w:r>
      <w:r>
        <w:fldChar w:fldCharType="separate"/>
      </w:r>
      <w:r>
        <w:instrText>358</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 xml:space="preserve">Stamp Act 1921 </w:t>
      </w:r>
    </w:p>
    <w:p>
      <w:pPr>
        <w:pStyle w:val="LongTitle"/>
        <w:rPr>
          <w:snapToGrid w:val="0"/>
        </w:rPr>
      </w:pPr>
      <w:r>
        <w:rPr>
          <w:snapToGrid w:val="0"/>
        </w:rPr>
        <w:t xml:space="preserve">An Act to amend and consolidate the law relating to stamp duties upon instruments and to impose certain stamp duties, and for other relative purposes. </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25868919"/>
      <w:bookmarkStart w:id="30" w:name="_Toc1701923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00739862"/>
      <w:bookmarkStart w:id="32" w:name="_Toc520101053"/>
      <w:bookmarkStart w:id="33" w:name="_Toc520532952"/>
      <w:bookmarkStart w:id="34" w:name="_Toc49223859"/>
      <w:bookmarkStart w:id="35" w:name="_Toc107054827"/>
      <w:bookmarkStart w:id="36" w:name="_Toc125868920"/>
      <w:bookmarkStart w:id="37" w:name="_Toc170192392"/>
      <w:r>
        <w:rPr>
          <w:rStyle w:val="CharSectno"/>
        </w:rPr>
        <w:t>1</w:t>
      </w:r>
      <w:r>
        <w:rPr>
          <w:snapToGrid w:val="0"/>
        </w:rPr>
        <w:t>.</w:t>
      </w:r>
      <w:r>
        <w:rPr>
          <w:snapToGrid w:val="0"/>
        </w:rPr>
        <w:tab/>
        <w:t>Short title and 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38" w:name="_Toc500739865"/>
      <w:bookmarkStart w:id="39" w:name="_Toc520101056"/>
      <w:bookmarkStart w:id="40" w:name="_Toc520532955"/>
      <w:r>
        <w:t>[</w:t>
      </w:r>
      <w:r>
        <w:rPr>
          <w:b/>
        </w:rPr>
        <w:t>2A, 3.</w:t>
      </w:r>
      <w:r>
        <w:tab/>
        <w:t xml:space="preserve">Repealed by No. 2 of 2003 s. 4.] </w:t>
      </w:r>
    </w:p>
    <w:p>
      <w:pPr>
        <w:pStyle w:val="Heading5"/>
        <w:rPr>
          <w:snapToGrid w:val="0"/>
        </w:rPr>
      </w:pPr>
      <w:bookmarkStart w:id="41" w:name="_Toc49223860"/>
      <w:bookmarkStart w:id="42" w:name="_Toc107054828"/>
      <w:bookmarkStart w:id="43" w:name="_Toc125868921"/>
      <w:bookmarkStart w:id="44" w:name="_Toc170192393"/>
      <w:r>
        <w:rPr>
          <w:rStyle w:val="CharSectno"/>
        </w:rPr>
        <w:t>4</w:t>
      </w:r>
      <w:r>
        <w:rPr>
          <w:snapToGrid w:val="0"/>
        </w:rPr>
        <w:t>.</w:t>
      </w:r>
      <w:r>
        <w:rPr>
          <w:snapToGrid w:val="0"/>
        </w:rPr>
        <w:tab/>
        <w:t>Interpretation</w:t>
      </w:r>
      <w:bookmarkEnd w:id="38"/>
      <w:bookmarkEnd w:id="39"/>
      <w:bookmarkEnd w:id="40"/>
      <w:bookmarkEnd w:id="41"/>
      <w:bookmarkEnd w:id="42"/>
      <w:bookmarkEnd w:id="43"/>
      <w:bookmarkEnd w:id="44"/>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45" w:name="_Toc500739866"/>
      <w:bookmarkStart w:id="46" w:name="_Toc520101057"/>
      <w:bookmarkStart w:id="47" w:name="_Toc520532956"/>
      <w:bookmarkStart w:id="48" w:name="_Toc49223861"/>
      <w:bookmarkStart w:id="49" w:name="_Toc107054829"/>
      <w:bookmarkStart w:id="50" w:name="_Toc125868922"/>
      <w:bookmarkStart w:id="51" w:name="_Toc170192394"/>
      <w:r>
        <w:rPr>
          <w:rStyle w:val="CharSectno"/>
        </w:rPr>
        <w:t>4A</w:t>
      </w:r>
      <w:r>
        <w:t>.</w:t>
      </w:r>
      <w:r>
        <w:tab/>
        <w:t>Treatment of amounts payable for GST</w:t>
      </w:r>
      <w:bookmarkEnd w:id="45"/>
      <w:bookmarkEnd w:id="46"/>
      <w:bookmarkEnd w:id="47"/>
      <w:bookmarkEnd w:id="48"/>
      <w:bookmarkEnd w:id="49"/>
      <w:bookmarkEnd w:id="50"/>
      <w:bookmarkEnd w:id="51"/>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2" w:name="_Toc76899499"/>
      <w:bookmarkStart w:id="53" w:name="_Toc78090401"/>
      <w:bookmarkStart w:id="54" w:name="_Toc88886769"/>
      <w:bookmarkStart w:id="55" w:name="_Toc90443385"/>
      <w:bookmarkStart w:id="56" w:name="_Toc90452736"/>
      <w:bookmarkStart w:id="57" w:name="_Toc100029327"/>
      <w:bookmarkStart w:id="58" w:name="_Toc100031400"/>
      <w:bookmarkStart w:id="59" w:name="_Toc100458459"/>
      <w:bookmarkStart w:id="60" w:name="_Toc101671875"/>
      <w:bookmarkStart w:id="61" w:name="_Toc101672132"/>
      <w:bookmarkStart w:id="62" w:name="_Toc102799158"/>
      <w:bookmarkStart w:id="63" w:name="_Toc102981832"/>
      <w:bookmarkStart w:id="64" w:name="_Toc103403145"/>
      <w:bookmarkStart w:id="65" w:name="_Toc103403402"/>
      <w:bookmarkStart w:id="66" w:name="_Toc103747401"/>
      <w:bookmarkStart w:id="67" w:name="_Toc107054830"/>
      <w:bookmarkStart w:id="68" w:name="_Toc113874277"/>
      <w:bookmarkStart w:id="69" w:name="_Toc113956693"/>
      <w:bookmarkStart w:id="70" w:name="_Toc116717249"/>
      <w:bookmarkStart w:id="71" w:name="_Toc116813276"/>
      <w:bookmarkStart w:id="72" w:name="_Toc122332928"/>
      <w:bookmarkStart w:id="73" w:name="_Toc122861898"/>
      <w:bookmarkStart w:id="74" w:name="_Toc122862494"/>
      <w:bookmarkStart w:id="75" w:name="_Toc122921101"/>
      <w:bookmarkStart w:id="76" w:name="_Toc122921361"/>
      <w:bookmarkStart w:id="77" w:name="_Toc122947306"/>
      <w:bookmarkStart w:id="78" w:name="_Toc124046142"/>
      <w:bookmarkStart w:id="79" w:name="_Toc125868923"/>
      <w:bookmarkStart w:id="80" w:name="_Toc170192395"/>
      <w:bookmarkStart w:id="81" w:name="_Toc58902510"/>
      <w:r>
        <w:rPr>
          <w:rStyle w:val="CharPartNo"/>
        </w:rPr>
        <w:t>Part II</w:t>
      </w:r>
      <w:r>
        <w:rPr>
          <w:rStyle w:val="CharDivNo"/>
        </w:rPr>
        <w:t> </w:t>
      </w:r>
      <w:r>
        <w:t>—</w:t>
      </w:r>
      <w:r>
        <w:rPr>
          <w:rStyle w:val="CharDivText"/>
        </w:rPr>
        <w:t> </w:t>
      </w:r>
      <w:r>
        <w:rPr>
          <w:rStyle w:val="CharPartText"/>
        </w:rPr>
        <w:t>Conditional contracts (interpretation)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by No. 12 of 2004 s. 15.]</w:t>
      </w:r>
    </w:p>
    <w:p>
      <w:pPr>
        <w:pStyle w:val="Heading5"/>
      </w:pPr>
      <w:bookmarkStart w:id="82" w:name="_Toc107054831"/>
      <w:bookmarkStart w:id="83" w:name="_Toc125868924"/>
      <w:bookmarkStart w:id="84" w:name="_Toc170192396"/>
      <w:r>
        <w:rPr>
          <w:rStyle w:val="CharSectno"/>
        </w:rPr>
        <w:t>6</w:t>
      </w:r>
      <w:r>
        <w:t>.</w:t>
      </w:r>
      <w:r>
        <w:tab/>
        <w:t>Meaning of “eligible conditional contract”</w:t>
      </w:r>
      <w:bookmarkEnd w:id="82"/>
      <w:bookmarkEnd w:id="83"/>
      <w:bookmarkEnd w:id="84"/>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85" w:name="_Toc107054832"/>
      <w:bookmarkStart w:id="86" w:name="_Toc125868925"/>
      <w:bookmarkStart w:id="87" w:name="_Toc170192397"/>
      <w:r>
        <w:rPr>
          <w:rStyle w:val="CharSectno"/>
        </w:rPr>
        <w:t>7</w:t>
      </w:r>
      <w:r>
        <w:t>.</w:t>
      </w:r>
      <w:r>
        <w:tab/>
        <w:t>Persons who are “related” for the purposes of this Part</w:t>
      </w:r>
      <w:bookmarkEnd w:id="85"/>
      <w:bookmarkEnd w:id="86"/>
      <w:bookmarkEnd w:id="87"/>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88" w:name="_Toc107054833"/>
      <w:bookmarkStart w:id="89" w:name="_Toc125868926"/>
      <w:bookmarkStart w:id="90" w:name="_Toc170192398"/>
      <w:r>
        <w:rPr>
          <w:rStyle w:val="CharSectno"/>
        </w:rPr>
        <w:t>8</w:t>
      </w:r>
      <w:r>
        <w:t>.</w:t>
      </w:r>
      <w:r>
        <w:tab/>
        <w:t>Meaning of “general conditional contract”</w:t>
      </w:r>
      <w:bookmarkEnd w:id="88"/>
      <w:bookmarkEnd w:id="89"/>
      <w:bookmarkEnd w:id="90"/>
    </w:p>
    <w:p>
      <w:pPr>
        <w:pStyle w:val="Subsection"/>
      </w:pPr>
      <w:r>
        <w:tab/>
        <w:t>(1)</w:t>
      </w:r>
      <w:r>
        <w:tab/>
        <w:t xml:space="preserve">A </w:t>
      </w:r>
      <w:r>
        <w:rPr>
          <w:b/>
        </w:rPr>
        <w:t>“</w:t>
      </w:r>
      <w:r>
        <w:rPr>
          <w:rStyle w:val="CharDefText"/>
        </w:rPr>
        <w:t>general conditional contract”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91" w:name="_Toc107054834"/>
      <w:bookmarkStart w:id="92" w:name="_Toc125868927"/>
      <w:bookmarkStart w:id="93" w:name="_Toc170192399"/>
      <w:r>
        <w:rPr>
          <w:rStyle w:val="CharSectno"/>
        </w:rPr>
        <w:t>9</w:t>
      </w:r>
      <w:r>
        <w:t>.</w:t>
      </w:r>
      <w:r>
        <w:tab/>
        <w:t>Meaning of “farming land conditional contract”</w:t>
      </w:r>
      <w:bookmarkEnd w:id="91"/>
      <w:bookmarkEnd w:id="92"/>
      <w:bookmarkEnd w:id="93"/>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94" w:name="_Toc107054835"/>
      <w:bookmarkStart w:id="95" w:name="_Toc125868928"/>
      <w:bookmarkStart w:id="96" w:name="_Toc170192400"/>
      <w:r>
        <w:rPr>
          <w:rStyle w:val="CharSectno"/>
        </w:rPr>
        <w:t>10</w:t>
      </w:r>
      <w:r>
        <w:t>.</w:t>
      </w:r>
      <w:r>
        <w:tab/>
        <w:t>Meaning of “off</w:t>
      </w:r>
      <w:r>
        <w:noBreakHyphen/>
        <w:t>the</w:t>
      </w:r>
      <w:r>
        <w:noBreakHyphen/>
        <w:t>plan conditional contract”</w:t>
      </w:r>
      <w:bookmarkEnd w:id="94"/>
      <w:bookmarkEnd w:id="95"/>
      <w:bookmarkEnd w:id="96"/>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97" w:name="_Toc107054836"/>
      <w:bookmarkStart w:id="98" w:name="_Toc125868929"/>
      <w:bookmarkStart w:id="99" w:name="_Toc170192401"/>
      <w:r>
        <w:rPr>
          <w:rStyle w:val="CharSectno"/>
        </w:rPr>
        <w:t>11</w:t>
      </w:r>
      <w:r>
        <w:t>.</w:t>
      </w:r>
      <w:r>
        <w:tab/>
        <w:t>Meaning of “mining tenement conditional contract”</w:t>
      </w:r>
      <w:bookmarkEnd w:id="97"/>
      <w:bookmarkEnd w:id="98"/>
      <w:bookmarkEnd w:id="99"/>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00" w:name="_Toc107054837"/>
      <w:bookmarkStart w:id="101" w:name="_Toc125868930"/>
      <w:bookmarkStart w:id="102" w:name="_Toc170192402"/>
      <w:r>
        <w:rPr>
          <w:rStyle w:val="CharSectno"/>
        </w:rPr>
        <w:t>12</w:t>
      </w:r>
      <w:r>
        <w:t>.</w:t>
      </w:r>
      <w:r>
        <w:tab/>
        <w:t>Meaning of “subdivision conditional contract”</w:t>
      </w:r>
      <w:bookmarkEnd w:id="100"/>
      <w:bookmarkEnd w:id="101"/>
      <w:bookmarkEnd w:id="102"/>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03" w:name="_Toc107054838"/>
      <w:bookmarkStart w:id="104" w:name="_Toc125868931"/>
      <w:bookmarkStart w:id="105" w:name="_Toc170192403"/>
      <w:r>
        <w:rPr>
          <w:rStyle w:val="CharSectno"/>
        </w:rPr>
        <w:t>13</w:t>
      </w:r>
      <w:r>
        <w:t>.</w:t>
      </w:r>
      <w:r>
        <w:tab/>
        <w:t>When a conditional contract becomes unconditional</w:t>
      </w:r>
      <w:bookmarkEnd w:id="103"/>
      <w:bookmarkEnd w:id="104"/>
      <w:bookmarkEnd w:id="105"/>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06" w:name="_Toc107054839"/>
      <w:bookmarkStart w:id="107" w:name="_Toc125868932"/>
      <w:bookmarkStart w:id="108" w:name="_Toc170192404"/>
      <w:r>
        <w:rPr>
          <w:rStyle w:val="CharSectno"/>
        </w:rPr>
        <w:t>14</w:t>
      </w:r>
      <w:r>
        <w:t>.</w:t>
      </w:r>
      <w:r>
        <w:tab/>
        <w:t>Termination of conditional contracts on relevant grounds</w:t>
      </w:r>
      <w:bookmarkEnd w:id="106"/>
      <w:bookmarkEnd w:id="107"/>
      <w:bookmarkEnd w:id="108"/>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09" w:name="_Toc76899509"/>
      <w:bookmarkStart w:id="110" w:name="_Toc78090411"/>
      <w:bookmarkStart w:id="111" w:name="_Toc88886779"/>
      <w:bookmarkStart w:id="112" w:name="_Toc90443395"/>
      <w:bookmarkStart w:id="113" w:name="_Toc90452746"/>
      <w:bookmarkStart w:id="114" w:name="_Toc100029337"/>
      <w:bookmarkStart w:id="115" w:name="_Toc100031410"/>
      <w:bookmarkStart w:id="116" w:name="_Toc100458469"/>
      <w:bookmarkStart w:id="117" w:name="_Toc101671885"/>
      <w:bookmarkStart w:id="118" w:name="_Toc101672142"/>
      <w:bookmarkStart w:id="119" w:name="_Toc102799168"/>
      <w:bookmarkStart w:id="120" w:name="_Toc102981842"/>
      <w:bookmarkStart w:id="121" w:name="_Toc103403155"/>
      <w:bookmarkStart w:id="122" w:name="_Toc103403412"/>
      <w:bookmarkStart w:id="123" w:name="_Toc103747411"/>
      <w:bookmarkStart w:id="124" w:name="_Toc107054840"/>
      <w:bookmarkStart w:id="125" w:name="_Toc113874287"/>
      <w:bookmarkStart w:id="126" w:name="_Toc113956703"/>
      <w:bookmarkStart w:id="127" w:name="_Toc116717259"/>
      <w:bookmarkStart w:id="128" w:name="_Toc116813286"/>
      <w:bookmarkStart w:id="129" w:name="_Toc122332938"/>
      <w:bookmarkStart w:id="130" w:name="_Toc122861908"/>
      <w:bookmarkStart w:id="131" w:name="_Toc122862504"/>
      <w:bookmarkStart w:id="132" w:name="_Toc122921111"/>
      <w:bookmarkStart w:id="133" w:name="_Toc122921371"/>
      <w:bookmarkStart w:id="134" w:name="_Toc122947316"/>
      <w:bookmarkStart w:id="135" w:name="_Toc124046152"/>
      <w:bookmarkStart w:id="136" w:name="_Toc125868933"/>
      <w:bookmarkStart w:id="137" w:name="_Toc170192405"/>
      <w:r>
        <w:rPr>
          <w:rStyle w:val="CharPartNo"/>
        </w:rPr>
        <w:t>Part III</w:t>
      </w:r>
      <w:r>
        <w:rPr>
          <w:rStyle w:val="CharDivNo"/>
        </w:rPr>
        <w:t> </w:t>
      </w:r>
      <w:r>
        <w:t>—</w:t>
      </w:r>
      <w:r>
        <w:rPr>
          <w:rStyle w:val="CharDivText"/>
        </w:rPr>
        <w:t> </w:t>
      </w:r>
      <w:r>
        <w:rPr>
          <w:rStyle w:val="CharPartText"/>
        </w:rPr>
        <w:t>General provisions</w:t>
      </w:r>
      <w:bookmarkEnd w:id="81"/>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500739879"/>
      <w:bookmarkStart w:id="139" w:name="_Toc520101070"/>
      <w:bookmarkStart w:id="140" w:name="_Toc520532969"/>
      <w:bookmarkStart w:id="141" w:name="_Toc49223862"/>
      <w:bookmarkStart w:id="142" w:name="_Toc107054841"/>
      <w:bookmarkStart w:id="143" w:name="_Toc125868934"/>
      <w:bookmarkStart w:id="144" w:name="_Toc170192406"/>
      <w:r>
        <w:rPr>
          <w:rStyle w:val="CharSectno"/>
        </w:rPr>
        <w:t>16</w:t>
      </w:r>
      <w:r>
        <w:rPr>
          <w:snapToGrid w:val="0"/>
        </w:rPr>
        <w:t>.</w:t>
      </w:r>
      <w:r>
        <w:rPr>
          <w:snapToGrid w:val="0"/>
        </w:rPr>
        <w:tab/>
        <w:t>Charge of duties on instruments</w:t>
      </w:r>
      <w:bookmarkEnd w:id="138"/>
      <w:bookmarkEnd w:id="139"/>
      <w:bookmarkEnd w:id="140"/>
      <w:bookmarkEnd w:id="141"/>
      <w:bookmarkEnd w:id="142"/>
      <w:bookmarkEnd w:id="143"/>
      <w:bookmarkEnd w:id="144"/>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45" w:name="_Toc49223863"/>
      <w:bookmarkStart w:id="146" w:name="_Toc107054842"/>
      <w:bookmarkStart w:id="147" w:name="_Toc125868935"/>
      <w:bookmarkStart w:id="148" w:name="_Toc170192407"/>
      <w:bookmarkStart w:id="149" w:name="_Toc500739881"/>
      <w:bookmarkStart w:id="150" w:name="_Toc520101072"/>
      <w:bookmarkStart w:id="151" w:name="_Toc520532971"/>
      <w:r>
        <w:rPr>
          <w:rStyle w:val="CharSectno"/>
        </w:rPr>
        <w:t>17</w:t>
      </w:r>
      <w:r>
        <w:t>.</w:t>
      </w:r>
      <w:r>
        <w:tab/>
        <w:t>Liability to pay duty</w:t>
      </w:r>
      <w:bookmarkEnd w:id="145"/>
      <w:bookmarkEnd w:id="146"/>
      <w:bookmarkEnd w:id="147"/>
      <w:bookmarkEnd w:id="148"/>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52" w:name="_Toc49223864"/>
      <w:bookmarkStart w:id="153" w:name="_Toc107054843"/>
      <w:bookmarkStart w:id="154" w:name="_Toc125868936"/>
      <w:bookmarkStart w:id="155" w:name="_Toc170192408"/>
      <w:r>
        <w:rPr>
          <w:rStyle w:val="CharSectno"/>
        </w:rPr>
        <w:t>17A</w:t>
      </w:r>
      <w:r>
        <w:t>.</w:t>
      </w:r>
      <w:r>
        <w:tab/>
        <w:t>Time for payment of duty</w:t>
      </w:r>
      <w:bookmarkEnd w:id="152"/>
      <w:bookmarkEnd w:id="153"/>
      <w:bookmarkEnd w:id="154"/>
      <w:bookmarkEnd w:id="15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56" w:name="_Toc107054844"/>
      <w:bookmarkStart w:id="157" w:name="_Toc125868937"/>
      <w:bookmarkStart w:id="158" w:name="_Toc170192409"/>
      <w:bookmarkStart w:id="159" w:name="_Toc49223865"/>
      <w:r>
        <w:rPr>
          <w:rStyle w:val="CharSectno"/>
        </w:rPr>
        <w:t>17AA</w:t>
      </w:r>
      <w:r>
        <w:t>.</w:t>
      </w:r>
      <w:r>
        <w:tab/>
        <w:t>Time for payment on certain conditional contracts</w:t>
      </w:r>
      <w:bookmarkEnd w:id="156"/>
      <w:bookmarkEnd w:id="157"/>
      <w:bookmarkEnd w:id="15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60" w:name="_Toc107054845"/>
      <w:bookmarkStart w:id="161" w:name="_Toc125868938"/>
      <w:bookmarkStart w:id="162" w:name="_Toc170192410"/>
      <w:r>
        <w:rPr>
          <w:rStyle w:val="CharSectno"/>
        </w:rPr>
        <w:t>17B</w:t>
      </w:r>
      <w:r>
        <w:t>.</w:t>
      </w:r>
      <w:r>
        <w:tab/>
        <w:t>Requirement to lodge instrument</w:t>
      </w:r>
      <w:bookmarkEnd w:id="159"/>
      <w:bookmarkEnd w:id="160"/>
      <w:bookmarkEnd w:id="161"/>
      <w:bookmarkEnd w:id="162"/>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163" w:name="_Toc107054846"/>
      <w:bookmarkStart w:id="164" w:name="_Toc125868939"/>
      <w:bookmarkStart w:id="165" w:name="_Toc170192411"/>
      <w:bookmarkStart w:id="166" w:name="_Toc49223866"/>
      <w:r>
        <w:rPr>
          <w:rStyle w:val="CharSectno"/>
        </w:rPr>
        <w:t>17BA</w:t>
      </w:r>
      <w:r>
        <w:t>.</w:t>
      </w:r>
      <w:r>
        <w:tab/>
        <w:t>Time for lodging certain conditional contracts</w:t>
      </w:r>
      <w:bookmarkEnd w:id="163"/>
      <w:bookmarkEnd w:id="164"/>
      <w:bookmarkEnd w:id="165"/>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67" w:name="_Toc107054847"/>
      <w:bookmarkStart w:id="168" w:name="_Toc125868940"/>
      <w:bookmarkStart w:id="169" w:name="_Toc170192412"/>
      <w:r>
        <w:rPr>
          <w:rStyle w:val="CharSectno"/>
        </w:rPr>
        <w:t>17C</w:t>
      </w:r>
      <w:r>
        <w:t>.</w:t>
      </w:r>
      <w:r>
        <w:tab/>
        <w:t>Instrument to be endorsed when duty paid etc.</w:t>
      </w:r>
      <w:bookmarkEnd w:id="166"/>
      <w:bookmarkEnd w:id="167"/>
      <w:bookmarkEnd w:id="168"/>
      <w:bookmarkEnd w:id="169"/>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170" w:name="_Toc49223867"/>
      <w:bookmarkStart w:id="171" w:name="_Toc107054848"/>
      <w:bookmarkStart w:id="172" w:name="_Toc125868941"/>
      <w:bookmarkStart w:id="173" w:name="_Toc170192413"/>
      <w:r>
        <w:rPr>
          <w:rStyle w:val="CharSectno"/>
        </w:rPr>
        <w:t>18</w:t>
      </w:r>
      <w:r>
        <w:rPr>
          <w:snapToGrid w:val="0"/>
        </w:rPr>
        <w:t>.</w:t>
      </w:r>
      <w:r>
        <w:rPr>
          <w:snapToGrid w:val="0"/>
        </w:rPr>
        <w:tab/>
        <w:t>How instruments to be written</w:t>
      </w:r>
      <w:bookmarkEnd w:id="149"/>
      <w:bookmarkEnd w:id="150"/>
      <w:bookmarkEnd w:id="151"/>
      <w:bookmarkEnd w:id="170"/>
      <w:bookmarkEnd w:id="171"/>
      <w:bookmarkEnd w:id="172"/>
      <w:bookmarkEnd w:id="173"/>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174" w:name="_Toc500739882"/>
      <w:bookmarkStart w:id="175" w:name="_Toc520101073"/>
      <w:bookmarkStart w:id="176" w:name="_Toc520532972"/>
      <w:bookmarkStart w:id="177" w:name="_Toc49223868"/>
      <w:bookmarkStart w:id="178" w:name="_Toc107054849"/>
      <w:bookmarkStart w:id="179" w:name="_Toc125868942"/>
      <w:bookmarkStart w:id="180" w:name="_Toc170192414"/>
      <w:r>
        <w:rPr>
          <w:rStyle w:val="CharSectno"/>
        </w:rPr>
        <w:t>19</w:t>
      </w:r>
      <w:r>
        <w:rPr>
          <w:snapToGrid w:val="0"/>
        </w:rPr>
        <w:t>.</w:t>
      </w:r>
      <w:r>
        <w:rPr>
          <w:snapToGrid w:val="0"/>
        </w:rPr>
        <w:tab/>
        <w:t>Instruments to be separately charged with duty in certain cases</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181" w:name="_Toc500739883"/>
      <w:bookmarkStart w:id="182" w:name="_Toc520101074"/>
      <w:bookmarkStart w:id="183" w:name="_Toc520532973"/>
      <w:r>
        <w:tab/>
        <w:t xml:space="preserve">[Section 19 amended by No. 2 of 2003 s. 11.] </w:t>
      </w:r>
    </w:p>
    <w:p>
      <w:pPr>
        <w:pStyle w:val="Heading5"/>
      </w:pPr>
      <w:bookmarkStart w:id="184" w:name="_Toc49223869"/>
      <w:bookmarkStart w:id="185" w:name="_Toc107054850"/>
      <w:bookmarkStart w:id="186" w:name="_Toc125868943"/>
      <w:bookmarkStart w:id="187" w:name="_Toc170192415"/>
      <w:bookmarkEnd w:id="181"/>
      <w:bookmarkEnd w:id="182"/>
      <w:bookmarkEnd w:id="183"/>
      <w:r>
        <w:rPr>
          <w:rStyle w:val="CharSectno"/>
        </w:rPr>
        <w:t>20</w:t>
      </w:r>
      <w:r>
        <w:t>.</w:t>
      </w:r>
      <w:r>
        <w:tab/>
        <w:t>Reduction of duty if matter not carried into effect</w:t>
      </w:r>
      <w:bookmarkEnd w:id="184"/>
      <w:bookmarkEnd w:id="185"/>
      <w:bookmarkEnd w:id="186"/>
      <w:bookmarkEnd w:id="187"/>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188" w:name="_Toc500739886"/>
      <w:bookmarkStart w:id="189" w:name="_Toc520101077"/>
      <w:bookmarkStart w:id="190" w:name="_Toc520532976"/>
      <w:bookmarkStart w:id="191" w:name="_Toc49223870"/>
      <w:bookmarkStart w:id="192" w:name="_Toc107054851"/>
      <w:bookmarkStart w:id="193" w:name="_Toc125868944"/>
      <w:bookmarkStart w:id="194" w:name="_Toc170192416"/>
      <w:r>
        <w:rPr>
          <w:rStyle w:val="CharSectno"/>
        </w:rPr>
        <w:t>26</w:t>
      </w:r>
      <w:r>
        <w:rPr>
          <w:snapToGrid w:val="0"/>
        </w:rPr>
        <w:t>.</w:t>
      </w:r>
      <w:r>
        <w:rPr>
          <w:snapToGrid w:val="0"/>
        </w:rPr>
        <w:tab/>
        <w:t>Facts and circumstances affecting duty to be set forth in instrument</w:t>
      </w:r>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195" w:name="_Toc500739887"/>
      <w:bookmarkStart w:id="196" w:name="_Toc520101078"/>
      <w:bookmarkStart w:id="197" w:name="_Toc520532977"/>
      <w:bookmarkStart w:id="198" w:name="_Toc49223871"/>
      <w:bookmarkStart w:id="199" w:name="_Toc107054852"/>
      <w:bookmarkStart w:id="200" w:name="_Toc125868945"/>
      <w:bookmarkStart w:id="201" w:name="_Toc170192417"/>
      <w:r>
        <w:rPr>
          <w:rStyle w:val="CharSectno"/>
        </w:rPr>
        <w:t>27</w:t>
      </w:r>
      <w:r>
        <w:rPr>
          <w:snapToGrid w:val="0"/>
        </w:rPr>
        <w:t>.</w:t>
      </w:r>
      <w:r>
        <w:rPr>
          <w:snapToGrid w:val="0"/>
        </w:rPr>
        <w:tab/>
        <w:t>Instruments not stamped inadmissible except in criminal proceedings</w:t>
      </w:r>
      <w:bookmarkEnd w:id="195"/>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202" w:name="_Toc500739888"/>
      <w:bookmarkStart w:id="203" w:name="_Toc520101079"/>
      <w:bookmarkStart w:id="204" w:name="_Toc520532978"/>
      <w:bookmarkStart w:id="205" w:name="_Toc49223872"/>
      <w:bookmarkStart w:id="206" w:name="_Toc107054853"/>
      <w:bookmarkStart w:id="207" w:name="_Toc125868946"/>
      <w:bookmarkStart w:id="208" w:name="_Toc170192418"/>
      <w:r>
        <w:rPr>
          <w:rStyle w:val="CharSectno"/>
        </w:rPr>
        <w:t>28</w:t>
      </w:r>
      <w:r>
        <w:rPr>
          <w:snapToGrid w:val="0"/>
        </w:rPr>
        <w:t>.</w:t>
      </w:r>
      <w:r>
        <w:rPr>
          <w:snapToGrid w:val="0"/>
        </w:rPr>
        <w:tab/>
        <w:t>No instrument to be registered, etc. unless stamped</w:t>
      </w:r>
      <w:bookmarkEnd w:id="202"/>
      <w:bookmarkEnd w:id="203"/>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09" w:name="_Toc500739889"/>
      <w:bookmarkStart w:id="210" w:name="_Toc520101080"/>
      <w:bookmarkStart w:id="211" w:name="_Toc520532979"/>
      <w:bookmarkStart w:id="212" w:name="_Toc49223873"/>
      <w:bookmarkStart w:id="213" w:name="_Toc107054854"/>
      <w:bookmarkStart w:id="214" w:name="_Toc125868947"/>
      <w:bookmarkStart w:id="215" w:name="_Toc170192419"/>
      <w:r>
        <w:rPr>
          <w:rStyle w:val="CharSectno"/>
        </w:rPr>
        <w:t>29</w:t>
      </w:r>
      <w:r>
        <w:rPr>
          <w:snapToGrid w:val="0"/>
        </w:rPr>
        <w:t>.</w:t>
      </w:r>
      <w:r>
        <w:rPr>
          <w:snapToGrid w:val="0"/>
        </w:rPr>
        <w:tab/>
      </w:r>
      <w:bookmarkEnd w:id="209"/>
      <w:bookmarkEnd w:id="210"/>
      <w:bookmarkEnd w:id="211"/>
      <w:r>
        <w:rPr>
          <w:snapToGrid w:val="0"/>
        </w:rPr>
        <w:t>Production of instruments as evidence</w:t>
      </w:r>
      <w:bookmarkEnd w:id="212"/>
      <w:bookmarkEnd w:id="213"/>
      <w:bookmarkEnd w:id="214"/>
      <w:bookmarkEnd w:id="215"/>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16" w:name="_Toc500739890"/>
      <w:bookmarkStart w:id="217" w:name="_Toc520101081"/>
      <w:bookmarkStart w:id="218" w:name="_Toc520532980"/>
      <w:bookmarkStart w:id="219" w:name="_Toc49223874"/>
      <w:bookmarkStart w:id="220" w:name="_Toc107054855"/>
      <w:bookmarkStart w:id="221" w:name="_Toc125868948"/>
      <w:bookmarkStart w:id="222" w:name="_Toc170192420"/>
      <w:r>
        <w:rPr>
          <w:rStyle w:val="CharSectno"/>
        </w:rPr>
        <w:t>30</w:t>
      </w:r>
      <w:r>
        <w:rPr>
          <w:snapToGrid w:val="0"/>
        </w:rPr>
        <w:t>.</w:t>
      </w:r>
      <w:r>
        <w:rPr>
          <w:snapToGrid w:val="0"/>
        </w:rPr>
        <w:tab/>
        <w:t>Secondary evidence</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23" w:name="_Toc107054856"/>
      <w:bookmarkStart w:id="224" w:name="_Toc125868949"/>
      <w:bookmarkStart w:id="225" w:name="_Toc170192421"/>
      <w:r>
        <w:rPr>
          <w:rStyle w:val="CharSectno"/>
        </w:rPr>
        <w:t>31</w:t>
      </w:r>
      <w:r>
        <w:t>.</w:t>
      </w:r>
      <w:r>
        <w:tab/>
        <w:t>Stamped instruments as evidence</w:t>
      </w:r>
      <w:bookmarkEnd w:id="223"/>
      <w:bookmarkEnd w:id="224"/>
      <w:bookmarkEnd w:id="225"/>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26" w:name="_Toc500739896"/>
      <w:bookmarkStart w:id="227" w:name="_Toc520101087"/>
      <w:bookmarkStart w:id="228" w:name="_Toc520532986"/>
      <w:r>
        <w:t>[</w:t>
      </w:r>
      <w:r>
        <w:rPr>
          <w:b/>
        </w:rPr>
        <w:t>31AA-31AC, 31A.</w:t>
      </w:r>
      <w:r>
        <w:tab/>
        <w:t xml:space="preserve">Repealed by No. 2 of 2003 s. 18.] </w:t>
      </w:r>
    </w:p>
    <w:p>
      <w:pPr>
        <w:pStyle w:val="Heading5"/>
      </w:pPr>
      <w:bookmarkStart w:id="229" w:name="_Toc107054857"/>
      <w:bookmarkStart w:id="230" w:name="_Toc125868950"/>
      <w:bookmarkStart w:id="231" w:name="_Toc170192422"/>
      <w:bookmarkStart w:id="232" w:name="_Toc49223876"/>
      <w:bookmarkStart w:id="233" w:name="_Toc500739897"/>
      <w:bookmarkStart w:id="234" w:name="_Toc520101088"/>
      <w:bookmarkStart w:id="235" w:name="_Toc520532987"/>
      <w:bookmarkEnd w:id="226"/>
      <w:bookmarkEnd w:id="227"/>
      <w:bookmarkEnd w:id="228"/>
      <w:r>
        <w:rPr>
          <w:rStyle w:val="CharSectno"/>
        </w:rPr>
        <w:t>31B</w:t>
      </w:r>
      <w:r>
        <w:t>.</w:t>
      </w:r>
      <w:r>
        <w:tab/>
        <w:t>Payment of duty on statements in absence of dutiable instrument</w:t>
      </w:r>
      <w:bookmarkEnd w:id="229"/>
      <w:bookmarkEnd w:id="230"/>
      <w:bookmarkEnd w:id="231"/>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36" w:name="_Toc107054858"/>
      <w:bookmarkStart w:id="237" w:name="_Toc125868951"/>
      <w:bookmarkStart w:id="238" w:name="_Toc17019242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32"/>
      <w:bookmarkEnd w:id="236"/>
      <w:bookmarkEnd w:id="237"/>
      <w:bookmarkEnd w:id="238"/>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239" w:name="_Toc500739898"/>
      <w:bookmarkStart w:id="240" w:name="_Toc520101089"/>
      <w:bookmarkStart w:id="241" w:name="_Toc520532988"/>
      <w:bookmarkEnd w:id="233"/>
      <w:bookmarkEnd w:id="234"/>
      <w:bookmarkEnd w:id="235"/>
      <w:r>
        <w:t>[</w:t>
      </w:r>
      <w:r>
        <w:rPr>
          <w:b/>
        </w:rPr>
        <w:t>32.</w:t>
      </w:r>
      <w:r>
        <w:tab/>
        <w:t xml:space="preserve">Repealed by No. 2 of 2003 s. 22.] </w:t>
      </w:r>
    </w:p>
    <w:p>
      <w:pPr>
        <w:pStyle w:val="Heading5"/>
      </w:pPr>
      <w:bookmarkStart w:id="242" w:name="_Toc49223877"/>
      <w:bookmarkStart w:id="243" w:name="_Toc107054859"/>
      <w:bookmarkStart w:id="244" w:name="_Toc125868952"/>
      <w:bookmarkStart w:id="245" w:name="_Toc170192424"/>
      <w:bookmarkStart w:id="246" w:name="_Toc500739899"/>
      <w:bookmarkStart w:id="247" w:name="_Toc520101090"/>
      <w:bookmarkStart w:id="248" w:name="_Toc520532989"/>
      <w:bookmarkEnd w:id="239"/>
      <w:bookmarkEnd w:id="240"/>
      <w:bookmarkEnd w:id="241"/>
      <w:r>
        <w:rPr>
          <w:rStyle w:val="CharSectno"/>
        </w:rPr>
        <w:t>33</w:t>
      </w:r>
      <w:r>
        <w:t>.</w:t>
      </w:r>
      <w:r>
        <w:tab/>
        <w:t>Valuation of land or other property</w:t>
      </w:r>
      <w:bookmarkEnd w:id="242"/>
      <w:bookmarkEnd w:id="243"/>
      <w:bookmarkEnd w:id="244"/>
      <w:bookmarkEnd w:id="245"/>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249" w:name="_Toc500739900"/>
      <w:bookmarkStart w:id="250" w:name="_Toc520101091"/>
      <w:bookmarkStart w:id="251" w:name="_Toc520532990"/>
      <w:bookmarkEnd w:id="246"/>
      <w:bookmarkEnd w:id="247"/>
      <w:bookmarkEnd w:id="248"/>
      <w:r>
        <w:t>[</w:t>
      </w:r>
      <w:r>
        <w:rPr>
          <w:b/>
        </w:rPr>
        <w:t>33A.</w:t>
      </w:r>
      <w:r>
        <w:tab/>
        <w:t xml:space="preserve">Repealed by No. 2 of 2003 s. 22.] </w:t>
      </w:r>
    </w:p>
    <w:p>
      <w:pPr>
        <w:pStyle w:val="Heading5"/>
      </w:pPr>
      <w:bookmarkStart w:id="252" w:name="_Toc49223878"/>
      <w:bookmarkStart w:id="253" w:name="_Toc107054860"/>
      <w:bookmarkStart w:id="254" w:name="_Toc125868953"/>
      <w:bookmarkStart w:id="255" w:name="_Toc170192425"/>
      <w:bookmarkStart w:id="256" w:name="_Toc500739901"/>
      <w:bookmarkStart w:id="257" w:name="_Toc520101092"/>
      <w:bookmarkStart w:id="258" w:name="_Toc520532991"/>
      <w:bookmarkEnd w:id="249"/>
      <w:bookmarkEnd w:id="250"/>
      <w:bookmarkEnd w:id="251"/>
      <w:r>
        <w:rPr>
          <w:rStyle w:val="CharSectno"/>
        </w:rPr>
        <w:t>34</w:t>
      </w:r>
      <w:r>
        <w:t>.</w:t>
      </w:r>
      <w:r>
        <w:tab/>
        <w:t>Duplicates and counterparts</w:t>
      </w:r>
      <w:bookmarkEnd w:id="252"/>
      <w:bookmarkEnd w:id="253"/>
      <w:bookmarkEnd w:id="254"/>
      <w:bookmarkEnd w:id="255"/>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259" w:name="_Toc500739904"/>
      <w:bookmarkStart w:id="260" w:name="_Toc520101095"/>
      <w:bookmarkStart w:id="261" w:name="_Toc520532994"/>
      <w:bookmarkEnd w:id="256"/>
      <w:bookmarkEnd w:id="257"/>
      <w:bookmarkEnd w:id="258"/>
      <w:r>
        <w:t>[</w:t>
      </w:r>
      <w:r>
        <w:rPr>
          <w:b/>
        </w:rPr>
        <w:t>34A</w:t>
      </w:r>
      <w:r>
        <w:rPr>
          <w:b/>
        </w:rPr>
        <w:noBreakHyphen/>
        <w:t>34C.</w:t>
      </w:r>
      <w:r>
        <w:tab/>
        <w:t xml:space="preserve">Repealed by No. 2 of 2003 s. 22.] </w:t>
      </w:r>
    </w:p>
    <w:p>
      <w:pPr>
        <w:pStyle w:val="Heading5"/>
      </w:pPr>
      <w:bookmarkStart w:id="262" w:name="_Toc49223879"/>
      <w:bookmarkStart w:id="263" w:name="_Toc107054861"/>
      <w:bookmarkStart w:id="264" w:name="_Toc125868954"/>
      <w:bookmarkStart w:id="265" w:name="_Toc170192426"/>
      <w:bookmarkStart w:id="266" w:name="_Toc500739905"/>
      <w:bookmarkStart w:id="267" w:name="_Toc520101096"/>
      <w:bookmarkStart w:id="268" w:name="_Toc520532995"/>
      <w:bookmarkEnd w:id="259"/>
      <w:bookmarkEnd w:id="260"/>
      <w:bookmarkEnd w:id="261"/>
      <w:r>
        <w:rPr>
          <w:rStyle w:val="CharSectno"/>
        </w:rPr>
        <w:t>35</w:t>
      </w:r>
      <w:r>
        <w:t>.</w:t>
      </w:r>
      <w:r>
        <w:tab/>
        <w:t>Unlodged transfers — independent person’s obligations</w:t>
      </w:r>
      <w:bookmarkEnd w:id="262"/>
      <w:bookmarkEnd w:id="263"/>
      <w:bookmarkEnd w:id="264"/>
      <w:bookmarkEnd w:id="26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269" w:name="_Toc49223880"/>
      <w:bookmarkStart w:id="270" w:name="_Toc107054862"/>
      <w:bookmarkStart w:id="271" w:name="_Toc125868955"/>
      <w:bookmarkStart w:id="272" w:name="_Toc17019242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273" w:name="_Toc500739907"/>
      <w:bookmarkStart w:id="274" w:name="_Toc520101098"/>
      <w:bookmarkStart w:id="275" w:name="_Toc520532997"/>
      <w:r>
        <w:t>[</w:t>
      </w:r>
      <w:r>
        <w:rPr>
          <w:b/>
        </w:rPr>
        <w:t>37.</w:t>
      </w:r>
      <w:r>
        <w:tab/>
        <w:t xml:space="preserve">Repealed by No. 2 of 2003 s. 24.] </w:t>
      </w:r>
    </w:p>
    <w:p>
      <w:pPr>
        <w:pStyle w:val="Heading5"/>
      </w:pPr>
      <w:bookmarkStart w:id="276" w:name="_Toc49223881"/>
      <w:bookmarkStart w:id="277" w:name="_Toc107054863"/>
      <w:bookmarkStart w:id="278" w:name="_Toc125868956"/>
      <w:bookmarkStart w:id="279" w:name="_Toc170192428"/>
      <w:bookmarkStart w:id="280" w:name="_Toc500739908"/>
      <w:bookmarkStart w:id="281" w:name="_Toc520101099"/>
      <w:bookmarkStart w:id="282" w:name="_Toc520532998"/>
      <w:bookmarkEnd w:id="273"/>
      <w:bookmarkEnd w:id="274"/>
      <w:bookmarkEnd w:id="275"/>
      <w:r>
        <w:rPr>
          <w:rStyle w:val="CharSectno"/>
        </w:rPr>
        <w:t>38</w:t>
      </w:r>
      <w:r>
        <w:t>.</w:t>
      </w:r>
      <w:r>
        <w:tab/>
        <w:t>Instruments held in escrow</w:t>
      </w:r>
      <w:bookmarkEnd w:id="276"/>
      <w:bookmarkEnd w:id="277"/>
      <w:bookmarkEnd w:id="278"/>
      <w:bookmarkEnd w:id="279"/>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283" w:name="_Toc107054864"/>
      <w:bookmarkStart w:id="284" w:name="_Toc125868957"/>
      <w:bookmarkStart w:id="285" w:name="_Toc170192429"/>
      <w:r>
        <w:rPr>
          <w:rStyle w:val="CharSectno"/>
        </w:rPr>
        <w:t>39</w:t>
      </w:r>
      <w:r>
        <w:t>.</w:t>
      </w:r>
      <w:r>
        <w:tab/>
        <w:t>Determining whether securities are situated in Western Australia</w:t>
      </w:r>
      <w:bookmarkEnd w:id="283"/>
      <w:bookmarkEnd w:id="284"/>
      <w:bookmarkEnd w:id="285"/>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80"/>
    <w:bookmarkEnd w:id="281"/>
    <w:bookmarkEnd w:id="282"/>
    <w:p>
      <w:pPr>
        <w:pStyle w:val="Ednotesection"/>
      </w:pPr>
      <w:r>
        <w:t>[</w:t>
      </w:r>
      <w:r>
        <w:rPr>
          <w:b/>
        </w:rPr>
        <w:t>39A.</w:t>
      </w:r>
      <w:r>
        <w:tab/>
        <w:t xml:space="preserve">Repealed by No. 2 of 2003 s. 24.] </w:t>
      </w:r>
    </w:p>
    <w:p>
      <w:pPr>
        <w:pStyle w:val="Heading5"/>
      </w:pPr>
      <w:bookmarkStart w:id="286" w:name="_Toc107054865"/>
      <w:bookmarkStart w:id="287" w:name="_Toc125868958"/>
      <w:bookmarkStart w:id="288" w:name="_Toc170192430"/>
      <w:r>
        <w:rPr>
          <w:rStyle w:val="CharSectno"/>
        </w:rPr>
        <w:t>40</w:t>
      </w:r>
      <w:r>
        <w:t>.</w:t>
      </w:r>
      <w:r>
        <w:tab/>
        <w:t>Valuing a marketable security or right in respect of shares</w:t>
      </w:r>
      <w:bookmarkEnd w:id="286"/>
      <w:bookmarkEnd w:id="287"/>
      <w:bookmarkEnd w:id="288"/>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section"/>
        <w:tabs>
          <w:tab w:val="clear" w:pos="893"/>
          <w:tab w:val="left" w:pos="993"/>
        </w:tabs>
        <w:spacing w:before="200"/>
        <w:ind w:left="993" w:hanging="993"/>
      </w:pPr>
      <w:r>
        <w:tab/>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r>
      <w:r>
        <w:tab/>
        <w:t xml:space="preserve">Repealed by No. 42 of 1993 s. 4.] </w:t>
      </w:r>
    </w:p>
    <w:p>
      <w:pPr>
        <w:pStyle w:val="Ednotesection"/>
        <w:ind w:left="890" w:hanging="890"/>
      </w:pPr>
      <w:r>
        <w:t>[</w:t>
      </w:r>
      <w:r>
        <w:rPr>
          <w:b/>
        </w:rPr>
        <w:t>51.</w:t>
      </w:r>
      <w:r>
        <w:tab/>
      </w:r>
      <w:r>
        <w:tab/>
        <w:t xml:space="preserve">Repealed by No. 37 of 1979 s. 37.] </w:t>
      </w:r>
    </w:p>
    <w:p>
      <w:pPr>
        <w:pStyle w:val="Ednotesection"/>
        <w:ind w:left="890" w:hanging="890"/>
      </w:pPr>
      <w:r>
        <w:t>[</w:t>
      </w:r>
      <w:r>
        <w:rPr>
          <w:b/>
        </w:rPr>
        <w:t>52.</w:t>
      </w:r>
      <w:r>
        <w:tab/>
      </w:r>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289" w:name="_Toc58902538"/>
      <w:bookmarkStart w:id="290" w:name="_Toc76899535"/>
      <w:bookmarkStart w:id="291" w:name="_Toc78090437"/>
      <w:bookmarkStart w:id="292" w:name="_Toc88886805"/>
      <w:bookmarkStart w:id="293" w:name="_Toc90443421"/>
      <w:bookmarkStart w:id="294" w:name="_Toc90452772"/>
      <w:bookmarkStart w:id="295" w:name="_Toc100029363"/>
      <w:bookmarkStart w:id="296" w:name="_Toc100031436"/>
      <w:bookmarkStart w:id="297" w:name="_Toc100458495"/>
      <w:bookmarkStart w:id="298" w:name="_Toc101671911"/>
      <w:bookmarkStart w:id="299" w:name="_Toc101672168"/>
      <w:bookmarkStart w:id="300" w:name="_Toc102799194"/>
      <w:bookmarkStart w:id="301" w:name="_Toc102981868"/>
      <w:bookmarkStart w:id="302" w:name="_Toc103403181"/>
      <w:bookmarkStart w:id="303" w:name="_Toc103403438"/>
      <w:bookmarkStart w:id="304" w:name="_Toc103747437"/>
      <w:bookmarkStart w:id="305" w:name="_Toc107054866"/>
      <w:bookmarkStart w:id="306" w:name="_Toc113874313"/>
      <w:bookmarkStart w:id="307" w:name="_Toc113956729"/>
      <w:bookmarkStart w:id="308" w:name="_Toc116717285"/>
      <w:bookmarkStart w:id="309" w:name="_Toc116813312"/>
      <w:bookmarkStart w:id="310" w:name="_Toc122332964"/>
      <w:bookmarkStart w:id="311" w:name="_Toc122861934"/>
      <w:bookmarkStart w:id="312" w:name="_Toc122862530"/>
      <w:bookmarkStart w:id="313" w:name="_Toc122921137"/>
      <w:bookmarkStart w:id="314" w:name="_Toc122921397"/>
      <w:bookmarkStart w:id="315" w:name="_Toc122947342"/>
      <w:bookmarkStart w:id="316" w:name="_Toc124046178"/>
      <w:bookmarkStart w:id="317" w:name="_Toc125868959"/>
      <w:bookmarkStart w:id="318" w:name="_Toc170192431"/>
      <w:r>
        <w:rPr>
          <w:rStyle w:val="CharPartNo"/>
        </w:rPr>
        <w:t>Part IIIB</w:t>
      </w:r>
      <w:r>
        <w:rPr>
          <w:rStyle w:val="CharDivNo"/>
        </w:rPr>
        <w:t> </w:t>
      </w:r>
      <w:r>
        <w:t>—</w:t>
      </w:r>
      <w:r>
        <w:rPr>
          <w:rStyle w:val="CharDivText"/>
        </w:rPr>
        <w:t> </w:t>
      </w:r>
      <w:r>
        <w:rPr>
          <w:rStyle w:val="CharPartText"/>
        </w:rPr>
        <w:t>Conveyances and transfers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section"/>
      </w:pPr>
      <w:bookmarkStart w:id="319" w:name="_Toc500739918"/>
      <w:bookmarkStart w:id="320" w:name="_Toc520101109"/>
      <w:bookmarkStart w:id="321" w:name="_Toc520533008"/>
      <w:r>
        <w:tab/>
        <w:t>[Heading deleted by No. 2 of 2003 s. 31.]</w:t>
      </w:r>
    </w:p>
    <w:p>
      <w:pPr>
        <w:pStyle w:val="Heading5"/>
        <w:rPr>
          <w:snapToGrid w:val="0"/>
        </w:rPr>
      </w:pPr>
      <w:bookmarkStart w:id="322" w:name="_Toc49223888"/>
      <w:bookmarkStart w:id="323" w:name="_Toc107054867"/>
      <w:bookmarkStart w:id="324" w:name="_Toc125868960"/>
      <w:bookmarkStart w:id="325" w:name="_Toc170192432"/>
      <w:r>
        <w:rPr>
          <w:rStyle w:val="CharSectno"/>
        </w:rPr>
        <w:t>63</w:t>
      </w:r>
      <w:r>
        <w:rPr>
          <w:snapToGrid w:val="0"/>
        </w:rPr>
        <w:t>.</w:t>
      </w:r>
      <w:r>
        <w:rPr>
          <w:snapToGrid w:val="0"/>
        </w:rPr>
        <w:tab/>
        <w:t>Interpretation in Part IIIB</w:t>
      </w:r>
      <w:bookmarkEnd w:id="319"/>
      <w:bookmarkEnd w:id="320"/>
      <w:bookmarkEnd w:id="321"/>
      <w:bookmarkEnd w:id="322"/>
      <w:bookmarkEnd w:id="323"/>
      <w:bookmarkEnd w:id="324"/>
      <w:bookmarkEnd w:id="325"/>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326" w:name="_Toc49223889"/>
      <w:bookmarkStart w:id="327" w:name="_Toc107054868"/>
      <w:bookmarkStart w:id="328" w:name="_Toc125868961"/>
      <w:bookmarkStart w:id="329" w:name="_Toc170192433"/>
      <w:bookmarkStart w:id="330" w:name="_Toc500739919"/>
      <w:bookmarkStart w:id="331" w:name="_Toc520101110"/>
      <w:bookmarkStart w:id="332" w:name="_Toc520533009"/>
      <w:r>
        <w:rPr>
          <w:rStyle w:val="CharSectno"/>
        </w:rPr>
        <w:t>63AA</w:t>
      </w:r>
      <w:r>
        <w:t>.</w:t>
      </w:r>
      <w:r>
        <w:tab/>
        <w:t>Registered unit trust schemes</w:t>
      </w:r>
      <w:bookmarkEnd w:id="326"/>
      <w:bookmarkEnd w:id="327"/>
      <w:bookmarkEnd w:id="328"/>
      <w:bookmarkEnd w:id="329"/>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 xml:space="preserve">For the purposes of subsection (2)(ab) and sections 63AC(2)(ab) and 63AD(8), a unit trust scheme is to be treated as a </w:t>
      </w:r>
      <w:r>
        <w:rPr>
          <w:rStyle w:val="CharDefText"/>
          <w:b w:val="0"/>
        </w:rPr>
        <w:t>sub</w:t>
      </w:r>
      <w:r>
        <w:rPr>
          <w:rStyle w:val="CharDefText"/>
          <w:b w:val="0"/>
        </w:rPr>
        <w:noBreakHyphen/>
        <w:t>trust</w:t>
      </w:r>
      <w:r>
        <w:t xml:space="preserve">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33" w:name="_Toc49223890"/>
      <w:bookmarkStart w:id="334" w:name="_Toc107054869"/>
      <w:bookmarkStart w:id="335" w:name="_Toc125868962"/>
      <w:bookmarkStart w:id="336" w:name="_Toc170192434"/>
      <w:r>
        <w:rPr>
          <w:rStyle w:val="CharSectno"/>
        </w:rPr>
        <w:t>63AB</w:t>
      </w:r>
      <w:r>
        <w:t>.</w:t>
      </w:r>
      <w:r>
        <w:tab/>
        <w:t>Criteria for registration of a unit trust scheme</w:t>
      </w:r>
      <w:bookmarkEnd w:id="333"/>
      <w:bookmarkEnd w:id="334"/>
      <w:bookmarkEnd w:id="335"/>
      <w:bookmarkEnd w:id="336"/>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37" w:name="_Toc49223891"/>
      <w:bookmarkStart w:id="338" w:name="_Toc107054870"/>
      <w:bookmarkStart w:id="339" w:name="_Toc125868963"/>
      <w:bookmarkStart w:id="340" w:name="_Toc170192435"/>
      <w:r>
        <w:rPr>
          <w:rStyle w:val="CharSectno"/>
        </w:rPr>
        <w:t>63AC</w:t>
      </w:r>
      <w:r>
        <w:t>.</w:t>
      </w:r>
      <w:r>
        <w:tab/>
        <w:t>Interim registration</w:t>
      </w:r>
      <w:bookmarkEnd w:id="337"/>
      <w:bookmarkEnd w:id="338"/>
      <w:bookmarkEnd w:id="339"/>
      <w:bookmarkEnd w:id="340"/>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41" w:name="_Toc49223892"/>
      <w:bookmarkStart w:id="342" w:name="_Toc107054871"/>
      <w:bookmarkStart w:id="343" w:name="_Toc125868964"/>
      <w:bookmarkStart w:id="344" w:name="_Toc170192436"/>
      <w:r>
        <w:rPr>
          <w:rStyle w:val="CharSectno"/>
        </w:rPr>
        <w:t>63AD</w:t>
      </w:r>
      <w:r>
        <w:t>.</w:t>
      </w:r>
      <w:r>
        <w:tab/>
        <w:t>Cancellation of registration or interim registration</w:t>
      </w:r>
      <w:bookmarkEnd w:id="341"/>
      <w:bookmarkEnd w:id="342"/>
      <w:bookmarkEnd w:id="343"/>
      <w:bookmarkEnd w:id="344"/>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45" w:name="_Toc107054872"/>
      <w:bookmarkStart w:id="346" w:name="_Toc125868965"/>
      <w:bookmarkStart w:id="347" w:name="_Toc170192437"/>
      <w:bookmarkStart w:id="348" w:name="_Toc49223893"/>
      <w:r>
        <w:rPr>
          <w:rStyle w:val="CharSectno"/>
        </w:rPr>
        <w:t>63ADA</w:t>
      </w:r>
      <w:r>
        <w:t>.</w:t>
      </w:r>
      <w:r>
        <w:tab/>
        <w:t>Registration of private unit trust scheme as provisional public trust</w:t>
      </w:r>
      <w:bookmarkEnd w:id="345"/>
      <w:bookmarkEnd w:id="346"/>
      <w:bookmarkEnd w:id="347"/>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349" w:name="_Toc107054873"/>
      <w:bookmarkStart w:id="350" w:name="_Toc125868966"/>
      <w:bookmarkStart w:id="351" w:name="_Toc170192438"/>
      <w:r>
        <w:rPr>
          <w:rStyle w:val="CharSectno"/>
        </w:rPr>
        <w:t>63ADB</w:t>
      </w:r>
      <w:r>
        <w:t>.</w:t>
      </w:r>
      <w:r>
        <w:tab/>
        <w:t>Cancellation of registration of provisional public trust</w:t>
      </w:r>
      <w:bookmarkEnd w:id="349"/>
      <w:bookmarkEnd w:id="350"/>
      <w:bookmarkEnd w:id="351"/>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52" w:name="_Toc107054874"/>
      <w:bookmarkStart w:id="353" w:name="_Toc125868967"/>
      <w:bookmarkStart w:id="354" w:name="_Toc170192439"/>
      <w:r>
        <w:rPr>
          <w:rStyle w:val="CharSectno"/>
        </w:rPr>
        <w:t>63AE</w:t>
      </w:r>
      <w:r>
        <w:t>.</w:t>
      </w:r>
      <w:r>
        <w:tab/>
        <w:t>Dutiable statement about disqualifying event and subsequent transfers or dispositions</w:t>
      </w:r>
      <w:bookmarkEnd w:id="348"/>
      <w:bookmarkEnd w:id="352"/>
      <w:bookmarkEnd w:id="353"/>
      <w:bookmarkEnd w:id="354"/>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55" w:name="_Toc49223894"/>
      <w:bookmarkStart w:id="356" w:name="_Toc107054875"/>
      <w:bookmarkStart w:id="357" w:name="_Toc125868968"/>
      <w:bookmarkStart w:id="358" w:name="_Toc170192440"/>
      <w:r>
        <w:rPr>
          <w:rStyle w:val="CharSectno"/>
        </w:rPr>
        <w:t>63AF</w:t>
      </w:r>
      <w:r>
        <w:t>.</w:t>
      </w:r>
      <w:r>
        <w:tab/>
        <w:t>Duty chargeable on the dutiable statement</w:t>
      </w:r>
      <w:bookmarkEnd w:id="355"/>
      <w:bookmarkEnd w:id="356"/>
      <w:bookmarkEnd w:id="357"/>
      <w:bookmarkEnd w:id="358"/>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359" w:name="_Toc107054876"/>
      <w:bookmarkStart w:id="360" w:name="_Toc125868969"/>
      <w:bookmarkStart w:id="361" w:name="_Toc170192441"/>
      <w:bookmarkStart w:id="362" w:name="_Toc49223895"/>
      <w:r>
        <w:rPr>
          <w:rStyle w:val="CharSectno"/>
        </w:rPr>
        <w:t>63AG</w:t>
      </w:r>
      <w:r>
        <w:t>.</w:t>
      </w:r>
      <w:r>
        <w:tab/>
        <w:t>When unit trust scheme becomes private unit trust scheme</w:t>
      </w:r>
      <w:bookmarkEnd w:id="359"/>
      <w:bookmarkEnd w:id="360"/>
      <w:bookmarkEnd w:id="361"/>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363" w:name="_Toc107054877"/>
      <w:bookmarkStart w:id="364" w:name="_Toc125868970"/>
      <w:bookmarkStart w:id="365" w:name="_Toc170192442"/>
      <w:r>
        <w:rPr>
          <w:rStyle w:val="CharSectno"/>
        </w:rPr>
        <w:t>63AH</w:t>
      </w:r>
      <w:r>
        <w:t>.</w:t>
      </w:r>
      <w:r>
        <w:tab/>
        <w:t>Liability for duty on aggregated dispositions</w:t>
      </w:r>
      <w:bookmarkEnd w:id="363"/>
      <w:bookmarkEnd w:id="364"/>
      <w:bookmarkEnd w:id="365"/>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66" w:name="_Toc107054878"/>
      <w:bookmarkStart w:id="367" w:name="_Toc125868971"/>
      <w:bookmarkStart w:id="368" w:name="_Toc170192443"/>
      <w:r>
        <w:rPr>
          <w:rStyle w:val="CharSectno"/>
        </w:rPr>
        <w:t>63AI</w:t>
      </w:r>
      <w:r>
        <w:t>.</w:t>
      </w:r>
      <w:r>
        <w:tab/>
        <w:t>Interstate security duty</w:t>
      </w:r>
      <w:bookmarkEnd w:id="366"/>
      <w:bookmarkEnd w:id="367"/>
      <w:bookmarkEnd w:id="368"/>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69" w:name="_Toc107054879"/>
      <w:bookmarkStart w:id="370" w:name="_Toc125868972"/>
      <w:bookmarkStart w:id="371" w:name="_Toc170192444"/>
      <w:r>
        <w:rPr>
          <w:rStyle w:val="CharSectno"/>
        </w:rPr>
        <w:t>63AJ</w:t>
      </w:r>
      <w:r>
        <w:t>.</w:t>
      </w:r>
      <w:r>
        <w:tab/>
        <w:t>Dutiable statement to be lodged</w:t>
      </w:r>
      <w:bookmarkEnd w:id="369"/>
      <w:bookmarkEnd w:id="370"/>
      <w:bookmarkEnd w:id="371"/>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72" w:name="_Toc107054880"/>
      <w:bookmarkStart w:id="373" w:name="_Toc125868973"/>
      <w:bookmarkStart w:id="374" w:name="_Toc170192445"/>
      <w:r>
        <w:rPr>
          <w:rStyle w:val="CharSectno"/>
        </w:rPr>
        <w:t>63A</w:t>
      </w:r>
      <w:r>
        <w:rPr>
          <w:snapToGrid w:val="0"/>
        </w:rPr>
        <w:t>.</w:t>
      </w:r>
      <w:r>
        <w:rPr>
          <w:snapToGrid w:val="0"/>
        </w:rPr>
        <w:tab/>
        <w:t>Duty on certain decrees and orders</w:t>
      </w:r>
      <w:bookmarkEnd w:id="330"/>
      <w:bookmarkEnd w:id="331"/>
      <w:bookmarkEnd w:id="332"/>
      <w:bookmarkEnd w:id="362"/>
      <w:bookmarkEnd w:id="372"/>
      <w:bookmarkEnd w:id="373"/>
      <w:bookmarkEnd w:id="374"/>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375" w:name="_Toc500739920"/>
      <w:bookmarkStart w:id="376" w:name="_Toc520101111"/>
      <w:bookmarkStart w:id="377" w:name="_Toc520533010"/>
      <w:bookmarkStart w:id="378" w:name="_Toc49223896"/>
      <w:bookmarkStart w:id="379" w:name="_Toc107054881"/>
      <w:bookmarkStart w:id="380" w:name="_Toc125868974"/>
      <w:bookmarkStart w:id="381" w:name="_Toc17019244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382" w:name="_Toc500739921"/>
      <w:bookmarkStart w:id="383" w:name="_Toc520101112"/>
      <w:bookmarkStart w:id="384" w:name="_Toc520533011"/>
      <w:bookmarkStart w:id="385" w:name="_Toc49223897"/>
      <w:bookmarkStart w:id="386" w:name="_Toc107054882"/>
      <w:bookmarkStart w:id="387" w:name="_Toc125868975"/>
      <w:bookmarkStart w:id="388" w:name="_Toc17019244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389" w:name="_Toc500739922"/>
      <w:bookmarkStart w:id="390" w:name="_Toc520101113"/>
      <w:bookmarkStart w:id="391" w:name="_Toc520533012"/>
      <w:bookmarkStart w:id="392" w:name="_Toc49223898"/>
      <w:bookmarkStart w:id="393" w:name="_Toc107054883"/>
      <w:bookmarkStart w:id="394" w:name="_Toc125868976"/>
      <w:bookmarkStart w:id="395" w:name="_Toc170192448"/>
      <w:r>
        <w:rPr>
          <w:rStyle w:val="CharSectno"/>
        </w:rPr>
        <w:t>66</w:t>
      </w:r>
      <w:r>
        <w:rPr>
          <w:snapToGrid w:val="0"/>
        </w:rPr>
        <w:t>.</w:t>
      </w:r>
      <w:r>
        <w:rPr>
          <w:snapToGrid w:val="0"/>
        </w:rPr>
        <w:tab/>
        <w:t>How conveyances in consideration of a debt or subject to future payment, etc., to be charged</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396" w:name="_Toc500739923"/>
      <w:bookmarkStart w:id="397" w:name="_Toc520101114"/>
      <w:bookmarkStart w:id="398" w:name="_Toc520533013"/>
      <w:bookmarkStart w:id="399" w:name="_Toc49223899"/>
      <w:bookmarkStart w:id="400" w:name="_Toc107054884"/>
      <w:bookmarkStart w:id="401" w:name="_Toc125868977"/>
      <w:bookmarkStart w:id="402" w:name="_Toc170192449"/>
      <w:r>
        <w:rPr>
          <w:rStyle w:val="CharSectno"/>
        </w:rPr>
        <w:t>67</w:t>
      </w:r>
      <w:r>
        <w:rPr>
          <w:snapToGrid w:val="0"/>
        </w:rPr>
        <w:t>.</w:t>
      </w:r>
      <w:r>
        <w:rPr>
          <w:snapToGrid w:val="0"/>
        </w:rPr>
        <w:tab/>
        <w:t>Duty where conveyance is partly in consideration of improvements made or to be made on property</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403" w:name="_Toc500739924"/>
      <w:bookmarkStart w:id="404" w:name="_Toc520101115"/>
      <w:bookmarkStart w:id="405" w:name="_Toc520533014"/>
      <w:bookmarkStart w:id="406" w:name="_Toc49223900"/>
      <w:bookmarkStart w:id="407" w:name="_Toc107054885"/>
      <w:bookmarkStart w:id="408" w:name="_Toc125868978"/>
      <w:bookmarkStart w:id="409" w:name="_Toc170192450"/>
      <w:r>
        <w:rPr>
          <w:rStyle w:val="CharSectno"/>
        </w:rPr>
        <w:t>69</w:t>
      </w:r>
      <w:r>
        <w:rPr>
          <w:snapToGrid w:val="0"/>
        </w:rPr>
        <w:t>.</w:t>
      </w:r>
      <w:r>
        <w:rPr>
          <w:snapToGrid w:val="0"/>
        </w:rPr>
        <w:tab/>
        <w:t>Conveyance duty in cases where conveyance made at request or by direction of intermediary</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410" w:name="_Toc500739925"/>
      <w:bookmarkStart w:id="411" w:name="_Toc520101116"/>
      <w:bookmarkStart w:id="412" w:name="_Toc520533015"/>
      <w:bookmarkStart w:id="413" w:name="_Toc49223901"/>
      <w:bookmarkStart w:id="414" w:name="_Toc107054886"/>
      <w:bookmarkStart w:id="415" w:name="_Toc125868979"/>
      <w:bookmarkStart w:id="416" w:name="_Toc170192451"/>
      <w:r>
        <w:rPr>
          <w:rStyle w:val="CharSectno"/>
        </w:rPr>
        <w:t>70</w:t>
      </w:r>
      <w:r>
        <w:t>.</w:t>
      </w:r>
      <w:r>
        <w:tab/>
        <w:t>Certain transfers of chattels dutiable</w:t>
      </w:r>
      <w:bookmarkEnd w:id="410"/>
      <w:bookmarkEnd w:id="411"/>
      <w:bookmarkEnd w:id="412"/>
      <w:bookmarkEnd w:id="413"/>
      <w:bookmarkEnd w:id="414"/>
      <w:bookmarkEnd w:id="415"/>
      <w:bookmarkEnd w:id="416"/>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17" w:name="_Toc500739926"/>
      <w:bookmarkStart w:id="418" w:name="_Toc520101117"/>
      <w:bookmarkStart w:id="419" w:name="_Toc520533016"/>
      <w:bookmarkStart w:id="420" w:name="_Toc49223902"/>
      <w:bookmarkStart w:id="421" w:name="_Toc107054887"/>
      <w:bookmarkStart w:id="422" w:name="_Toc125868980"/>
      <w:bookmarkStart w:id="423" w:name="_Toc170192452"/>
      <w:r>
        <w:rPr>
          <w:rStyle w:val="CharSectno"/>
        </w:rPr>
        <w:t>71</w:t>
      </w:r>
      <w:r>
        <w:rPr>
          <w:snapToGrid w:val="0"/>
        </w:rPr>
        <w:t>.</w:t>
      </w:r>
      <w:r>
        <w:rPr>
          <w:snapToGrid w:val="0"/>
        </w:rPr>
        <w:tab/>
      </w:r>
      <w:bookmarkEnd w:id="417"/>
      <w:bookmarkEnd w:id="418"/>
      <w:bookmarkEnd w:id="419"/>
      <w:bookmarkEnd w:id="420"/>
      <w:r>
        <w:rPr>
          <w:snapToGrid w:val="0"/>
        </w:rPr>
        <w:t>Duty charged for 2 or more instruments of conveyance</w:t>
      </w:r>
      <w:bookmarkEnd w:id="421"/>
      <w:bookmarkEnd w:id="422"/>
      <w:bookmarkEnd w:id="423"/>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Footnotesection"/>
      </w:pPr>
      <w:bookmarkStart w:id="424" w:name="_Toc500739927"/>
      <w:bookmarkStart w:id="425" w:name="_Toc520101118"/>
      <w:bookmarkStart w:id="426" w:name="_Toc520533017"/>
      <w:r>
        <w:tab/>
        <w:t>[Heading deleted by No. 2 of 2003 s. 46.]</w:t>
      </w:r>
    </w:p>
    <w:p>
      <w:pPr>
        <w:pStyle w:val="Heading5"/>
        <w:rPr>
          <w:snapToGrid w:val="0"/>
        </w:rPr>
      </w:pPr>
      <w:bookmarkStart w:id="427" w:name="_Toc49223903"/>
      <w:bookmarkStart w:id="428" w:name="_Toc107054888"/>
      <w:bookmarkStart w:id="429" w:name="_Toc125868981"/>
      <w:bookmarkStart w:id="430" w:name="_Toc170192453"/>
      <w:r>
        <w:rPr>
          <w:rStyle w:val="CharSectno"/>
        </w:rPr>
        <w:t>72</w:t>
      </w:r>
      <w:r>
        <w:rPr>
          <w:snapToGrid w:val="0"/>
        </w:rPr>
        <w:t>.</w:t>
      </w:r>
      <w:r>
        <w:rPr>
          <w:snapToGrid w:val="0"/>
        </w:rPr>
        <w:tab/>
        <w:t>Transfer or assignment of mortgages for value</w:t>
      </w:r>
      <w:bookmarkEnd w:id="424"/>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Footnotesection"/>
      </w:pPr>
      <w:bookmarkStart w:id="431" w:name="_Toc500739928"/>
      <w:bookmarkStart w:id="432" w:name="_Toc520101119"/>
      <w:bookmarkStart w:id="433" w:name="_Toc520533018"/>
      <w:r>
        <w:tab/>
        <w:t>[Heading deleted by No. 2 of 2003 s. 48.]</w:t>
      </w:r>
    </w:p>
    <w:p>
      <w:pPr>
        <w:pStyle w:val="Heading5"/>
        <w:rPr>
          <w:snapToGrid w:val="0"/>
        </w:rPr>
      </w:pPr>
      <w:bookmarkStart w:id="434" w:name="_Toc49223904"/>
      <w:bookmarkStart w:id="435" w:name="_Toc107054889"/>
      <w:bookmarkStart w:id="436" w:name="_Toc125868982"/>
      <w:bookmarkStart w:id="437" w:name="_Toc170192454"/>
      <w:r>
        <w:rPr>
          <w:rStyle w:val="CharSectno"/>
        </w:rPr>
        <w:t>73</w:t>
      </w:r>
      <w:r>
        <w:rPr>
          <w:snapToGrid w:val="0"/>
        </w:rPr>
        <w:t>.</w:t>
      </w:r>
      <w:r>
        <w:rPr>
          <w:snapToGrid w:val="0"/>
        </w:rPr>
        <w:tab/>
        <w:t>As to conveyances on any occasion except sale or mortgage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438" w:name="_Toc500739929"/>
      <w:bookmarkStart w:id="439" w:name="_Toc520101120"/>
      <w:bookmarkStart w:id="440" w:name="_Toc520533019"/>
      <w:bookmarkStart w:id="441" w:name="_Toc49223905"/>
      <w:bookmarkStart w:id="442" w:name="_Toc107054890"/>
      <w:bookmarkStart w:id="443" w:name="_Toc125868983"/>
      <w:bookmarkStart w:id="444" w:name="_Toc170192455"/>
      <w:r>
        <w:rPr>
          <w:rStyle w:val="CharSectno"/>
        </w:rPr>
        <w:t>73A</w:t>
      </w:r>
      <w:r>
        <w:rPr>
          <w:snapToGrid w:val="0"/>
        </w:rPr>
        <w:t>.</w:t>
      </w:r>
      <w:r>
        <w:rPr>
          <w:snapToGrid w:val="0"/>
        </w:rPr>
        <w:tab/>
        <w:t>Conveyance subject to an option</w:t>
      </w:r>
      <w:bookmarkEnd w:id="438"/>
      <w:bookmarkEnd w:id="439"/>
      <w:bookmarkEnd w:id="440"/>
      <w:bookmarkEnd w:id="441"/>
      <w:bookmarkEnd w:id="442"/>
      <w:bookmarkEnd w:id="443"/>
      <w:bookmarkEnd w:id="444"/>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445" w:name="_Toc500739930"/>
      <w:bookmarkStart w:id="446" w:name="_Toc520101121"/>
      <w:bookmarkStart w:id="447" w:name="_Toc520533020"/>
      <w:bookmarkStart w:id="448" w:name="_Toc49223906"/>
      <w:bookmarkStart w:id="449" w:name="_Toc107054891"/>
      <w:bookmarkStart w:id="450" w:name="_Toc125868984"/>
      <w:bookmarkStart w:id="451" w:name="_Toc170192456"/>
      <w:r>
        <w:rPr>
          <w:rStyle w:val="CharSectno"/>
        </w:rPr>
        <w:t>73AA</w:t>
      </w:r>
      <w:r>
        <w:rPr>
          <w:snapToGrid w:val="0"/>
        </w:rPr>
        <w:t>.</w:t>
      </w:r>
      <w:r>
        <w:rPr>
          <w:snapToGrid w:val="0"/>
        </w:rPr>
        <w:tab/>
        <w:t>Duty on conveyance not passing a beneficial interest</w:t>
      </w:r>
      <w:bookmarkEnd w:id="445"/>
      <w:bookmarkEnd w:id="446"/>
      <w:bookmarkEnd w:id="447"/>
      <w:bookmarkEnd w:id="448"/>
      <w:bookmarkEnd w:id="449"/>
      <w:bookmarkEnd w:id="450"/>
      <w:bookmarkEnd w:id="451"/>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452" w:name="_Toc107054892"/>
      <w:bookmarkStart w:id="453" w:name="_Toc125868985"/>
      <w:bookmarkStart w:id="454" w:name="_Toc170192457"/>
      <w:bookmarkStart w:id="455" w:name="_Toc500739931"/>
      <w:bookmarkStart w:id="456" w:name="_Toc520101122"/>
      <w:bookmarkStart w:id="457" w:name="_Toc520533021"/>
      <w:bookmarkStart w:id="458" w:name="_Toc49223907"/>
      <w:r>
        <w:rPr>
          <w:rStyle w:val="CharSectno"/>
        </w:rPr>
        <w:t>73AB</w:t>
      </w:r>
      <w:r>
        <w:t>.</w:t>
      </w:r>
      <w:r>
        <w:tab/>
        <w:t>Duty on conveyance to correct error</w:t>
      </w:r>
      <w:bookmarkEnd w:id="452"/>
      <w:bookmarkEnd w:id="453"/>
      <w:bookmarkEnd w:id="454"/>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59" w:name="_Toc107054893"/>
      <w:bookmarkStart w:id="460" w:name="_Toc125868986"/>
      <w:bookmarkStart w:id="461" w:name="_Toc170192458"/>
      <w:r>
        <w:rPr>
          <w:rStyle w:val="CharSectno"/>
        </w:rPr>
        <w:t>73B</w:t>
      </w:r>
      <w:r>
        <w:rPr>
          <w:snapToGrid w:val="0"/>
        </w:rPr>
        <w:t>.</w:t>
      </w:r>
      <w:r>
        <w:rPr>
          <w:snapToGrid w:val="0"/>
        </w:rPr>
        <w:tab/>
        <w:t>Conveyance agreement subject to unilateral determination</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462" w:name="_Toc500739932"/>
      <w:bookmarkStart w:id="463" w:name="_Toc520101123"/>
      <w:bookmarkStart w:id="464" w:name="_Toc520533022"/>
      <w:bookmarkStart w:id="465" w:name="_Toc49223908"/>
      <w:bookmarkStart w:id="466" w:name="_Toc107054894"/>
      <w:bookmarkStart w:id="467" w:name="_Toc125868987"/>
      <w:bookmarkStart w:id="468" w:name="_Toc170192459"/>
      <w:r>
        <w:rPr>
          <w:rStyle w:val="CharSectno"/>
        </w:rPr>
        <w:t>73C</w:t>
      </w:r>
      <w:r>
        <w:rPr>
          <w:snapToGrid w:val="0"/>
        </w:rPr>
        <w:t>.</w:t>
      </w:r>
      <w:r>
        <w:rPr>
          <w:snapToGrid w:val="0"/>
        </w:rPr>
        <w:tab/>
        <w:t>Option to purchase with right to renew</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469" w:name="_Toc500739933"/>
      <w:bookmarkStart w:id="470" w:name="_Toc520101124"/>
      <w:bookmarkStart w:id="471" w:name="_Toc520533023"/>
      <w:bookmarkStart w:id="472" w:name="_Toc49223909"/>
      <w:bookmarkStart w:id="473" w:name="_Toc107054895"/>
      <w:bookmarkStart w:id="474" w:name="_Toc125868988"/>
      <w:bookmarkStart w:id="475" w:name="_Toc170192460"/>
      <w:r>
        <w:rPr>
          <w:rStyle w:val="CharSectno"/>
        </w:rPr>
        <w:t>73D</w:t>
      </w:r>
      <w:r>
        <w:rPr>
          <w:snapToGrid w:val="0"/>
        </w:rPr>
        <w:t>.</w:t>
      </w:r>
      <w:r>
        <w:rPr>
          <w:snapToGrid w:val="0"/>
        </w:rPr>
        <w:tab/>
        <w:t>Disposition of units in unit trust schemes</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476" w:name="_Toc107054896"/>
      <w:bookmarkStart w:id="477" w:name="_Toc125868989"/>
      <w:bookmarkStart w:id="478" w:name="_Toc170192461"/>
      <w:bookmarkStart w:id="479" w:name="_Toc500739934"/>
      <w:bookmarkStart w:id="480" w:name="_Toc520101125"/>
      <w:bookmarkStart w:id="481" w:name="_Toc520533024"/>
      <w:bookmarkStart w:id="482" w:name="_Toc49223910"/>
      <w:r>
        <w:rPr>
          <w:rStyle w:val="CharSectno"/>
        </w:rPr>
        <w:t>73DAA</w:t>
      </w:r>
      <w:r>
        <w:t>.</w:t>
      </w:r>
      <w:r>
        <w:tab/>
        <w:t>Dutiable statement required if transfer or instrument not lodged</w:t>
      </w:r>
      <w:bookmarkEnd w:id="476"/>
      <w:bookmarkEnd w:id="477"/>
      <w:bookmarkEnd w:id="478"/>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483" w:name="_Toc107054897"/>
      <w:bookmarkStart w:id="484" w:name="_Toc125868990"/>
      <w:bookmarkStart w:id="485" w:name="_Toc170192462"/>
      <w:r>
        <w:rPr>
          <w:rStyle w:val="CharSectno"/>
        </w:rPr>
        <w:t>73DA</w:t>
      </w:r>
      <w:r>
        <w:rPr>
          <w:snapToGrid w:val="0"/>
        </w:rPr>
        <w:t>.</w:t>
      </w:r>
      <w:r>
        <w:rPr>
          <w:snapToGrid w:val="0"/>
        </w:rPr>
        <w:tab/>
      </w:r>
      <w:bookmarkEnd w:id="479"/>
      <w:bookmarkEnd w:id="480"/>
      <w:bookmarkEnd w:id="481"/>
      <w:r>
        <w:rPr>
          <w:snapToGrid w:val="0"/>
        </w:rPr>
        <w:t>Holdings of majority interest unit trustee</w:t>
      </w:r>
      <w:bookmarkEnd w:id="482"/>
      <w:bookmarkEnd w:id="483"/>
      <w:bookmarkEnd w:id="484"/>
      <w:bookmarkEnd w:id="485"/>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486" w:name="_Toc107054898"/>
      <w:bookmarkStart w:id="487" w:name="_Toc125868991"/>
      <w:bookmarkStart w:id="488" w:name="_Toc170192463"/>
      <w:bookmarkStart w:id="489" w:name="_Toc500739935"/>
      <w:bookmarkStart w:id="490" w:name="_Toc520101126"/>
      <w:bookmarkStart w:id="491" w:name="_Toc520533025"/>
      <w:bookmarkStart w:id="492" w:name="_Toc49223911"/>
      <w:r>
        <w:rPr>
          <w:rStyle w:val="CharSectno"/>
        </w:rPr>
        <w:t>73DB</w:t>
      </w:r>
      <w:r>
        <w:t>.</w:t>
      </w:r>
      <w:r>
        <w:tab/>
        <w:t>Interpretation for sections 73DC, 73DD and 73DE</w:t>
      </w:r>
      <w:bookmarkEnd w:id="486"/>
      <w:bookmarkEnd w:id="487"/>
      <w:bookmarkEnd w:id="488"/>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493" w:name="_Toc107054899"/>
      <w:bookmarkStart w:id="494" w:name="_Toc125868992"/>
      <w:bookmarkStart w:id="495" w:name="_Toc170192464"/>
      <w:r>
        <w:rPr>
          <w:rStyle w:val="CharSectno"/>
        </w:rPr>
        <w:t>73DC</w:t>
      </w:r>
      <w:r>
        <w:t>.</w:t>
      </w:r>
      <w:r>
        <w:tab/>
        <w:t>Acquisition of majority interest or further interest in pooled investment trust</w:t>
      </w:r>
      <w:bookmarkEnd w:id="493"/>
      <w:bookmarkEnd w:id="494"/>
      <w:bookmarkEnd w:id="495"/>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496" w:name="_Toc107054900"/>
      <w:bookmarkStart w:id="497" w:name="_Toc125868993"/>
      <w:bookmarkStart w:id="498" w:name="_Toc170192465"/>
      <w:r>
        <w:rPr>
          <w:rStyle w:val="CharSectno"/>
        </w:rPr>
        <w:t>73DD</w:t>
      </w:r>
      <w:r>
        <w:t>.</w:t>
      </w:r>
      <w:r>
        <w:tab/>
        <w:t>Meaning of majority interest and further interest</w:t>
      </w:r>
      <w:bookmarkEnd w:id="496"/>
      <w:bookmarkEnd w:id="497"/>
      <w:bookmarkEnd w:id="498"/>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499" w:name="_Toc107054901"/>
      <w:bookmarkStart w:id="500" w:name="_Toc125868994"/>
      <w:bookmarkStart w:id="501" w:name="_Toc170192466"/>
      <w:r>
        <w:rPr>
          <w:rStyle w:val="CharSectno"/>
        </w:rPr>
        <w:t>73DE</w:t>
      </w:r>
      <w:r>
        <w:t>.</w:t>
      </w:r>
      <w:r>
        <w:tab/>
        <w:t>Dutiable statement to be lodged</w:t>
      </w:r>
      <w:bookmarkEnd w:id="499"/>
      <w:bookmarkEnd w:id="500"/>
      <w:bookmarkEnd w:id="50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02" w:name="_Toc107054902"/>
      <w:bookmarkStart w:id="503" w:name="_Toc125868995"/>
      <w:bookmarkStart w:id="504" w:name="_Toc170192467"/>
      <w:r>
        <w:rPr>
          <w:rStyle w:val="CharSectno"/>
        </w:rPr>
        <w:t>73E</w:t>
      </w:r>
      <w:r>
        <w:rPr>
          <w:snapToGrid w:val="0"/>
        </w:rPr>
        <w:t>.</w:t>
      </w:r>
      <w:r>
        <w:rPr>
          <w:snapToGrid w:val="0"/>
        </w:rPr>
        <w:tab/>
        <w:t>Disposition of shares in discretionary trustee companies</w:t>
      </w:r>
      <w:bookmarkEnd w:id="489"/>
      <w:bookmarkEnd w:id="490"/>
      <w:bookmarkEnd w:id="491"/>
      <w:bookmarkEnd w:id="492"/>
      <w:bookmarkEnd w:id="502"/>
      <w:bookmarkEnd w:id="503"/>
      <w:bookmarkEnd w:id="504"/>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505" w:name="_Toc500739936"/>
      <w:bookmarkStart w:id="506" w:name="_Toc520101127"/>
      <w:bookmarkStart w:id="507" w:name="_Toc520533026"/>
      <w:bookmarkStart w:id="508" w:name="_Toc49223912"/>
      <w:bookmarkStart w:id="509" w:name="_Toc107054903"/>
      <w:bookmarkStart w:id="510" w:name="_Toc125868996"/>
      <w:bookmarkStart w:id="511" w:name="_Toc170192468"/>
      <w:r>
        <w:rPr>
          <w:rStyle w:val="CharSectno"/>
        </w:rPr>
        <w:t>73F</w:t>
      </w:r>
      <w:r>
        <w:rPr>
          <w:snapToGrid w:val="0"/>
        </w:rPr>
        <w:t>.</w:t>
      </w:r>
      <w:r>
        <w:rPr>
          <w:snapToGrid w:val="0"/>
        </w:rPr>
        <w:tab/>
        <w:t>Acquisition of a licence to carry on a business activity</w:t>
      </w:r>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512" w:name="_Toc107054904"/>
      <w:bookmarkStart w:id="513" w:name="_Toc125868997"/>
      <w:bookmarkStart w:id="514" w:name="_Toc170192469"/>
      <w:bookmarkStart w:id="515" w:name="_Toc500739937"/>
      <w:bookmarkStart w:id="516" w:name="_Toc520101128"/>
      <w:bookmarkStart w:id="517" w:name="_Toc520533027"/>
      <w:bookmarkStart w:id="518" w:name="_Toc49223913"/>
      <w:r>
        <w:rPr>
          <w:rStyle w:val="CharSectno"/>
        </w:rPr>
        <w:t>73G</w:t>
      </w:r>
      <w:r>
        <w:t>.</w:t>
      </w:r>
      <w:r>
        <w:tab/>
        <w:t>Farm</w:t>
      </w:r>
      <w:r>
        <w:noBreakHyphen/>
        <w:t>in agreements relating to mining tenements</w:t>
      </w:r>
      <w:bookmarkEnd w:id="512"/>
      <w:bookmarkEnd w:id="513"/>
      <w:bookmarkEnd w:id="514"/>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19" w:name="_Toc107054905"/>
      <w:bookmarkStart w:id="520" w:name="_Toc125868998"/>
      <w:bookmarkStart w:id="521" w:name="_Toc170192470"/>
      <w:r>
        <w:rPr>
          <w:rStyle w:val="CharSectno"/>
        </w:rPr>
        <w:t>74</w:t>
      </w:r>
      <w:r>
        <w:rPr>
          <w:snapToGrid w:val="0"/>
        </w:rPr>
        <w:t>.</w:t>
      </w:r>
      <w:r>
        <w:rPr>
          <w:snapToGrid w:val="0"/>
        </w:rPr>
        <w:tab/>
        <w:t>Certain contracts to be chargeable as conveyances on sale</w:t>
      </w:r>
      <w:bookmarkEnd w:id="515"/>
      <w:bookmarkEnd w:id="516"/>
      <w:bookmarkEnd w:id="517"/>
      <w:bookmarkEnd w:id="518"/>
      <w:bookmarkEnd w:id="519"/>
      <w:bookmarkEnd w:id="520"/>
      <w:bookmarkEnd w:id="521"/>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522" w:name="_Toc500739938"/>
      <w:bookmarkStart w:id="523" w:name="_Toc520101129"/>
      <w:bookmarkStart w:id="524" w:name="_Toc520533028"/>
      <w:bookmarkStart w:id="525" w:name="_Toc49223914"/>
      <w:bookmarkStart w:id="526" w:name="_Toc107054906"/>
      <w:bookmarkStart w:id="527" w:name="_Toc125868999"/>
      <w:bookmarkStart w:id="528" w:name="_Toc170192471"/>
      <w:r>
        <w:rPr>
          <w:rStyle w:val="CharSectno"/>
        </w:rPr>
        <w:t>74A</w:t>
      </w:r>
      <w:r>
        <w:rPr>
          <w:snapToGrid w:val="0"/>
        </w:rPr>
        <w:t>.</w:t>
      </w:r>
      <w:r>
        <w:rPr>
          <w:snapToGrid w:val="0"/>
        </w:rPr>
        <w:tab/>
        <w:t>Duty chargeable on certain conveyances of corporation property</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Subsection"/>
        <w:spacing w:before="120"/>
      </w:pPr>
      <w:r>
        <w:tab/>
      </w:r>
      <w:r>
        <w:tab/>
      </w:r>
      <w:r>
        <w:rPr>
          <w:position w:val="-22"/>
          <w:sz w:val="20"/>
        </w:rPr>
        <w:object w:dxaOrig="17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29.25pt" o:ole="" fillcolor="window">
            <v:imagedata r:id="rId19" o:title=""/>
          </v:shape>
          <o:OLEObject Type="Embed" ProgID="Equation.3" ShapeID="_x0000_i1025" DrawAspect="Content" ObjectID="_1643742801"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529" w:name="_Toc107054907"/>
      <w:bookmarkStart w:id="530" w:name="_Toc125869000"/>
      <w:bookmarkStart w:id="531" w:name="_Toc170192472"/>
      <w:bookmarkStart w:id="532" w:name="_Toc500739939"/>
      <w:bookmarkStart w:id="533" w:name="_Toc520101130"/>
      <w:bookmarkStart w:id="534" w:name="_Toc520533029"/>
      <w:bookmarkStart w:id="535" w:name="_Toc49223915"/>
      <w:r>
        <w:rPr>
          <w:rStyle w:val="CharSectno"/>
        </w:rPr>
        <w:t>74B</w:t>
      </w:r>
      <w:r>
        <w:t>.</w:t>
      </w:r>
      <w:r>
        <w:tab/>
        <w:t>Transactions involving a call option and a put option</w:t>
      </w:r>
      <w:bookmarkEnd w:id="529"/>
      <w:bookmarkEnd w:id="530"/>
      <w:bookmarkEnd w:id="531"/>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36" w:name="_Toc107054908"/>
      <w:bookmarkStart w:id="537" w:name="_Toc125869001"/>
      <w:bookmarkStart w:id="538" w:name="_Toc170192473"/>
      <w:r>
        <w:rPr>
          <w:rStyle w:val="CharSectno"/>
        </w:rPr>
        <w:t>74C</w:t>
      </w:r>
      <w:r>
        <w:t>.</w:t>
      </w:r>
      <w:r>
        <w:tab/>
        <w:t>Acquisition of certain business assets</w:t>
      </w:r>
      <w:bookmarkEnd w:id="536"/>
      <w:bookmarkEnd w:id="537"/>
      <w:bookmarkEnd w:id="538"/>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rPr>
          <w:rStyle w:val="MessageHeaderLabel"/>
          <w:b w:val="0"/>
        </w:rPr>
        <w:tab/>
      </w:r>
      <w:r>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object w:dxaOrig="1960" w:dyaOrig="580">
          <v:shape id="_x0000_i1026" type="#_x0000_t75" style="width:98.25pt;height:29.25pt" o:ole="" fillcolor="window">
            <v:imagedata r:id="rId21" o:title=""/>
          </v:shape>
          <o:OLEObject Type="Embed" ProgID="Equation.3" ShapeID="_x0000_i1026" DrawAspect="Content" ObjectID="_1643742802" r:id="rId22"/>
        </w:obje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object w:dxaOrig="1640" w:dyaOrig="580">
          <v:shape id="_x0000_i1027" type="#_x0000_t75" style="width:81.75pt;height:29.25pt" o:ole="">
            <v:imagedata r:id="rId23" o:title=""/>
          </v:shape>
          <o:OLEObject Type="Embed" ProgID="Equation.3" ShapeID="_x0000_i1027" DrawAspect="Content" ObjectID="_1643742803" r:id="rId24"/>
        </w:obje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39" w:name="_Toc107054909"/>
      <w:bookmarkStart w:id="540" w:name="_Toc125869002"/>
      <w:bookmarkStart w:id="541" w:name="_Toc170192474"/>
      <w:r>
        <w:rPr>
          <w:rStyle w:val="CharSectno"/>
        </w:rPr>
        <w:t>75</w:t>
      </w:r>
      <w:r>
        <w:rPr>
          <w:snapToGrid w:val="0"/>
        </w:rPr>
        <w:t>.</w:t>
      </w:r>
      <w:r>
        <w:rPr>
          <w:snapToGrid w:val="0"/>
        </w:rPr>
        <w:tab/>
        <w:t>Duty chargeable on conveyance for less than full consideration</w:t>
      </w:r>
      <w:bookmarkEnd w:id="532"/>
      <w:bookmarkEnd w:id="533"/>
      <w:bookmarkEnd w:id="534"/>
      <w:bookmarkEnd w:id="535"/>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542" w:name="_Toc49223916"/>
      <w:bookmarkStart w:id="543" w:name="_Toc107054910"/>
      <w:bookmarkStart w:id="544" w:name="_Toc125869003"/>
      <w:bookmarkStart w:id="545" w:name="_Toc170192475"/>
      <w:bookmarkStart w:id="546" w:name="_Toc500739941"/>
      <w:bookmarkStart w:id="547" w:name="_Toc520101132"/>
      <w:bookmarkStart w:id="548" w:name="_Toc520533031"/>
      <w:r>
        <w:rPr>
          <w:rStyle w:val="CharSectno"/>
        </w:rPr>
        <w:t>75A</w:t>
      </w:r>
      <w:r>
        <w:t>.</w:t>
      </w:r>
      <w:r>
        <w:tab/>
        <w:t>Power to exempt instruments made for charitable or similar purposes</w:t>
      </w:r>
      <w:bookmarkEnd w:id="542"/>
      <w:bookmarkEnd w:id="543"/>
      <w:bookmarkEnd w:id="544"/>
      <w:bookmarkEnd w:id="545"/>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549" w:name="_Toc500739942"/>
      <w:bookmarkStart w:id="550" w:name="_Toc520101133"/>
      <w:bookmarkStart w:id="551" w:name="_Toc520533032"/>
      <w:bookmarkEnd w:id="546"/>
      <w:bookmarkEnd w:id="547"/>
      <w:bookmarkEnd w:id="548"/>
      <w:r>
        <w:t>[</w:t>
      </w:r>
      <w:r>
        <w:rPr>
          <w:b/>
        </w:rPr>
        <w:t>75AA.</w:t>
      </w:r>
      <w:r>
        <w:tab/>
        <w:t xml:space="preserve">Repealed by No. 2 of 2003 s. 61.] </w:t>
      </w:r>
    </w:p>
    <w:p>
      <w:pPr>
        <w:pStyle w:val="Heading5"/>
        <w:rPr>
          <w:snapToGrid w:val="0"/>
        </w:rPr>
      </w:pPr>
      <w:bookmarkStart w:id="552" w:name="_Toc49223917"/>
      <w:bookmarkStart w:id="553" w:name="_Toc107054911"/>
      <w:bookmarkStart w:id="554" w:name="_Toc125869004"/>
      <w:bookmarkStart w:id="555" w:name="_Toc170192476"/>
      <w:r>
        <w:rPr>
          <w:rStyle w:val="CharSectno"/>
        </w:rPr>
        <w:t>75AB</w:t>
      </w:r>
      <w:r>
        <w:rPr>
          <w:snapToGrid w:val="0"/>
        </w:rPr>
        <w:t>.</w:t>
      </w:r>
      <w:r>
        <w:rPr>
          <w:snapToGrid w:val="0"/>
        </w:rPr>
        <w:tab/>
        <w:t>Power to exempt instruments made in respect of certain funds or schemes</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556" w:name="_Toc500739943"/>
      <w:bookmarkStart w:id="557" w:name="_Toc520101134"/>
      <w:bookmarkStart w:id="558" w:name="_Toc520533033"/>
      <w:bookmarkStart w:id="559" w:name="_Toc49223918"/>
      <w:bookmarkStart w:id="560" w:name="_Toc107054912"/>
      <w:bookmarkStart w:id="561" w:name="_Toc125869005"/>
      <w:bookmarkStart w:id="562" w:name="_Toc170192477"/>
      <w:r>
        <w:rPr>
          <w:rStyle w:val="CharSectno"/>
        </w:rPr>
        <w:t>75ABA</w:t>
      </w:r>
      <w:r>
        <w:t>.</w:t>
      </w:r>
      <w:r>
        <w:tab/>
        <w:t xml:space="preserve">Power to exempt transfers by bankruptcy trustee to </w:t>
      </w:r>
      <w:bookmarkEnd w:id="556"/>
      <w:bookmarkEnd w:id="557"/>
      <w:bookmarkEnd w:id="558"/>
      <w:bookmarkEnd w:id="559"/>
      <w:r>
        <w:t>bankrupt</w:t>
      </w:r>
      <w:bookmarkEnd w:id="560"/>
      <w:bookmarkEnd w:id="561"/>
      <w:bookmarkEnd w:id="562"/>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63" w:name="_Toc500739944"/>
      <w:bookmarkStart w:id="564" w:name="_Toc520101135"/>
      <w:bookmarkStart w:id="565" w:name="_Toc520533034"/>
      <w:bookmarkStart w:id="566" w:name="_Toc49223919"/>
      <w:bookmarkStart w:id="567" w:name="_Toc107054913"/>
      <w:bookmarkStart w:id="568" w:name="_Toc125869006"/>
      <w:bookmarkStart w:id="569" w:name="_Toc170192478"/>
      <w:r>
        <w:rPr>
          <w:rStyle w:val="CharSectno"/>
        </w:rPr>
        <w:t>75AC</w:t>
      </w:r>
      <w:r>
        <w:rPr>
          <w:snapToGrid w:val="0"/>
        </w:rPr>
        <w:t>.</w:t>
      </w:r>
      <w:r>
        <w:rPr>
          <w:snapToGrid w:val="0"/>
        </w:rPr>
        <w:tab/>
        <w:t>Exchange of property</w:t>
      </w:r>
      <w:bookmarkEnd w:id="563"/>
      <w:bookmarkEnd w:id="564"/>
      <w:bookmarkEnd w:id="565"/>
      <w:bookmarkEnd w:id="566"/>
      <w:bookmarkEnd w:id="567"/>
      <w:bookmarkEnd w:id="568"/>
      <w:bookmarkEnd w:id="569"/>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570" w:name="_Toc500739945"/>
      <w:bookmarkStart w:id="571" w:name="_Toc520101136"/>
      <w:bookmarkStart w:id="572" w:name="_Toc520533035"/>
      <w:bookmarkStart w:id="573" w:name="_Toc49223920"/>
      <w:bookmarkStart w:id="574" w:name="_Toc107054914"/>
      <w:bookmarkStart w:id="575" w:name="_Toc125869007"/>
      <w:bookmarkStart w:id="576" w:name="_Toc170192479"/>
      <w:r>
        <w:rPr>
          <w:rStyle w:val="CharSectno"/>
        </w:rPr>
        <w:t>75AD</w:t>
      </w:r>
      <w:r>
        <w:rPr>
          <w:snapToGrid w:val="0"/>
        </w:rPr>
        <w:t>.</w:t>
      </w:r>
      <w:r>
        <w:rPr>
          <w:snapToGrid w:val="0"/>
        </w:rPr>
        <w:tab/>
        <w:t>Duty chargeable on partition of property</w:t>
      </w:r>
      <w:bookmarkEnd w:id="570"/>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577" w:name="_Toc49223921"/>
      <w:bookmarkStart w:id="578" w:name="_Toc107054915"/>
      <w:bookmarkStart w:id="579" w:name="_Toc125869008"/>
      <w:bookmarkStart w:id="580" w:name="_Toc170192480"/>
      <w:bookmarkStart w:id="581" w:name="_Toc500739947"/>
      <w:bookmarkStart w:id="582" w:name="_Toc520101138"/>
      <w:bookmarkStart w:id="583" w:name="_Toc520533037"/>
      <w:r>
        <w:rPr>
          <w:rStyle w:val="CharSectno"/>
        </w:rPr>
        <w:t>75AE</w:t>
      </w:r>
      <w:r>
        <w:t>.</w:t>
      </w:r>
      <w:r>
        <w:tab/>
        <w:t>Concessional rates for certain residential or business property</w:t>
      </w:r>
      <w:bookmarkEnd w:id="577"/>
      <w:bookmarkEnd w:id="578"/>
      <w:bookmarkEnd w:id="579"/>
      <w:bookmarkEnd w:id="580"/>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584" w:name="_Toc49223922"/>
      <w:bookmarkStart w:id="585" w:name="_Toc107054916"/>
      <w:bookmarkStart w:id="586" w:name="_Toc125869009"/>
      <w:bookmarkStart w:id="587" w:name="_Toc170192481"/>
      <w:r>
        <w:rPr>
          <w:rStyle w:val="CharSectno"/>
        </w:rPr>
        <w:t>75AF</w:t>
      </w:r>
      <w:r>
        <w:rPr>
          <w:snapToGrid w:val="0"/>
        </w:rPr>
        <w:t>.</w:t>
      </w:r>
      <w:r>
        <w:rPr>
          <w:snapToGrid w:val="0"/>
        </w:rPr>
        <w:tab/>
        <w:t>Computation of duty for 2 or more instruments</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588" w:name="_Toc107054917"/>
      <w:bookmarkStart w:id="589" w:name="_Toc125869010"/>
      <w:bookmarkStart w:id="590" w:name="_Toc170192482"/>
      <w:r>
        <w:rPr>
          <w:rStyle w:val="CharSectno"/>
        </w:rPr>
        <w:t>75AG</w:t>
      </w:r>
      <w:r>
        <w:t>.</w:t>
      </w:r>
      <w:r>
        <w:tab/>
        <w:t>Reduction of duty or refund for first home owner</w:t>
      </w:r>
      <w:bookmarkEnd w:id="588"/>
      <w:bookmarkEnd w:id="589"/>
      <w:bookmarkEnd w:id="590"/>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591" w:name="_Toc500739949"/>
      <w:bookmarkStart w:id="592" w:name="_Toc520101140"/>
      <w:bookmarkStart w:id="593" w:name="_Toc520533039"/>
      <w:bookmarkStart w:id="594" w:name="_Toc49223924"/>
      <w:bookmarkStart w:id="595" w:name="_Toc107054918"/>
      <w:bookmarkStart w:id="596" w:name="_Toc125869011"/>
      <w:bookmarkStart w:id="597" w:name="_Toc170192483"/>
      <w:r>
        <w:rPr>
          <w:rStyle w:val="CharSectno"/>
        </w:rPr>
        <w:t>75C</w:t>
      </w:r>
      <w:r>
        <w:rPr>
          <w:snapToGrid w:val="0"/>
        </w:rPr>
        <w:t>.</w:t>
      </w:r>
      <w:r>
        <w:rPr>
          <w:snapToGrid w:val="0"/>
        </w:rPr>
        <w:tab/>
        <w:t>Power to exempt for certain conveyances between spouses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598" w:name="_Toc107054919"/>
      <w:bookmarkStart w:id="599" w:name="_Toc125869012"/>
      <w:bookmarkStart w:id="600" w:name="_Toc170192484"/>
      <w:r>
        <w:rPr>
          <w:rStyle w:val="CharSectno"/>
        </w:rPr>
        <w:t>75CA</w:t>
      </w:r>
      <w:r>
        <w:t>.</w:t>
      </w:r>
      <w:r>
        <w:tab/>
        <w:t>Refund where contingent consideration is not paid</w:t>
      </w:r>
      <w:bookmarkEnd w:id="598"/>
      <w:bookmarkEnd w:id="599"/>
      <w:bookmarkEnd w:id="600"/>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601" w:name="_Toc58902576"/>
      <w:bookmarkStart w:id="602" w:name="_Toc76899589"/>
      <w:bookmarkStart w:id="603" w:name="_Toc78090491"/>
      <w:bookmarkStart w:id="604" w:name="_Toc88886859"/>
      <w:bookmarkStart w:id="605" w:name="_Toc90443475"/>
      <w:bookmarkStart w:id="606" w:name="_Toc90452826"/>
      <w:bookmarkStart w:id="607" w:name="_Toc100029417"/>
      <w:bookmarkStart w:id="608" w:name="_Toc100031490"/>
      <w:bookmarkStart w:id="609" w:name="_Toc100458549"/>
      <w:bookmarkStart w:id="610" w:name="_Toc101671965"/>
      <w:bookmarkStart w:id="611" w:name="_Toc101672222"/>
      <w:bookmarkStart w:id="612" w:name="_Toc102799248"/>
      <w:bookmarkStart w:id="613" w:name="_Toc102981922"/>
      <w:bookmarkStart w:id="614" w:name="_Toc103403235"/>
      <w:bookmarkStart w:id="615" w:name="_Toc103403492"/>
      <w:bookmarkStart w:id="616" w:name="_Toc103747491"/>
      <w:bookmarkStart w:id="617" w:name="_Toc107054920"/>
      <w:bookmarkStart w:id="618" w:name="_Toc113874367"/>
      <w:bookmarkStart w:id="619" w:name="_Toc113956783"/>
      <w:bookmarkStart w:id="620" w:name="_Toc116717339"/>
      <w:bookmarkStart w:id="621" w:name="_Toc116813366"/>
      <w:bookmarkStart w:id="622" w:name="_Toc122333018"/>
      <w:bookmarkStart w:id="623" w:name="_Toc122861988"/>
      <w:bookmarkStart w:id="624" w:name="_Toc122862584"/>
      <w:bookmarkStart w:id="625" w:name="_Toc122921191"/>
      <w:bookmarkStart w:id="626" w:name="_Toc122921451"/>
      <w:bookmarkStart w:id="627" w:name="_Toc122947396"/>
      <w:bookmarkStart w:id="628" w:name="_Toc124046232"/>
      <w:bookmarkStart w:id="629" w:name="_Toc125869013"/>
      <w:bookmarkStart w:id="630" w:name="_Toc170192485"/>
      <w:r>
        <w:rPr>
          <w:rStyle w:val="CharPartNo"/>
        </w:rPr>
        <w:t>Part IIIBAA</w:t>
      </w:r>
      <w:r>
        <w:rPr>
          <w:rStyle w:val="CharDivNo"/>
        </w:rPr>
        <w:t> </w:t>
      </w:r>
      <w:r>
        <w:t>—</w:t>
      </w:r>
      <w:r>
        <w:rPr>
          <w:rStyle w:val="CharDivText"/>
        </w:rPr>
        <w:t> </w:t>
      </w:r>
      <w:r>
        <w:rPr>
          <w:rStyle w:val="CharPartText"/>
        </w:rPr>
        <w:t>Certain transfers of farming property</w:t>
      </w:r>
      <w:r>
        <w:t> </w:t>
      </w:r>
      <w:bookmarkEnd w:id="601"/>
      <w:bookmarkEnd w:id="602"/>
      <w:bookmarkEnd w:id="603"/>
      <w:bookmarkEnd w:id="604"/>
      <w:bookmarkEnd w:id="605"/>
      <w:bookmarkEnd w:id="606"/>
      <w:bookmarkEnd w:id="607"/>
      <w:bookmarkEnd w:id="608"/>
      <w:r>
        <w:rPr>
          <w:b w:val="0"/>
          <w:vertAlign w:val="superscript"/>
        </w:rPr>
        <w:t>5</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631" w:name="_Toc500739950"/>
      <w:bookmarkStart w:id="632" w:name="_Toc520101141"/>
      <w:bookmarkStart w:id="633" w:name="_Toc520533040"/>
      <w:bookmarkStart w:id="634" w:name="_Toc49223925"/>
      <w:bookmarkStart w:id="635" w:name="_Toc107054921"/>
      <w:bookmarkStart w:id="636" w:name="_Toc125869014"/>
      <w:bookmarkStart w:id="637" w:name="_Toc170192486"/>
      <w:r>
        <w:rPr>
          <w:rStyle w:val="CharSectno"/>
        </w:rPr>
        <w:t>75D</w:t>
      </w:r>
      <w:r>
        <w:rPr>
          <w:snapToGrid w:val="0"/>
        </w:rPr>
        <w:t>.</w:t>
      </w:r>
      <w:r>
        <w:rPr>
          <w:snapToGrid w:val="0"/>
        </w:rPr>
        <w:tab/>
        <w:t>Interpretation</w:t>
      </w:r>
      <w:bookmarkEnd w:id="631"/>
      <w:bookmarkEnd w:id="632"/>
      <w:bookmarkEnd w:id="633"/>
      <w:bookmarkEnd w:id="634"/>
      <w:r>
        <w:rPr>
          <w:snapToGrid w:val="0"/>
        </w:rPr>
        <w:t xml:space="preserve"> in Part IIIBAA</w:t>
      </w:r>
      <w:bookmarkEnd w:id="635"/>
      <w:bookmarkEnd w:id="636"/>
      <w:bookmarkEnd w:id="637"/>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638" w:name="_Toc500739951"/>
      <w:bookmarkStart w:id="639" w:name="_Toc520101142"/>
      <w:bookmarkStart w:id="640" w:name="_Toc520533041"/>
      <w:bookmarkStart w:id="641" w:name="_Toc49223926"/>
      <w:bookmarkStart w:id="642" w:name="_Toc107054922"/>
      <w:bookmarkStart w:id="643" w:name="_Toc125869015"/>
      <w:bookmarkStart w:id="644" w:name="_Toc170192487"/>
      <w:r>
        <w:rPr>
          <w:rStyle w:val="CharSectno"/>
        </w:rPr>
        <w:t>75E</w:t>
      </w:r>
      <w:r>
        <w:rPr>
          <w:snapToGrid w:val="0"/>
        </w:rPr>
        <w:t>.</w:t>
      </w:r>
      <w:r>
        <w:rPr>
          <w:snapToGrid w:val="0"/>
        </w:rPr>
        <w:tab/>
        <w:t>Application of this Part</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645" w:name="_Toc49223927"/>
      <w:bookmarkStart w:id="646" w:name="_Toc107054923"/>
      <w:bookmarkStart w:id="647" w:name="_Toc125869016"/>
      <w:bookmarkStart w:id="648" w:name="_Toc170192488"/>
      <w:bookmarkStart w:id="649" w:name="_Toc500739953"/>
      <w:bookmarkStart w:id="650" w:name="_Toc520101144"/>
      <w:bookmarkStart w:id="651" w:name="_Toc520533043"/>
      <w:r>
        <w:rPr>
          <w:rStyle w:val="CharSectno"/>
        </w:rPr>
        <w:t>75F</w:t>
      </w:r>
      <w:r>
        <w:t>.</w:t>
      </w:r>
      <w:r>
        <w:tab/>
        <w:t>Power to exempt for farming property</w:t>
      </w:r>
      <w:bookmarkEnd w:id="645"/>
      <w:bookmarkEnd w:id="646"/>
      <w:bookmarkEnd w:id="647"/>
      <w:bookmarkEnd w:id="64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652" w:name="_Toc49223928"/>
      <w:bookmarkStart w:id="653" w:name="_Toc107054924"/>
      <w:bookmarkStart w:id="654" w:name="_Toc125869017"/>
      <w:bookmarkStart w:id="655" w:name="_Toc170192489"/>
      <w:r>
        <w:rPr>
          <w:rStyle w:val="CharSectno"/>
        </w:rPr>
        <w:t>75G</w:t>
      </w:r>
      <w:r>
        <w:rPr>
          <w:snapToGrid w:val="0"/>
        </w:rPr>
        <w:t>.</w:t>
      </w:r>
      <w:r>
        <w:rPr>
          <w:snapToGrid w:val="0"/>
        </w:rPr>
        <w:tab/>
        <w:t>Partial exemption of duty</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object w:dxaOrig="1440" w:dyaOrig="580">
          <v:shape id="_x0000_i1028" type="#_x0000_t75" style="width:1in;height:29.25pt" o:ole="" fillcolor="window">
            <v:imagedata r:id="rId25" o:title=""/>
          </v:shape>
          <o:OLEObject Type="Embed" ProgID="Equation.3" ShapeID="_x0000_i1028" DrawAspect="Content" ObjectID="_1643742804" r:id="rId26"/>
        </w:obje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656" w:name="_Toc49223929"/>
      <w:bookmarkStart w:id="657" w:name="_Toc107054925"/>
      <w:bookmarkStart w:id="658" w:name="_Toc125869018"/>
      <w:bookmarkStart w:id="659" w:name="_Toc170192490"/>
      <w:bookmarkStart w:id="660" w:name="_Toc500739955"/>
      <w:bookmarkStart w:id="661" w:name="_Toc520101146"/>
      <w:bookmarkStart w:id="662" w:name="_Toc520533045"/>
      <w:r>
        <w:rPr>
          <w:rStyle w:val="CharSectno"/>
        </w:rPr>
        <w:t>75H</w:t>
      </w:r>
      <w:r>
        <w:t>.</w:t>
      </w:r>
      <w:r>
        <w:tab/>
        <w:t>Application for exemption</w:t>
      </w:r>
      <w:bookmarkEnd w:id="656"/>
      <w:bookmarkEnd w:id="657"/>
      <w:bookmarkEnd w:id="658"/>
      <w:bookmarkEnd w:id="65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63" w:name="_Toc49223930"/>
      <w:bookmarkStart w:id="664" w:name="_Toc107054926"/>
      <w:bookmarkStart w:id="665" w:name="_Toc125869019"/>
      <w:bookmarkStart w:id="666" w:name="_Toc170192491"/>
      <w:r>
        <w:rPr>
          <w:rStyle w:val="CharSectno"/>
        </w:rPr>
        <w:t>75HA</w:t>
      </w:r>
      <w:r>
        <w:rPr>
          <w:snapToGrid w:val="0"/>
        </w:rPr>
        <w:t>.</w:t>
      </w:r>
      <w:r>
        <w:rPr>
          <w:snapToGrid w:val="0"/>
        </w:rPr>
        <w:tab/>
        <w:t>Subsequent liability for duty in certain circumstances</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667" w:name="_Toc49223931"/>
      <w:bookmarkStart w:id="668" w:name="_Toc107054927"/>
      <w:bookmarkStart w:id="669" w:name="_Toc125869020"/>
      <w:bookmarkStart w:id="670" w:name="_Toc170192492"/>
      <w:r>
        <w:rPr>
          <w:rStyle w:val="CharSectno"/>
        </w:rPr>
        <w:t>75I</w:t>
      </w:r>
      <w:r>
        <w:t>.</w:t>
      </w:r>
      <w:r>
        <w:tab/>
        <w:t>Part IIIBA companies</w:t>
      </w:r>
      <w:bookmarkEnd w:id="667"/>
      <w:bookmarkEnd w:id="668"/>
      <w:bookmarkEnd w:id="669"/>
      <w:bookmarkEnd w:id="670"/>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object w:dxaOrig="920" w:dyaOrig="580">
          <v:shape id="_x0000_i1029" type="#_x0000_t75" style="width:45.75pt;height:29.25pt" o:ole="" fillcolor="window">
            <v:imagedata r:id="rId27" o:title=""/>
          </v:shape>
          <o:OLEObject Type="Embed" ProgID="Equation.3" ShapeID="_x0000_i1029" DrawAspect="Content" ObjectID="_1643742805" r:id="rId28"/>
        </w:obje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671" w:name="_Toc58902584"/>
      <w:bookmarkStart w:id="672" w:name="_Toc76899597"/>
      <w:bookmarkStart w:id="673" w:name="_Toc78090499"/>
      <w:bookmarkStart w:id="674" w:name="_Toc88886867"/>
      <w:bookmarkStart w:id="675" w:name="_Toc90443483"/>
      <w:bookmarkStart w:id="676" w:name="_Toc90452834"/>
      <w:bookmarkStart w:id="677" w:name="_Toc100029425"/>
      <w:bookmarkStart w:id="678" w:name="_Toc100031498"/>
      <w:bookmarkStart w:id="679" w:name="_Toc100458557"/>
      <w:bookmarkStart w:id="680" w:name="_Toc101671973"/>
      <w:bookmarkStart w:id="681" w:name="_Toc101672230"/>
      <w:bookmarkStart w:id="682" w:name="_Toc102799256"/>
      <w:bookmarkStart w:id="683" w:name="_Toc102981930"/>
      <w:bookmarkStart w:id="684" w:name="_Toc103403243"/>
      <w:bookmarkStart w:id="685" w:name="_Toc103403500"/>
      <w:bookmarkStart w:id="686" w:name="_Toc103747499"/>
      <w:bookmarkStart w:id="687" w:name="_Toc107054928"/>
      <w:bookmarkStart w:id="688" w:name="_Toc113874375"/>
      <w:bookmarkStart w:id="689" w:name="_Toc113956791"/>
      <w:bookmarkStart w:id="690" w:name="_Toc116717347"/>
      <w:bookmarkStart w:id="691" w:name="_Toc116813374"/>
      <w:bookmarkStart w:id="692" w:name="_Toc122333026"/>
      <w:bookmarkStart w:id="693" w:name="_Toc122861996"/>
      <w:bookmarkStart w:id="694" w:name="_Toc122862592"/>
      <w:bookmarkStart w:id="695" w:name="_Toc122921199"/>
      <w:bookmarkStart w:id="696" w:name="_Toc122921459"/>
      <w:bookmarkStart w:id="697" w:name="_Toc122947404"/>
      <w:bookmarkStart w:id="698" w:name="_Toc124046240"/>
      <w:bookmarkStart w:id="699" w:name="_Toc125869021"/>
      <w:bookmarkStart w:id="700" w:name="_Toc170192493"/>
      <w:r>
        <w:rPr>
          <w:rStyle w:val="CharPartNo"/>
        </w:rPr>
        <w:t>Part IIIBAAA</w:t>
      </w:r>
      <w:r>
        <w:rPr>
          <w:rStyle w:val="CharDivNo"/>
        </w:rPr>
        <w:t> </w:t>
      </w:r>
      <w:r>
        <w:t>—</w:t>
      </w:r>
      <w:r>
        <w:rPr>
          <w:rStyle w:val="CharDivText"/>
        </w:rPr>
        <w:t> </w:t>
      </w:r>
      <w:r>
        <w:rPr>
          <w:rStyle w:val="CharPartText"/>
        </w:rPr>
        <w:t>Exemptions for corporate reconstructions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701" w:name="_Toc500739957"/>
      <w:bookmarkStart w:id="702" w:name="_Toc520101148"/>
      <w:bookmarkStart w:id="703" w:name="_Toc520533047"/>
      <w:bookmarkStart w:id="704" w:name="_Toc49223932"/>
      <w:bookmarkStart w:id="705" w:name="_Toc107054929"/>
      <w:bookmarkStart w:id="706" w:name="_Toc125869022"/>
      <w:bookmarkStart w:id="707" w:name="_Toc170192494"/>
      <w:r>
        <w:rPr>
          <w:rStyle w:val="CharSectno"/>
        </w:rPr>
        <w:t>75J</w:t>
      </w:r>
      <w:r>
        <w:rPr>
          <w:snapToGrid w:val="0"/>
        </w:rPr>
        <w:t>.</w:t>
      </w:r>
      <w:r>
        <w:rPr>
          <w:snapToGrid w:val="0"/>
        </w:rPr>
        <w:tab/>
        <w:t>Interpretation in Part</w:t>
      </w:r>
      <w:bookmarkEnd w:id="701"/>
      <w:bookmarkEnd w:id="702"/>
      <w:bookmarkEnd w:id="703"/>
      <w:bookmarkEnd w:id="704"/>
      <w:r>
        <w:rPr>
          <w:snapToGrid w:val="0"/>
        </w:rPr>
        <w:t xml:space="preserve"> IIIBAAA</w:t>
      </w:r>
      <w:bookmarkEnd w:id="705"/>
      <w:bookmarkEnd w:id="706"/>
      <w:bookmarkEnd w:id="707"/>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708" w:name="_Toc520101149"/>
      <w:bookmarkStart w:id="709" w:name="_Toc520533048"/>
      <w:bookmarkStart w:id="710" w:name="_Toc49223933"/>
      <w:bookmarkStart w:id="711" w:name="_Toc107054930"/>
      <w:bookmarkStart w:id="712" w:name="_Toc125869023"/>
      <w:bookmarkStart w:id="713" w:name="_Toc170192495"/>
      <w:bookmarkStart w:id="714" w:name="_Toc500739958"/>
      <w:r>
        <w:rPr>
          <w:rStyle w:val="CharSectno"/>
        </w:rPr>
        <w:t>75JAA</w:t>
      </w:r>
      <w:r>
        <w:t>.</w:t>
      </w:r>
      <w:r>
        <w:tab/>
        <w:t>Meaning of dormant body corporate</w:t>
      </w:r>
      <w:bookmarkEnd w:id="708"/>
      <w:bookmarkEnd w:id="709"/>
      <w:bookmarkEnd w:id="710"/>
      <w:bookmarkEnd w:id="711"/>
      <w:bookmarkEnd w:id="712"/>
      <w:bookmarkEnd w:id="713"/>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15" w:name="_Toc520101150"/>
      <w:bookmarkStart w:id="716" w:name="_Toc520533049"/>
      <w:bookmarkStart w:id="717" w:name="_Toc49223934"/>
      <w:bookmarkStart w:id="718" w:name="_Toc107054931"/>
      <w:bookmarkStart w:id="719" w:name="_Toc125869024"/>
      <w:bookmarkStart w:id="720" w:name="_Toc170192496"/>
      <w:r>
        <w:rPr>
          <w:rStyle w:val="CharSectno"/>
        </w:rPr>
        <w:t>75JA</w:t>
      </w:r>
      <w:r>
        <w:rPr>
          <w:snapToGrid w:val="0"/>
        </w:rPr>
        <w:t>.</w:t>
      </w:r>
      <w:r>
        <w:rPr>
          <w:snapToGrid w:val="0"/>
        </w:rPr>
        <w:tab/>
        <w:t>Corporate reconstructions: exemptions</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721" w:name="_Toc500739959"/>
      <w:bookmarkStart w:id="722" w:name="_Toc520101151"/>
      <w:bookmarkStart w:id="723" w:name="_Toc520533050"/>
      <w:bookmarkStart w:id="724" w:name="_Toc49223935"/>
      <w:bookmarkStart w:id="725" w:name="_Toc107054932"/>
      <w:bookmarkStart w:id="726" w:name="_Toc125869025"/>
      <w:bookmarkStart w:id="727" w:name="_Toc170192497"/>
      <w:r>
        <w:rPr>
          <w:rStyle w:val="CharSectno"/>
        </w:rPr>
        <w:t>75JB</w:t>
      </w:r>
      <w:r>
        <w:rPr>
          <w:snapToGrid w:val="0"/>
        </w:rPr>
        <w:t>.</w:t>
      </w:r>
      <w:r>
        <w:rPr>
          <w:snapToGrid w:val="0"/>
        </w:rPr>
        <w:tab/>
        <w:t>Corporate reorganisations: exemption from duty on conveyances between associated bodies corporate</w:t>
      </w:r>
      <w:bookmarkEnd w:id="721"/>
      <w:bookmarkEnd w:id="722"/>
      <w:bookmarkEnd w:id="723"/>
      <w:bookmarkEnd w:id="724"/>
      <w:bookmarkEnd w:id="725"/>
      <w:bookmarkEnd w:id="726"/>
      <w:bookmarkEnd w:id="72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728" w:name="_Toc500739960"/>
      <w:bookmarkStart w:id="729" w:name="_Toc520101152"/>
      <w:bookmarkStart w:id="730" w:name="_Toc520533051"/>
      <w:bookmarkStart w:id="731" w:name="_Toc49223936"/>
      <w:bookmarkStart w:id="732" w:name="_Toc107054933"/>
      <w:bookmarkStart w:id="733" w:name="_Toc125869026"/>
      <w:bookmarkStart w:id="734" w:name="_Toc170192498"/>
      <w:r>
        <w:rPr>
          <w:rStyle w:val="CharSectno"/>
        </w:rPr>
        <w:t>75JBA</w:t>
      </w:r>
      <w:r>
        <w:t>.</w:t>
      </w:r>
      <w:r>
        <w:tab/>
        <w:t>Operation of claw</w:t>
      </w:r>
      <w:r>
        <w:rPr>
          <w:snapToGrid w:val="0"/>
        </w:rPr>
        <w:noBreakHyphen/>
      </w:r>
      <w:r>
        <w:t>back: application for pre</w:t>
      </w:r>
      <w:r>
        <w:noBreakHyphen/>
        <w:t>determination in certain cases</w:t>
      </w:r>
      <w:bookmarkEnd w:id="728"/>
      <w:bookmarkEnd w:id="729"/>
      <w:bookmarkEnd w:id="730"/>
      <w:bookmarkEnd w:id="731"/>
      <w:bookmarkEnd w:id="732"/>
      <w:bookmarkEnd w:id="733"/>
      <w:bookmarkEnd w:id="73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35" w:name="_Toc500739961"/>
      <w:bookmarkStart w:id="736" w:name="_Toc520101153"/>
      <w:bookmarkStart w:id="737" w:name="_Toc520533052"/>
      <w:bookmarkStart w:id="738" w:name="_Toc49223937"/>
      <w:bookmarkStart w:id="739" w:name="_Toc107054934"/>
      <w:bookmarkStart w:id="740" w:name="_Toc125869027"/>
      <w:bookmarkStart w:id="741" w:name="_Toc170192499"/>
      <w:r>
        <w:rPr>
          <w:rStyle w:val="CharSectno"/>
        </w:rPr>
        <w:t>75JC</w:t>
      </w:r>
      <w:r>
        <w:rPr>
          <w:snapToGrid w:val="0"/>
        </w:rPr>
        <w:t>.</w:t>
      </w:r>
      <w:r>
        <w:rPr>
          <w:snapToGrid w:val="0"/>
        </w:rPr>
        <w:tab/>
        <w:t>Corporate reorganisations: application for pre</w:t>
      </w:r>
      <w:r>
        <w:rPr>
          <w:snapToGrid w:val="0"/>
        </w:rPr>
        <w:noBreakHyphen/>
        <w:t>determination</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742" w:name="_Toc500739962"/>
      <w:bookmarkStart w:id="743" w:name="_Toc520101154"/>
      <w:bookmarkStart w:id="744" w:name="_Toc520533053"/>
      <w:bookmarkStart w:id="745" w:name="_Toc49223938"/>
      <w:bookmarkStart w:id="746" w:name="_Toc107054935"/>
      <w:bookmarkStart w:id="747" w:name="_Toc125869028"/>
      <w:bookmarkStart w:id="748" w:name="_Toc170192500"/>
      <w:r>
        <w:rPr>
          <w:rStyle w:val="CharSectno"/>
        </w:rPr>
        <w:t>75JD</w:t>
      </w:r>
      <w:r>
        <w:rPr>
          <w:snapToGrid w:val="0"/>
        </w:rPr>
        <w:t>.</w:t>
      </w:r>
      <w:r>
        <w:rPr>
          <w:snapToGrid w:val="0"/>
        </w:rPr>
        <w:tab/>
        <w:t>Corporate reorganisations: application for exemption</w:t>
      </w:r>
      <w:bookmarkEnd w:id="742"/>
      <w:bookmarkEnd w:id="743"/>
      <w:bookmarkEnd w:id="744"/>
      <w:bookmarkEnd w:id="745"/>
      <w:bookmarkEnd w:id="746"/>
      <w:bookmarkEnd w:id="747"/>
      <w:bookmarkEnd w:id="748"/>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749" w:name="_Toc500739963"/>
      <w:bookmarkStart w:id="750" w:name="_Toc520101155"/>
      <w:bookmarkStart w:id="751" w:name="_Toc520533054"/>
      <w:bookmarkStart w:id="752" w:name="_Toc49223939"/>
      <w:bookmarkStart w:id="753" w:name="_Toc107054936"/>
      <w:bookmarkStart w:id="754" w:name="_Toc125869029"/>
      <w:bookmarkStart w:id="755" w:name="_Toc170192501"/>
      <w:r>
        <w:rPr>
          <w:rStyle w:val="CharSectno"/>
        </w:rPr>
        <w:t>75JDA</w:t>
      </w:r>
      <w:r>
        <w:t>.</w:t>
      </w:r>
      <w:r>
        <w:tab/>
        <w:t>Exemption may be withheld in certain cases</w:t>
      </w:r>
      <w:bookmarkEnd w:id="749"/>
      <w:bookmarkEnd w:id="750"/>
      <w:bookmarkEnd w:id="751"/>
      <w:bookmarkEnd w:id="752"/>
      <w:bookmarkEnd w:id="753"/>
      <w:bookmarkEnd w:id="754"/>
      <w:bookmarkEnd w:id="755"/>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56" w:name="_Toc500739964"/>
      <w:bookmarkStart w:id="757" w:name="_Toc520101156"/>
      <w:bookmarkStart w:id="758" w:name="_Toc520533055"/>
      <w:bookmarkStart w:id="759" w:name="_Toc49223940"/>
      <w:bookmarkStart w:id="760" w:name="_Toc107054937"/>
      <w:bookmarkStart w:id="761" w:name="_Toc125869030"/>
      <w:bookmarkStart w:id="762" w:name="_Toc170192502"/>
      <w:r>
        <w:rPr>
          <w:rStyle w:val="CharSectno"/>
        </w:rPr>
        <w:t>75JE</w:t>
      </w:r>
      <w:r>
        <w:rPr>
          <w:snapToGrid w:val="0"/>
        </w:rPr>
        <w:t>.</w:t>
      </w:r>
      <w:r>
        <w:rPr>
          <w:snapToGrid w:val="0"/>
        </w:rPr>
        <w:tab/>
        <w:t>Claw</w:t>
      </w:r>
      <w:r>
        <w:rPr>
          <w:snapToGrid w:val="0"/>
        </w:rPr>
        <w:noBreakHyphen/>
        <w:t>back (instruments)</w:t>
      </w:r>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763" w:name="_Toc500739965"/>
      <w:bookmarkStart w:id="764" w:name="_Toc520101157"/>
      <w:bookmarkStart w:id="765" w:name="_Toc520533056"/>
      <w:bookmarkStart w:id="766" w:name="_Toc49223941"/>
      <w:bookmarkStart w:id="767" w:name="_Toc107054938"/>
      <w:bookmarkStart w:id="768" w:name="_Toc125869031"/>
      <w:bookmarkStart w:id="769" w:name="_Toc170192503"/>
      <w:r>
        <w:rPr>
          <w:rStyle w:val="CharSectno"/>
        </w:rPr>
        <w:t>75JF</w:t>
      </w:r>
      <w:r>
        <w:rPr>
          <w:snapToGrid w:val="0"/>
        </w:rPr>
        <w:t>.</w:t>
      </w:r>
      <w:r>
        <w:rPr>
          <w:snapToGrid w:val="0"/>
        </w:rPr>
        <w:tab/>
        <w:t>Claw</w:t>
      </w:r>
      <w:r>
        <w:rPr>
          <w:snapToGrid w:val="0"/>
        </w:rPr>
        <w:noBreakHyphen/>
        <w:t>back (Part IIIBA statements)</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770" w:name="_Toc500739966"/>
      <w:bookmarkStart w:id="771" w:name="_Toc520101158"/>
      <w:bookmarkStart w:id="772" w:name="_Toc520533057"/>
      <w:bookmarkStart w:id="773" w:name="_Toc49223942"/>
      <w:bookmarkStart w:id="774" w:name="_Toc107054939"/>
      <w:bookmarkStart w:id="775" w:name="_Toc125869032"/>
      <w:bookmarkStart w:id="776" w:name="_Toc170192504"/>
      <w:r>
        <w:rPr>
          <w:rStyle w:val="CharSectno"/>
        </w:rPr>
        <w:t>75JG</w:t>
      </w:r>
      <w:r>
        <w:rPr>
          <w:snapToGrid w:val="0"/>
        </w:rPr>
        <w:t>.</w:t>
      </w:r>
      <w:r>
        <w:rPr>
          <w:snapToGrid w:val="0"/>
        </w:rPr>
        <w:tab/>
        <w:t>Offences and recovery of duty etc.</w:t>
      </w:r>
      <w:bookmarkEnd w:id="770"/>
      <w:bookmarkEnd w:id="771"/>
      <w:bookmarkEnd w:id="772"/>
      <w:bookmarkEnd w:id="773"/>
      <w:bookmarkEnd w:id="774"/>
      <w:bookmarkEnd w:id="775"/>
      <w:bookmarkEnd w:id="776"/>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777" w:name="_Toc58902596"/>
      <w:bookmarkStart w:id="778" w:name="_Toc76899609"/>
      <w:bookmarkStart w:id="779" w:name="_Toc78090511"/>
      <w:bookmarkStart w:id="780" w:name="_Toc88886879"/>
      <w:bookmarkStart w:id="781" w:name="_Toc90443495"/>
      <w:bookmarkStart w:id="782" w:name="_Toc90452846"/>
      <w:bookmarkStart w:id="783" w:name="_Toc100029437"/>
      <w:bookmarkStart w:id="784" w:name="_Toc100031510"/>
      <w:bookmarkStart w:id="785" w:name="_Toc100458569"/>
      <w:bookmarkStart w:id="786" w:name="_Toc101671985"/>
      <w:bookmarkStart w:id="787" w:name="_Toc101672242"/>
      <w:bookmarkStart w:id="788" w:name="_Toc102799268"/>
      <w:bookmarkStart w:id="789" w:name="_Toc102981942"/>
      <w:bookmarkStart w:id="790" w:name="_Toc103403255"/>
      <w:bookmarkStart w:id="791" w:name="_Toc103403512"/>
      <w:bookmarkStart w:id="792" w:name="_Toc103747511"/>
      <w:bookmarkStart w:id="793" w:name="_Toc107054940"/>
      <w:bookmarkStart w:id="794" w:name="_Toc113874387"/>
      <w:bookmarkStart w:id="795" w:name="_Toc113956803"/>
      <w:bookmarkStart w:id="796" w:name="_Toc116717359"/>
      <w:bookmarkStart w:id="797" w:name="_Toc116813386"/>
      <w:bookmarkStart w:id="798" w:name="_Toc122333038"/>
      <w:bookmarkStart w:id="799" w:name="_Toc122862008"/>
      <w:bookmarkStart w:id="800" w:name="_Toc122862604"/>
      <w:bookmarkStart w:id="801" w:name="_Toc122921211"/>
      <w:bookmarkStart w:id="802" w:name="_Toc122921471"/>
      <w:bookmarkStart w:id="803" w:name="_Toc122947416"/>
      <w:bookmarkStart w:id="804" w:name="_Toc124046252"/>
      <w:bookmarkStart w:id="805" w:name="_Toc125869033"/>
      <w:bookmarkStart w:id="806" w:name="_Toc170192505"/>
      <w:r>
        <w:rPr>
          <w:rStyle w:val="CharPartNo"/>
        </w:rPr>
        <w:t>Part IIIBA</w:t>
      </w:r>
      <w:r>
        <w:t> — </w:t>
      </w:r>
      <w:r>
        <w:rPr>
          <w:rStyle w:val="CharPartText"/>
        </w:rPr>
        <w:t>Duty on change of control of certain land</w:t>
      </w:r>
      <w:r>
        <w:rPr>
          <w:rStyle w:val="CharPartText"/>
        </w:rPr>
        <w:noBreakHyphen/>
        <w:t>owning corporations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07" w:name="_Toc58902597"/>
      <w:bookmarkStart w:id="808" w:name="_Toc76899610"/>
      <w:bookmarkStart w:id="809" w:name="_Toc78090512"/>
      <w:bookmarkStart w:id="810" w:name="_Toc88886880"/>
      <w:bookmarkStart w:id="811" w:name="_Toc90443496"/>
      <w:bookmarkStart w:id="812" w:name="_Toc90452847"/>
      <w:bookmarkStart w:id="813" w:name="_Toc100029438"/>
      <w:bookmarkStart w:id="814" w:name="_Toc100031511"/>
      <w:bookmarkStart w:id="815" w:name="_Toc100458570"/>
      <w:bookmarkStart w:id="816" w:name="_Toc101671986"/>
      <w:bookmarkStart w:id="817" w:name="_Toc101672243"/>
      <w:bookmarkStart w:id="818" w:name="_Toc102799269"/>
      <w:bookmarkStart w:id="819" w:name="_Toc102981943"/>
      <w:bookmarkStart w:id="820" w:name="_Toc103403256"/>
      <w:bookmarkStart w:id="821" w:name="_Toc103403513"/>
      <w:bookmarkStart w:id="822" w:name="_Toc103747512"/>
      <w:bookmarkStart w:id="823" w:name="_Toc107054941"/>
      <w:bookmarkStart w:id="824" w:name="_Toc113874388"/>
      <w:bookmarkStart w:id="825" w:name="_Toc113956804"/>
      <w:bookmarkStart w:id="826" w:name="_Toc116717360"/>
      <w:bookmarkStart w:id="827" w:name="_Toc116813387"/>
      <w:bookmarkStart w:id="828" w:name="_Toc122333039"/>
      <w:bookmarkStart w:id="829" w:name="_Toc122862009"/>
      <w:bookmarkStart w:id="830" w:name="_Toc122862605"/>
      <w:bookmarkStart w:id="831" w:name="_Toc122921212"/>
      <w:bookmarkStart w:id="832" w:name="_Toc122921472"/>
      <w:bookmarkStart w:id="833" w:name="_Toc122947417"/>
      <w:bookmarkStart w:id="834" w:name="_Toc124046253"/>
      <w:bookmarkStart w:id="835" w:name="_Toc125869034"/>
      <w:bookmarkStart w:id="836" w:name="_Toc170192506"/>
      <w:r>
        <w:rPr>
          <w:rStyle w:val="CharDivNo"/>
        </w:rPr>
        <w:t>Division 1</w:t>
      </w:r>
      <w:r>
        <w:rPr>
          <w:snapToGrid w:val="0"/>
        </w:rPr>
        <w:t> — </w:t>
      </w:r>
      <w:r>
        <w:rPr>
          <w:rStyle w:val="CharDivText"/>
        </w:rPr>
        <w:t xml:space="preserve">Provisions applicable to </w:t>
      </w:r>
      <w:bookmarkEnd w:id="807"/>
      <w:r>
        <w:rPr>
          <w:rStyle w:val="CharDivText"/>
        </w:rPr>
        <w:t>this Part</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837" w:name="_Toc500739967"/>
      <w:bookmarkStart w:id="838" w:name="_Toc520101159"/>
      <w:bookmarkStart w:id="839" w:name="_Toc520533058"/>
      <w:bookmarkStart w:id="840" w:name="_Toc49223943"/>
      <w:bookmarkStart w:id="841" w:name="_Toc107054942"/>
      <w:bookmarkStart w:id="842" w:name="_Toc125869035"/>
      <w:bookmarkStart w:id="843" w:name="_Toc170192507"/>
      <w:r>
        <w:rPr>
          <w:rStyle w:val="CharSectno"/>
        </w:rPr>
        <w:t>76</w:t>
      </w:r>
      <w:r>
        <w:rPr>
          <w:snapToGrid w:val="0"/>
        </w:rPr>
        <w:t>.</w:t>
      </w:r>
      <w:r>
        <w:rPr>
          <w:snapToGrid w:val="0"/>
        </w:rPr>
        <w:tab/>
        <w:t>Interpretation in Part IIIBA</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119"/>
          <w:tab w:val="left" w:pos="3402"/>
        </w:tabs>
        <w:spacing w:before="60"/>
        <w:ind w:left="3402" w:hanging="3402"/>
      </w:pPr>
      <w:r>
        <w:rPr>
          <w:i w:val="0"/>
        </w:rPr>
        <w:tab/>
      </w:r>
      <w:r>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844" w:name="_Toc49223944"/>
      <w:bookmarkStart w:id="845" w:name="_Toc107054943"/>
      <w:bookmarkStart w:id="846" w:name="_Toc125869036"/>
      <w:bookmarkStart w:id="847" w:name="_Toc170192508"/>
      <w:r>
        <w:rPr>
          <w:rStyle w:val="CharSectno"/>
        </w:rPr>
        <w:t>76A</w:t>
      </w:r>
      <w:r>
        <w:t>.</w:t>
      </w:r>
      <w:r>
        <w:tab/>
        <w:t>Relevant acquisitions by trustees</w:t>
      </w:r>
      <w:bookmarkEnd w:id="844"/>
      <w:bookmarkEnd w:id="845"/>
      <w:bookmarkEnd w:id="846"/>
      <w:bookmarkEnd w:id="847"/>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48" w:name="_Toc49223945"/>
      <w:bookmarkStart w:id="849" w:name="_Toc107054944"/>
      <w:bookmarkStart w:id="850" w:name="_Toc125869037"/>
      <w:bookmarkStart w:id="851" w:name="_Toc170192509"/>
      <w:r>
        <w:rPr>
          <w:rStyle w:val="CharSectno"/>
        </w:rPr>
        <w:t>76AA</w:t>
      </w:r>
      <w:r>
        <w:t>.</w:t>
      </w:r>
      <w:r>
        <w:tab/>
        <w:t>Assessment in the absence of a dutiable statement</w:t>
      </w:r>
      <w:bookmarkEnd w:id="848"/>
      <w:bookmarkEnd w:id="849"/>
      <w:bookmarkEnd w:id="850"/>
      <w:bookmarkEnd w:id="851"/>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852" w:name="_Toc107054945"/>
      <w:bookmarkStart w:id="853" w:name="_Toc125869038"/>
      <w:bookmarkStart w:id="854" w:name="_Toc170192510"/>
      <w:r>
        <w:rPr>
          <w:rStyle w:val="CharSectno"/>
        </w:rPr>
        <w:t>76AB</w:t>
      </w:r>
      <w:r>
        <w:t>.</w:t>
      </w:r>
      <w:r>
        <w:tab/>
        <w:t>Request that Commissioner determine whether dutiable statement is required to be lodged</w:t>
      </w:r>
      <w:bookmarkEnd w:id="852"/>
      <w:bookmarkEnd w:id="853"/>
      <w:bookmarkEnd w:id="854"/>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855" w:name="_Toc58902601"/>
      <w:bookmarkStart w:id="856" w:name="_Toc76899615"/>
      <w:bookmarkStart w:id="857" w:name="_Toc78090517"/>
      <w:bookmarkStart w:id="858" w:name="_Toc88886885"/>
      <w:bookmarkStart w:id="859" w:name="_Toc90443501"/>
      <w:bookmarkStart w:id="860" w:name="_Toc90452852"/>
      <w:bookmarkStart w:id="861" w:name="_Toc100029443"/>
      <w:bookmarkStart w:id="862" w:name="_Toc100031516"/>
      <w:bookmarkStart w:id="863" w:name="_Toc100458575"/>
      <w:bookmarkStart w:id="864" w:name="_Toc101671991"/>
      <w:bookmarkStart w:id="865" w:name="_Toc101672248"/>
      <w:bookmarkStart w:id="866" w:name="_Toc102799274"/>
      <w:bookmarkStart w:id="867" w:name="_Toc102981948"/>
      <w:bookmarkStart w:id="868" w:name="_Toc103403261"/>
      <w:bookmarkStart w:id="869" w:name="_Toc103403518"/>
      <w:bookmarkStart w:id="870" w:name="_Toc103747517"/>
      <w:bookmarkStart w:id="871" w:name="_Toc107054946"/>
      <w:bookmarkStart w:id="872" w:name="_Toc113874393"/>
      <w:bookmarkStart w:id="873" w:name="_Toc113956809"/>
      <w:bookmarkStart w:id="874" w:name="_Toc116717365"/>
      <w:bookmarkStart w:id="875" w:name="_Toc116813392"/>
      <w:bookmarkStart w:id="876" w:name="_Toc122333044"/>
      <w:bookmarkStart w:id="877" w:name="_Toc122862014"/>
      <w:bookmarkStart w:id="878" w:name="_Toc122862610"/>
      <w:bookmarkStart w:id="879" w:name="_Toc122921217"/>
      <w:bookmarkStart w:id="880" w:name="_Toc122921477"/>
      <w:bookmarkStart w:id="881" w:name="_Toc122947422"/>
      <w:bookmarkStart w:id="882" w:name="_Toc124046258"/>
      <w:bookmarkStart w:id="883" w:name="_Toc125869039"/>
      <w:bookmarkStart w:id="884" w:name="_Toc170192511"/>
      <w:r>
        <w:rPr>
          <w:rStyle w:val="CharDivNo"/>
        </w:rPr>
        <w:t>Division 2</w:t>
      </w:r>
      <w:r>
        <w:rPr>
          <w:snapToGrid w:val="0"/>
        </w:rPr>
        <w:t> — </w:t>
      </w:r>
      <w:r>
        <w:rPr>
          <w:rStyle w:val="CharDivText"/>
        </w:rPr>
        <w:t>Companies taken to be registered in Western Australia</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885" w:name="_Toc500739975"/>
      <w:bookmarkStart w:id="886" w:name="_Toc520101167"/>
      <w:bookmarkStart w:id="887" w:name="_Toc520533066"/>
      <w:bookmarkStart w:id="888" w:name="_Toc49223946"/>
      <w:bookmarkStart w:id="889" w:name="_Toc107054947"/>
      <w:bookmarkStart w:id="890" w:name="_Toc125869040"/>
      <w:bookmarkStart w:id="891" w:name="_Toc170192512"/>
      <w:r>
        <w:rPr>
          <w:rStyle w:val="CharSectno"/>
        </w:rPr>
        <w:t>76AG</w:t>
      </w:r>
      <w:r>
        <w:rPr>
          <w:snapToGrid w:val="0"/>
        </w:rPr>
        <w:t>.</w:t>
      </w:r>
      <w:r>
        <w:rPr>
          <w:snapToGrid w:val="0"/>
        </w:rPr>
        <w:tab/>
      </w:r>
      <w:bookmarkEnd w:id="885"/>
      <w:bookmarkEnd w:id="886"/>
      <w:bookmarkEnd w:id="887"/>
      <w:bookmarkEnd w:id="888"/>
      <w:r>
        <w:rPr>
          <w:snapToGrid w:val="0"/>
        </w:rPr>
        <w:t>Preparation of dutiable statement</w:t>
      </w:r>
      <w:bookmarkEnd w:id="889"/>
      <w:bookmarkEnd w:id="890"/>
      <w:bookmarkEnd w:id="891"/>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892" w:name="_Toc500739976"/>
      <w:bookmarkStart w:id="893" w:name="_Toc520101168"/>
      <w:bookmarkStart w:id="894" w:name="_Toc520533067"/>
      <w:bookmarkStart w:id="895" w:name="_Toc49223947"/>
      <w:bookmarkStart w:id="896" w:name="_Toc107054948"/>
      <w:bookmarkStart w:id="897" w:name="_Toc125869041"/>
      <w:bookmarkStart w:id="898" w:name="_Toc170192513"/>
      <w:r>
        <w:rPr>
          <w:rStyle w:val="CharSectno"/>
        </w:rPr>
        <w:t>76AH</w:t>
      </w:r>
      <w:r>
        <w:rPr>
          <w:snapToGrid w:val="0"/>
        </w:rPr>
        <w:t>.</w:t>
      </w:r>
      <w:r>
        <w:rPr>
          <w:snapToGrid w:val="0"/>
        </w:rPr>
        <w:tab/>
        <w:t>Statement chargeable with duty</w:t>
      </w:r>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object w:dxaOrig="1620" w:dyaOrig="600">
          <v:shape id="_x0000_i1030" type="#_x0000_t75" style="width:81pt;height:30pt" o:ole="" fillcolor="window">
            <v:imagedata r:id="rId29" o:title=""/>
          </v:shape>
          <o:OLEObject Type="Embed" ProgID="Equation.3" ShapeID="_x0000_i1030" DrawAspect="Content" ObjectID="_1643742806" r:id="rId30"/>
        </w:obje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899" w:name="_Toc500739977"/>
      <w:bookmarkStart w:id="900" w:name="_Toc520101169"/>
      <w:bookmarkStart w:id="901" w:name="_Toc520533068"/>
      <w:bookmarkStart w:id="902" w:name="_Toc49223948"/>
      <w:bookmarkStart w:id="903" w:name="_Toc107054949"/>
      <w:bookmarkStart w:id="904" w:name="_Toc125869042"/>
      <w:bookmarkStart w:id="905" w:name="_Toc170192514"/>
      <w:r>
        <w:rPr>
          <w:rStyle w:val="CharSectno"/>
        </w:rPr>
        <w:t>76AI</w:t>
      </w:r>
      <w:r>
        <w:rPr>
          <w:snapToGrid w:val="0"/>
        </w:rPr>
        <w:t>.</w:t>
      </w:r>
      <w:r>
        <w:rPr>
          <w:snapToGrid w:val="0"/>
        </w:rPr>
        <w:tab/>
        <w:t>Companies to which this Division applies</w:t>
      </w:r>
      <w:bookmarkEnd w:id="899"/>
      <w:bookmarkEnd w:id="900"/>
      <w:bookmarkEnd w:id="901"/>
      <w:bookmarkEnd w:id="902"/>
      <w:bookmarkEnd w:id="903"/>
      <w:bookmarkEnd w:id="904"/>
      <w:bookmarkEnd w:id="905"/>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906" w:name="_Toc500739978"/>
      <w:bookmarkStart w:id="907" w:name="_Toc520101170"/>
      <w:bookmarkStart w:id="908" w:name="_Toc520533069"/>
      <w:bookmarkStart w:id="909" w:name="_Toc49223949"/>
      <w:bookmarkStart w:id="910" w:name="_Toc107054950"/>
      <w:bookmarkStart w:id="911" w:name="_Toc125869043"/>
      <w:bookmarkStart w:id="912" w:name="_Toc170192515"/>
      <w:r>
        <w:rPr>
          <w:rStyle w:val="CharSectno"/>
        </w:rPr>
        <w:t>76AJ</w:t>
      </w:r>
      <w:r>
        <w:t>.</w:t>
      </w:r>
      <w:r>
        <w:tab/>
        <w:t>Meaning of “</w:t>
      </w:r>
      <w:r>
        <w:rPr>
          <w:rStyle w:val="CharDefText"/>
          <w:b/>
        </w:rPr>
        <w:t>relevant acquisition</w:t>
      </w:r>
      <w:r>
        <w:t>”</w:t>
      </w:r>
      <w:bookmarkEnd w:id="906"/>
      <w:bookmarkEnd w:id="907"/>
      <w:bookmarkEnd w:id="908"/>
      <w:bookmarkEnd w:id="909"/>
      <w:bookmarkEnd w:id="910"/>
      <w:bookmarkEnd w:id="911"/>
      <w:bookmarkEnd w:id="912"/>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13" w:author="Mark Odwyer" w:date="2005-05-13T09: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numberingChange w:id="914" w:author="Mark Odwyer" w:date="2005-05-13T09:07:00Z" w:original=""/>
        </w:fldChar>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15" w:name="_Toc500739979"/>
      <w:bookmarkStart w:id="916" w:name="_Toc520101171"/>
      <w:bookmarkStart w:id="917" w:name="_Toc520533070"/>
      <w:bookmarkStart w:id="918" w:name="_Toc49223950"/>
      <w:bookmarkStart w:id="919" w:name="_Toc107054951"/>
      <w:bookmarkStart w:id="920" w:name="_Toc125869044"/>
      <w:bookmarkStart w:id="921" w:name="_Toc170192516"/>
      <w:r>
        <w:rPr>
          <w:rStyle w:val="CharSectno"/>
        </w:rPr>
        <w:t>76AK</w:t>
      </w:r>
      <w:r>
        <w:t>.</w:t>
      </w:r>
      <w:r>
        <w:tab/>
        <w:t>Meaning of “</w:t>
      </w:r>
      <w:r>
        <w:rPr>
          <w:rStyle w:val="CharDefText"/>
          <w:b/>
        </w:rPr>
        <w:t>interest</w:t>
      </w:r>
      <w:r>
        <w:t>”, “majority interest” or “</w:t>
      </w:r>
      <w:r>
        <w:rPr>
          <w:rStyle w:val="CharDefText"/>
          <w:b/>
        </w:rPr>
        <w:t>further interest</w:t>
      </w:r>
      <w:bookmarkEnd w:id="915"/>
      <w:bookmarkEnd w:id="916"/>
      <w:bookmarkEnd w:id="917"/>
      <w:bookmarkEnd w:id="918"/>
      <w:r>
        <w:t>”</w:t>
      </w:r>
      <w:bookmarkEnd w:id="919"/>
      <w:bookmarkEnd w:id="920"/>
      <w:bookmarkEnd w:id="921"/>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22" w:name="_Toc500739980"/>
      <w:bookmarkStart w:id="923" w:name="_Toc520101172"/>
      <w:bookmarkStart w:id="924" w:name="_Toc520533071"/>
      <w:bookmarkStart w:id="925" w:name="_Toc49223951"/>
      <w:bookmarkStart w:id="926" w:name="_Toc107054952"/>
      <w:bookmarkStart w:id="927" w:name="_Toc125869045"/>
      <w:bookmarkStart w:id="928" w:name="_Toc170192517"/>
      <w:r>
        <w:rPr>
          <w:rStyle w:val="CharSectno"/>
        </w:rPr>
        <w:t>76AL</w:t>
      </w:r>
      <w:r>
        <w:rPr>
          <w:snapToGrid w:val="0"/>
        </w:rPr>
        <w:t>.</w:t>
      </w:r>
      <w:r>
        <w:rPr>
          <w:snapToGrid w:val="0"/>
        </w:rPr>
        <w:tab/>
        <w:t>How dutiable value is determined</w:t>
      </w:r>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929" w:name="_Toc500739981"/>
      <w:bookmarkStart w:id="930" w:name="_Toc520101173"/>
      <w:bookmarkStart w:id="931" w:name="_Toc520533072"/>
      <w:bookmarkStart w:id="932" w:name="_Toc49223952"/>
      <w:bookmarkStart w:id="933" w:name="_Toc107054953"/>
      <w:bookmarkStart w:id="934" w:name="_Toc125869046"/>
      <w:bookmarkStart w:id="935" w:name="_Toc170192518"/>
      <w:r>
        <w:rPr>
          <w:rStyle w:val="CharSectno"/>
        </w:rPr>
        <w:t>76AM</w:t>
      </w:r>
      <w:r>
        <w:rPr>
          <w:snapToGrid w:val="0"/>
        </w:rPr>
        <w:t>.</w:t>
      </w:r>
      <w:r>
        <w:rPr>
          <w:snapToGrid w:val="0"/>
        </w:rPr>
        <w:tab/>
        <w:t>Liability for duty</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936" w:name="_Toc58902609"/>
      <w:bookmarkStart w:id="937" w:name="_Toc76899623"/>
      <w:bookmarkStart w:id="938" w:name="_Toc78090525"/>
      <w:bookmarkStart w:id="939" w:name="_Toc88886893"/>
      <w:bookmarkStart w:id="940" w:name="_Toc90443509"/>
      <w:bookmarkStart w:id="941" w:name="_Toc90452860"/>
      <w:bookmarkStart w:id="942" w:name="_Toc100029451"/>
      <w:bookmarkStart w:id="943" w:name="_Toc100031524"/>
      <w:bookmarkStart w:id="944" w:name="_Toc100458583"/>
      <w:bookmarkStart w:id="945" w:name="_Toc101671999"/>
      <w:bookmarkStart w:id="946" w:name="_Toc101672256"/>
      <w:bookmarkStart w:id="947" w:name="_Toc102799282"/>
      <w:bookmarkStart w:id="948" w:name="_Toc102981956"/>
      <w:bookmarkStart w:id="949" w:name="_Toc103403269"/>
      <w:bookmarkStart w:id="950" w:name="_Toc103403526"/>
      <w:bookmarkStart w:id="951" w:name="_Toc103747525"/>
      <w:bookmarkStart w:id="952" w:name="_Toc107054954"/>
      <w:bookmarkStart w:id="953" w:name="_Toc113874401"/>
      <w:bookmarkStart w:id="954" w:name="_Toc113956817"/>
      <w:bookmarkStart w:id="955" w:name="_Toc116717373"/>
      <w:bookmarkStart w:id="956" w:name="_Toc116813400"/>
      <w:bookmarkStart w:id="957" w:name="_Toc122333052"/>
      <w:bookmarkStart w:id="958" w:name="_Toc122862022"/>
      <w:bookmarkStart w:id="959" w:name="_Toc122862618"/>
      <w:bookmarkStart w:id="960" w:name="_Toc122921225"/>
      <w:bookmarkStart w:id="961" w:name="_Toc122921485"/>
      <w:bookmarkStart w:id="962" w:name="_Toc122947430"/>
      <w:bookmarkStart w:id="963" w:name="_Toc124046266"/>
      <w:bookmarkStart w:id="964" w:name="_Toc125869047"/>
      <w:bookmarkStart w:id="965" w:name="_Toc170192519"/>
      <w:bookmarkStart w:id="966" w:name="_Toc500739982"/>
      <w:r>
        <w:rPr>
          <w:rStyle w:val="CharDivNo"/>
        </w:rPr>
        <w:t>Division 3</w:t>
      </w:r>
      <w:r>
        <w:t> — </w:t>
      </w:r>
      <w:r>
        <w:rPr>
          <w:rStyle w:val="CharDivText"/>
        </w:rPr>
        <w:t>Corporations incorporated, or taken to be registered, outside Western Australia, and certain other companies not within Division 2</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967" w:name="_Toc520101174"/>
      <w:bookmarkStart w:id="968" w:name="_Toc520533073"/>
      <w:bookmarkStart w:id="969" w:name="_Toc49223953"/>
      <w:bookmarkStart w:id="970" w:name="_Toc107054955"/>
      <w:bookmarkStart w:id="971" w:name="_Toc125869048"/>
      <w:bookmarkStart w:id="972" w:name="_Toc170192520"/>
      <w:r>
        <w:rPr>
          <w:rStyle w:val="CharSectno"/>
        </w:rPr>
        <w:t>76AN</w:t>
      </w:r>
      <w:r>
        <w:rPr>
          <w:snapToGrid w:val="0"/>
        </w:rPr>
        <w:t>.</w:t>
      </w:r>
      <w:r>
        <w:rPr>
          <w:snapToGrid w:val="0"/>
        </w:rPr>
        <w:tab/>
      </w:r>
      <w:bookmarkEnd w:id="966"/>
      <w:bookmarkEnd w:id="967"/>
      <w:bookmarkEnd w:id="968"/>
      <w:bookmarkEnd w:id="969"/>
      <w:r>
        <w:rPr>
          <w:snapToGrid w:val="0"/>
        </w:rPr>
        <w:t>Preparation of dutiable statement</w:t>
      </w:r>
      <w:bookmarkEnd w:id="970"/>
      <w:bookmarkEnd w:id="971"/>
      <w:bookmarkEnd w:id="972"/>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973" w:name="_Toc500739983"/>
      <w:bookmarkStart w:id="974" w:name="_Toc520101175"/>
      <w:bookmarkStart w:id="975" w:name="_Toc520533074"/>
      <w:bookmarkStart w:id="976" w:name="_Toc49223954"/>
      <w:bookmarkStart w:id="977" w:name="_Toc107054956"/>
      <w:bookmarkStart w:id="978" w:name="_Toc125869049"/>
      <w:bookmarkStart w:id="979" w:name="_Toc170192521"/>
      <w:r>
        <w:rPr>
          <w:rStyle w:val="CharSectno"/>
        </w:rPr>
        <w:t>76AO</w:t>
      </w:r>
      <w:r>
        <w:rPr>
          <w:snapToGrid w:val="0"/>
        </w:rPr>
        <w:t>.</w:t>
      </w:r>
      <w:r>
        <w:rPr>
          <w:snapToGrid w:val="0"/>
        </w:rPr>
        <w:tab/>
        <w:t>Statement chargeable with duty</w:t>
      </w:r>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object w:dxaOrig="1660" w:dyaOrig="600">
          <v:shape id="_x0000_i1031" type="#_x0000_t75" style="width:83.25pt;height:30pt" o:ole="">
            <v:imagedata r:id="rId31" o:title=""/>
          </v:shape>
          <o:OLEObject Type="Embed" ProgID="Equation.3" ShapeID="_x0000_i1031" DrawAspect="Content" ObjectID="_1643742807" r:id="rId32"/>
        </w:obje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980" w:name="_Toc500739984"/>
      <w:bookmarkStart w:id="981" w:name="_Toc520101176"/>
      <w:bookmarkStart w:id="982" w:name="_Toc520533075"/>
      <w:bookmarkStart w:id="983" w:name="_Toc49223955"/>
      <w:bookmarkStart w:id="984" w:name="_Toc107054957"/>
      <w:bookmarkStart w:id="985" w:name="_Toc125869050"/>
      <w:bookmarkStart w:id="986" w:name="_Toc170192522"/>
      <w:r>
        <w:rPr>
          <w:rStyle w:val="CharSectno"/>
        </w:rPr>
        <w:t>76AP</w:t>
      </w:r>
      <w:r>
        <w:rPr>
          <w:snapToGrid w:val="0"/>
        </w:rPr>
        <w:t>.</w:t>
      </w:r>
      <w:r>
        <w:rPr>
          <w:snapToGrid w:val="0"/>
        </w:rPr>
        <w:tab/>
        <w:t>Corporations to which this Division applies</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987" w:name="_Toc492201394"/>
      <w:bookmarkStart w:id="988" w:name="_Toc500739985"/>
      <w:bookmarkStart w:id="989" w:name="_Toc520101177"/>
      <w:bookmarkStart w:id="990" w:name="_Toc520533076"/>
      <w:bookmarkStart w:id="991" w:name="_Toc49223956"/>
      <w:bookmarkStart w:id="992" w:name="_Toc107054958"/>
      <w:bookmarkStart w:id="993" w:name="_Toc125869051"/>
      <w:bookmarkStart w:id="994" w:name="_Toc170192523"/>
      <w:r>
        <w:rPr>
          <w:rStyle w:val="CharSectno"/>
        </w:rPr>
        <w:t>76AQ</w:t>
      </w:r>
      <w:r>
        <w:t>.</w:t>
      </w:r>
      <w:r>
        <w:tab/>
        <w:t>Meaning of “</w:t>
      </w:r>
      <w:r>
        <w:rPr>
          <w:rStyle w:val="CharDefText"/>
          <w:b/>
        </w:rPr>
        <w:t>relevant acquisition</w:t>
      </w:r>
      <w:r>
        <w:t>”</w:t>
      </w:r>
      <w:bookmarkEnd w:id="987"/>
      <w:bookmarkEnd w:id="988"/>
      <w:bookmarkEnd w:id="989"/>
      <w:bookmarkEnd w:id="990"/>
      <w:bookmarkEnd w:id="991"/>
      <w:bookmarkEnd w:id="992"/>
      <w:bookmarkEnd w:id="993"/>
      <w:bookmarkEnd w:id="994"/>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95" w:author="Mark Odwyer" w:date="2005-05-13T09: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996" w:author="Mark Odwyer" w:date="2005-05-13T09:07: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997" w:name="_Toc500739986"/>
      <w:bookmarkStart w:id="998" w:name="_Toc520101178"/>
      <w:bookmarkStart w:id="999" w:name="_Toc520533077"/>
      <w:bookmarkStart w:id="1000" w:name="_Toc49223957"/>
      <w:bookmarkStart w:id="1001" w:name="_Toc107054959"/>
      <w:bookmarkStart w:id="1002" w:name="_Toc125869052"/>
      <w:bookmarkStart w:id="1003" w:name="_Toc170192524"/>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997"/>
      <w:bookmarkEnd w:id="998"/>
      <w:bookmarkEnd w:id="999"/>
      <w:bookmarkEnd w:id="1000"/>
      <w:r>
        <w:t>”</w:t>
      </w:r>
      <w:bookmarkEnd w:id="1001"/>
      <w:bookmarkEnd w:id="1002"/>
      <w:bookmarkEnd w:id="100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04" w:name="_Toc500739987"/>
      <w:bookmarkStart w:id="1005" w:name="_Toc520101179"/>
      <w:bookmarkStart w:id="1006" w:name="_Toc520533078"/>
      <w:bookmarkStart w:id="1007" w:name="_Toc49223958"/>
      <w:bookmarkStart w:id="1008" w:name="_Toc107054960"/>
      <w:bookmarkStart w:id="1009" w:name="_Toc125869053"/>
      <w:bookmarkStart w:id="1010" w:name="_Toc170192525"/>
      <w:r>
        <w:rPr>
          <w:rStyle w:val="CharSectno"/>
        </w:rPr>
        <w:t>76AS</w:t>
      </w:r>
      <w:r>
        <w:rPr>
          <w:snapToGrid w:val="0"/>
        </w:rPr>
        <w:t>.</w:t>
      </w:r>
      <w:r>
        <w:rPr>
          <w:snapToGrid w:val="0"/>
        </w:rPr>
        <w:tab/>
        <w:t>How dutiable value is determined</w:t>
      </w:r>
      <w:bookmarkEnd w:id="1004"/>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011" w:name="_Toc76899630"/>
      <w:bookmarkStart w:id="1012" w:name="_Toc78090532"/>
      <w:bookmarkStart w:id="1013" w:name="_Toc88886900"/>
      <w:bookmarkStart w:id="1014" w:name="_Toc90443516"/>
      <w:bookmarkStart w:id="1015" w:name="_Toc90452867"/>
      <w:bookmarkStart w:id="1016" w:name="_Toc100029458"/>
      <w:bookmarkStart w:id="1017" w:name="_Toc100031531"/>
      <w:bookmarkStart w:id="1018" w:name="_Toc100458590"/>
      <w:bookmarkStart w:id="1019" w:name="_Toc101672006"/>
      <w:bookmarkStart w:id="1020" w:name="_Toc101672263"/>
      <w:bookmarkStart w:id="1021" w:name="_Toc102799289"/>
      <w:bookmarkStart w:id="1022" w:name="_Toc102981963"/>
      <w:bookmarkStart w:id="1023" w:name="_Toc103403276"/>
      <w:bookmarkStart w:id="1024" w:name="_Toc103403533"/>
      <w:bookmarkStart w:id="1025" w:name="_Toc103747532"/>
      <w:bookmarkStart w:id="1026" w:name="_Toc107054961"/>
      <w:bookmarkStart w:id="1027" w:name="_Toc113874408"/>
      <w:bookmarkStart w:id="1028" w:name="_Toc113956824"/>
      <w:bookmarkStart w:id="1029" w:name="_Toc116717380"/>
      <w:bookmarkStart w:id="1030" w:name="_Toc116813407"/>
      <w:bookmarkStart w:id="1031" w:name="_Toc122333059"/>
      <w:bookmarkStart w:id="1032" w:name="_Toc122862029"/>
      <w:bookmarkStart w:id="1033" w:name="_Toc122862625"/>
      <w:bookmarkStart w:id="1034" w:name="_Toc122921232"/>
      <w:bookmarkStart w:id="1035" w:name="_Toc122921492"/>
      <w:bookmarkStart w:id="1036" w:name="_Toc122947437"/>
      <w:bookmarkStart w:id="1037" w:name="_Toc124046273"/>
      <w:bookmarkStart w:id="1038" w:name="_Toc125869054"/>
      <w:bookmarkStart w:id="1039" w:name="_Toc170192526"/>
      <w:bookmarkStart w:id="1040" w:name="_Toc58902616"/>
      <w:r>
        <w:rPr>
          <w:rStyle w:val="CharDivNo"/>
        </w:rPr>
        <w:t>Division 3a</w:t>
      </w:r>
      <w:r>
        <w:t> — </w:t>
      </w:r>
      <w:r>
        <w:rPr>
          <w:rStyle w:val="CharDivText"/>
        </w:rPr>
        <w:t>Listed companies taken to be registered in Western Australia</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tabs>
          <w:tab w:val="left" w:pos="851"/>
        </w:tabs>
      </w:pPr>
      <w:r>
        <w:tab/>
        <w:t>[Heading inserted by No. 11 of 2004 s. 29.]</w:t>
      </w:r>
    </w:p>
    <w:p>
      <w:pPr>
        <w:pStyle w:val="Heading5"/>
      </w:pPr>
      <w:bookmarkStart w:id="1041" w:name="_Toc107054962"/>
      <w:bookmarkStart w:id="1042" w:name="_Toc125869055"/>
      <w:bookmarkStart w:id="1043" w:name="_Toc170192527"/>
      <w:r>
        <w:rPr>
          <w:rStyle w:val="CharSectno"/>
        </w:rPr>
        <w:t>76AT</w:t>
      </w:r>
      <w:r>
        <w:t>.</w:t>
      </w:r>
      <w:r>
        <w:tab/>
        <w:t>Preparation of dutiable statement</w:t>
      </w:r>
      <w:bookmarkEnd w:id="1041"/>
      <w:bookmarkEnd w:id="1042"/>
      <w:bookmarkEnd w:id="104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044" w:name="_Toc107054963"/>
      <w:bookmarkStart w:id="1045" w:name="_Toc125869056"/>
      <w:bookmarkStart w:id="1046" w:name="_Toc170192528"/>
      <w:r>
        <w:rPr>
          <w:rStyle w:val="CharSectno"/>
        </w:rPr>
        <w:t>76ATA</w:t>
      </w:r>
      <w:r>
        <w:t>.</w:t>
      </w:r>
      <w:r>
        <w:tab/>
        <w:t>Statement chargeable with duty</w:t>
      </w:r>
      <w:bookmarkEnd w:id="1044"/>
      <w:bookmarkEnd w:id="1045"/>
      <w:bookmarkEnd w:id="1046"/>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2" type="#_x0000_t75" style="width:83.25pt;height:30pt" o:ole="">
            <v:imagedata r:id="rId33" o:title=""/>
          </v:shape>
          <o:OLEObject Type="Embed" ProgID="Equation.3" ShapeID="_x0000_i1032" DrawAspect="Content" ObjectID="_1643742808" r:id="rId34"/>
        </w:obje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047" w:name="_Toc107054964"/>
      <w:bookmarkStart w:id="1048" w:name="_Toc125869057"/>
      <w:bookmarkStart w:id="1049" w:name="_Toc170192529"/>
      <w:r>
        <w:rPr>
          <w:rStyle w:val="CharSectno"/>
        </w:rPr>
        <w:t>76ATB</w:t>
      </w:r>
      <w:r>
        <w:t>.</w:t>
      </w:r>
      <w:r>
        <w:tab/>
        <w:t>Meaning of “listed land</w:t>
      </w:r>
      <w:r>
        <w:noBreakHyphen/>
        <w:t>holder WA company”</w:t>
      </w:r>
      <w:bookmarkEnd w:id="1047"/>
      <w:bookmarkEnd w:id="1048"/>
      <w:bookmarkEnd w:id="1049"/>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050" w:name="_Toc107054965"/>
      <w:bookmarkStart w:id="1051" w:name="_Toc125869058"/>
      <w:bookmarkStart w:id="1052" w:name="_Toc170192530"/>
      <w:r>
        <w:rPr>
          <w:rStyle w:val="CharSectno"/>
        </w:rPr>
        <w:t>76ATC</w:t>
      </w:r>
      <w:r>
        <w:t>.</w:t>
      </w:r>
      <w:r>
        <w:tab/>
        <w:t>Meaning of “relevant acquisition”</w:t>
      </w:r>
      <w:bookmarkEnd w:id="1050"/>
      <w:bookmarkEnd w:id="1051"/>
      <w:bookmarkEnd w:id="1052"/>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053" w:name="_Toc107054966"/>
      <w:bookmarkStart w:id="1054" w:name="_Toc125869059"/>
      <w:bookmarkStart w:id="1055" w:name="_Toc170192531"/>
      <w:r>
        <w:rPr>
          <w:rStyle w:val="CharSectno"/>
        </w:rPr>
        <w:t>76ATD</w:t>
      </w:r>
      <w:r>
        <w:t>.</w:t>
      </w:r>
      <w:r>
        <w:tab/>
        <w:t>Meaning of “interest”, “controlling interest” or “additional interest”</w:t>
      </w:r>
      <w:bookmarkEnd w:id="1053"/>
      <w:bookmarkEnd w:id="1054"/>
      <w:bookmarkEnd w:id="1055"/>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056" w:name="_Toc107054967"/>
      <w:bookmarkStart w:id="1057" w:name="_Toc125869060"/>
      <w:bookmarkStart w:id="1058" w:name="_Toc170192532"/>
      <w:r>
        <w:rPr>
          <w:rStyle w:val="CharSectno"/>
        </w:rPr>
        <w:t>76ATE</w:t>
      </w:r>
      <w:r>
        <w:t>.</w:t>
      </w:r>
      <w:r>
        <w:tab/>
        <w:t>How dutiable value is determined</w:t>
      </w:r>
      <w:bookmarkEnd w:id="1056"/>
      <w:bookmarkEnd w:id="1057"/>
      <w:bookmarkEnd w:id="1058"/>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059" w:name="_Toc107054968"/>
      <w:bookmarkStart w:id="1060" w:name="_Toc125869061"/>
      <w:bookmarkStart w:id="1061" w:name="_Toc170192533"/>
      <w:r>
        <w:rPr>
          <w:rStyle w:val="CharSectno"/>
        </w:rPr>
        <w:t>76ATF</w:t>
      </w:r>
      <w:r>
        <w:t>.</w:t>
      </w:r>
      <w:r>
        <w:tab/>
        <w:t>Liability for duty</w:t>
      </w:r>
      <w:bookmarkEnd w:id="1059"/>
      <w:bookmarkEnd w:id="1060"/>
      <w:bookmarkEnd w:id="1061"/>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062" w:name="_Toc76899638"/>
      <w:bookmarkStart w:id="1063" w:name="_Toc78090540"/>
      <w:bookmarkStart w:id="1064" w:name="_Toc88886908"/>
      <w:bookmarkStart w:id="1065" w:name="_Toc90443524"/>
      <w:bookmarkStart w:id="1066" w:name="_Toc90452875"/>
      <w:bookmarkStart w:id="1067" w:name="_Toc100029466"/>
      <w:bookmarkStart w:id="1068" w:name="_Toc100031539"/>
      <w:bookmarkStart w:id="1069" w:name="_Toc100458598"/>
      <w:bookmarkStart w:id="1070" w:name="_Toc101672014"/>
      <w:bookmarkStart w:id="1071" w:name="_Toc101672271"/>
      <w:bookmarkStart w:id="1072" w:name="_Toc102799297"/>
      <w:bookmarkStart w:id="1073" w:name="_Toc102981971"/>
      <w:bookmarkStart w:id="1074" w:name="_Toc103403284"/>
      <w:bookmarkStart w:id="1075" w:name="_Toc103403541"/>
      <w:bookmarkStart w:id="1076" w:name="_Toc103747540"/>
      <w:bookmarkStart w:id="1077" w:name="_Toc107054969"/>
      <w:bookmarkStart w:id="1078" w:name="_Toc113874416"/>
      <w:bookmarkStart w:id="1079" w:name="_Toc113956832"/>
      <w:bookmarkStart w:id="1080" w:name="_Toc116717388"/>
      <w:bookmarkStart w:id="1081" w:name="_Toc116813415"/>
      <w:bookmarkStart w:id="1082" w:name="_Toc122333067"/>
      <w:bookmarkStart w:id="1083" w:name="_Toc122862037"/>
      <w:bookmarkStart w:id="1084" w:name="_Toc122862633"/>
      <w:bookmarkStart w:id="1085" w:name="_Toc122921240"/>
      <w:bookmarkStart w:id="1086" w:name="_Toc122921500"/>
      <w:bookmarkStart w:id="1087" w:name="_Toc122947445"/>
      <w:bookmarkStart w:id="1088" w:name="_Toc124046281"/>
      <w:bookmarkStart w:id="1089" w:name="_Toc125869062"/>
      <w:bookmarkStart w:id="1090" w:name="_Toc170192534"/>
      <w:r>
        <w:rPr>
          <w:rStyle w:val="CharDivNo"/>
        </w:rPr>
        <w:t>Division 3b</w:t>
      </w:r>
      <w:r>
        <w:t> — </w:t>
      </w:r>
      <w:r>
        <w:rPr>
          <w:rStyle w:val="CharDivText"/>
        </w:rPr>
        <w:t>Listed corporations incorporated, or taken to be registered, outside Western Australia, and certain other companies not within Division 3a</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tabs>
          <w:tab w:val="left" w:pos="851"/>
        </w:tabs>
      </w:pPr>
      <w:r>
        <w:tab/>
        <w:t>[Heading inserted by No. 11 of 2004 s. 29.]</w:t>
      </w:r>
    </w:p>
    <w:p>
      <w:pPr>
        <w:pStyle w:val="Heading5"/>
      </w:pPr>
      <w:bookmarkStart w:id="1091" w:name="_Toc107054970"/>
      <w:bookmarkStart w:id="1092" w:name="_Toc125869063"/>
      <w:bookmarkStart w:id="1093" w:name="_Toc170192535"/>
      <w:r>
        <w:rPr>
          <w:rStyle w:val="CharSectno"/>
        </w:rPr>
        <w:t>76ATG</w:t>
      </w:r>
      <w:r>
        <w:t>.</w:t>
      </w:r>
      <w:r>
        <w:tab/>
        <w:t>Preparation of dutiable statement</w:t>
      </w:r>
      <w:bookmarkEnd w:id="1091"/>
      <w:bookmarkEnd w:id="1092"/>
      <w:bookmarkEnd w:id="1093"/>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094" w:name="_Toc107054971"/>
      <w:bookmarkStart w:id="1095" w:name="_Toc125869064"/>
      <w:bookmarkStart w:id="1096" w:name="_Toc170192536"/>
      <w:r>
        <w:rPr>
          <w:rStyle w:val="CharSectno"/>
        </w:rPr>
        <w:t>76ATH</w:t>
      </w:r>
      <w:r>
        <w:t>.</w:t>
      </w:r>
      <w:r>
        <w:tab/>
        <w:t>Statement chargeable with duty</w:t>
      </w:r>
      <w:bookmarkEnd w:id="1094"/>
      <w:bookmarkEnd w:id="1095"/>
      <w:bookmarkEnd w:id="1096"/>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3" type="#_x0000_t75" style="width:83.25pt;height:30pt" o:ole="">
            <v:imagedata r:id="rId33" o:title=""/>
          </v:shape>
          <o:OLEObject Type="Embed" ProgID="Equation.3" ShapeID="_x0000_i1033" DrawAspect="Content" ObjectID="_1643742809" r:id="rId35"/>
        </w:obje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097" w:name="_Toc107054972"/>
      <w:bookmarkStart w:id="1098" w:name="_Toc125869065"/>
      <w:bookmarkStart w:id="1099" w:name="_Toc170192537"/>
      <w:r>
        <w:rPr>
          <w:rStyle w:val="CharSectno"/>
        </w:rPr>
        <w:t>76ATI</w:t>
      </w:r>
      <w:r>
        <w:t>.</w:t>
      </w:r>
      <w:r>
        <w:tab/>
        <w:t>Meaning of “listed land</w:t>
      </w:r>
      <w:r>
        <w:rPr>
          <w:snapToGrid w:val="0"/>
        </w:rPr>
        <w:noBreakHyphen/>
      </w:r>
      <w:r>
        <w:t>holder corporation”</w:t>
      </w:r>
      <w:bookmarkEnd w:id="1097"/>
      <w:bookmarkEnd w:id="1098"/>
      <w:bookmarkEnd w:id="1099"/>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00" w:name="_Toc107054973"/>
      <w:bookmarkStart w:id="1101" w:name="_Toc125869066"/>
      <w:bookmarkStart w:id="1102" w:name="_Toc170192538"/>
      <w:r>
        <w:rPr>
          <w:rStyle w:val="CharSectno"/>
        </w:rPr>
        <w:t>76ATJ</w:t>
      </w:r>
      <w:r>
        <w:t>.</w:t>
      </w:r>
      <w:r>
        <w:tab/>
        <w:t>Meaning o</w:t>
      </w:r>
      <w:r>
        <w:rPr>
          <w:rFonts w:ascii="Times" w:hAnsi="Times"/>
          <w:spacing w:val="40"/>
        </w:rPr>
        <w:t>f</w:t>
      </w:r>
      <w:r>
        <w:t xml:space="preserve"> “relevant acquisition”</w:t>
      </w:r>
      <w:bookmarkEnd w:id="1100"/>
      <w:bookmarkEnd w:id="1101"/>
      <w:bookmarkEnd w:id="1102"/>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03" w:name="_Toc107054974"/>
      <w:bookmarkStart w:id="1104" w:name="_Toc125869067"/>
      <w:bookmarkStart w:id="1105" w:name="_Toc170192539"/>
      <w:r>
        <w:rPr>
          <w:rStyle w:val="CharSectno"/>
        </w:rPr>
        <w:t>76ATK</w:t>
      </w:r>
      <w:r>
        <w:t>.</w:t>
      </w:r>
      <w:r>
        <w:tab/>
        <w:t>Meaning of “interest”, “controlling interest” or “additional interest”</w:t>
      </w:r>
      <w:bookmarkEnd w:id="1103"/>
      <w:bookmarkEnd w:id="1104"/>
      <w:bookmarkEnd w:id="1105"/>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106" w:name="_Toc107054975"/>
      <w:bookmarkStart w:id="1107" w:name="_Toc125869068"/>
      <w:bookmarkStart w:id="1108" w:name="_Toc170192540"/>
      <w:r>
        <w:rPr>
          <w:rStyle w:val="CharSectno"/>
        </w:rPr>
        <w:t>76ATL</w:t>
      </w:r>
      <w:r>
        <w:t>.</w:t>
      </w:r>
      <w:r>
        <w:tab/>
        <w:t>How dutiable value is determined</w:t>
      </w:r>
      <w:bookmarkEnd w:id="1106"/>
      <w:bookmarkEnd w:id="1107"/>
      <w:bookmarkEnd w:id="1108"/>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109" w:name="_Toc76899645"/>
      <w:bookmarkStart w:id="1110" w:name="_Toc78090547"/>
      <w:bookmarkStart w:id="1111" w:name="_Toc88886915"/>
      <w:bookmarkStart w:id="1112" w:name="_Toc90443531"/>
      <w:bookmarkStart w:id="1113" w:name="_Toc90452882"/>
      <w:bookmarkStart w:id="1114" w:name="_Toc100029473"/>
      <w:bookmarkStart w:id="1115" w:name="_Toc100031546"/>
      <w:bookmarkStart w:id="1116" w:name="_Toc100458605"/>
      <w:bookmarkStart w:id="1117" w:name="_Toc101672021"/>
      <w:bookmarkStart w:id="1118" w:name="_Toc101672278"/>
      <w:bookmarkStart w:id="1119" w:name="_Toc102799304"/>
      <w:bookmarkStart w:id="1120" w:name="_Toc102981978"/>
      <w:bookmarkStart w:id="1121" w:name="_Toc103403291"/>
      <w:bookmarkStart w:id="1122" w:name="_Toc103403548"/>
      <w:bookmarkStart w:id="1123" w:name="_Toc103747547"/>
      <w:bookmarkStart w:id="1124" w:name="_Toc107054976"/>
      <w:bookmarkStart w:id="1125" w:name="_Toc113874423"/>
      <w:bookmarkStart w:id="1126" w:name="_Toc113956839"/>
      <w:bookmarkStart w:id="1127" w:name="_Toc116717395"/>
      <w:bookmarkStart w:id="1128" w:name="_Toc116813422"/>
      <w:bookmarkStart w:id="1129" w:name="_Toc122333074"/>
      <w:bookmarkStart w:id="1130" w:name="_Toc122862044"/>
      <w:bookmarkStart w:id="1131" w:name="_Toc122862640"/>
      <w:bookmarkStart w:id="1132" w:name="_Toc122921247"/>
      <w:bookmarkStart w:id="1133" w:name="_Toc122921507"/>
      <w:bookmarkStart w:id="1134" w:name="_Toc122947452"/>
      <w:bookmarkStart w:id="1135" w:name="_Toc124046288"/>
      <w:bookmarkStart w:id="1136" w:name="_Toc125869069"/>
      <w:bookmarkStart w:id="1137" w:name="_Toc170192541"/>
      <w:r>
        <w:rPr>
          <w:rStyle w:val="CharDivNo"/>
        </w:rPr>
        <w:t>Division 4</w:t>
      </w:r>
      <w:r>
        <w:t> — </w:t>
      </w:r>
      <w:r>
        <w:rPr>
          <w:rStyle w:val="CharDivText"/>
        </w:rPr>
        <w:t>Reassessment of liability for duty</w:t>
      </w:r>
      <w:bookmarkEnd w:id="1040"/>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138" w:name="_Toc49223959"/>
      <w:bookmarkStart w:id="1139" w:name="_Toc107054977"/>
      <w:bookmarkStart w:id="1140" w:name="_Toc125869070"/>
      <w:bookmarkStart w:id="1141" w:name="_Toc170192542"/>
      <w:r>
        <w:rPr>
          <w:rStyle w:val="CharSectno"/>
        </w:rPr>
        <w:t>76AU</w:t>
      </w:r>
      <w:r>
        <w:t>.</w:t>
      </w:r>
      <w:r>
        <w:tab/>
        <w:t>Reassessment where deeming provision applied</w:t>
      </w:r>
      <w:bookmarkEnd w:id="1138"/>
      <w:bookmarkEnd w:id="1139"/>
      <w:bookmarkEnd w:id="1140"/>
      <w:bookmarkEnd w:id="1141"/>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142" w:name="_Toc76899647"/>
      <w:bookmarkStart w:id="1143" w:name="_Toc78090549"/>
      <w:bookmarkStart w:id="1144" w:name="_Toc88886917"/>
      <w:bookmarkStart w:id="1145" w:name="_Toc90443533"/>
      <w:bookmarkStart w:id="1146" w:name="_Toc90452884"/>
      <w:bookmarkStart w:id="1147" w:name="_Toc100029475"/>
      <w:bookmarkStart w:id="1148" w:name="_Toc100031548"/>
      <w:bookmarkStart w:id="1149" w:name="_Toc100458607"/>
      <w:bookmarkStart w:id="1150" w:name="_Toc101672023"/>
      <w:bookmarkStart w:id="1151" w:name="_Toc101672280"/>
      <w:bookmarkStart w:id="1152" w:name="_Toc102799306"/>
      <w:bookmarkStart w:id="1153" w:name="_Toc102981980"/>
      <w:bookmarkStart w:id="1154" w:name="_Toc103403293"/>
      <w:bookmarkStart w:id="1155" w:name="_Toc103403550"/>
      <w:bookmarkStart w:id="1156" w:name="_Toc103747549"/>
      <w:bookmarkStart w:id="1157" w:name="_Toc107054978"/>
      <w:bookmarkStart w:id="1158" w:name="_Toc113874425"/>
      <w:bookmarkStart w:id="1159" w:name="_Toc113956841"/>
      <w:bookmarkStart w:id="1160" w:name="_Toc116717397"/>
      <w:bookmarkStart w:id="1161" w:name="_Toc116813424"/>
      <w:bookmarkStart w:id="1162" w:name="_Toc122333076"/>
      <w:bookmarkStart w:id="1163" w:name="_Toc122862046"/>
      <w:bookmarkStart w:id="1164" w:name="_Toc122862642"/>
      <w:bookmarkStart w:id="1165" w:name="_Toc122921249"/>
      <w:bookmarkStart w:id="1166" w:name="_Toc122921509"/>
      <w:bookmarkStart w:id="1167" w:name="_Toc122947454"/>
      <w:bookmarkStart w:id="1168" w:name="_Toc124046290"/>
      <w:bookmarkStart w:id="1169" w:name="_Toc125869071"/>
      <w:bookmarkStart w:id="1170" w:name="_Toc170192543"/>
      <w:r>
        <w:rPr>
          <w:rStyle w:val="CharDivNo"/>
        </w:rPr>
        <w:t>Division 5</w:t>
      </w:r>
      <w:r>
        <w:t> — </w:t>
      </w:r>
      <w:r>
        <w:rPr>
          <w:rStyle w:val="CharDivText"/>
        </w:rPr>
        <w:t>Avoidance of duty</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851"/>
        </w:tabs>
        <w:spacing w:before="100"/>
      </w:pPr>
      <w:r>
        <w:tab/>
        <w:t>[Heading inserted by No. 11 of 2004 s. 31.]</w:t>
      </w:r>
    </w:p>
    <w:p>
      <w:pPr>
        <w:pStyle w:val="Heading5"/>
        <w:spacing w:before="200"/>
      </w:pPr>
      <w:bookmarkStart w:id="1171" w:name="_Toc107054979"/>
      <w:bookmarkStart w:id="1172" w:name="_Toc125869072"/>
      <w:bookmarkStart w:id="1173" w:name="_Toc170192544"/>
      <w:r>
        <w:rPr>
          <w:rStyle w:val="CharSectno"/>
        </w:rPr>
        <w:t>76AV</w:t>
      </w:r>
      <w:r>
        <w:t>.</w:t>
      </w:r>
      <w:r>
        <w:tab/>
        <w:t>Commissioner may determine that an obligation to lodge a statement has been avoided</w:t>
      </w:r>
      <w:bookmarkEnd w:id="1171"/>
      <w:bookmarkEnd w:id="1172"/>
      <w:bookmarkEnd w:id="1173"/>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174" w:name="_Toc107054980"/>
      <w:bookmarkStart w:id="1175" w:name="_Toc125869073"/>
      <w:bookmarkStart w:id="1176" w:name="_Toc170192545"/>
      <w:r>
        <w:rPr>
          <w:rStyle w:val="CharSectno"/>
        </w:rPr>
        <w:t>76AW</w:t>
      </w:r>
      <w:r>
        <w:t>.</w:t>
      </w:r>
      <w:r>
        <w:tab/>
        <w:t>Liability to pay duty that has been avoided</w:t>
      </w:r>
      <w:bookmarkEnd w:id="1174"/>
      <w:bookmarkEnd w:id="1175"/>
      <w:bookmarkEnd w:id="117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177" w:name="_Toc107054981"/>
      <w:bookmarkStart w:id="1178" w:name="_Toc125869074"/>
      <w:bookmarkStart w:id="1179" w:name="_Toc170192546"/>
      <w:r>
        <w:rPr>
          <w:rStyle w:val="CharSectno"/>
        </w:rPr>
        <w:t>76AX</w:t>
      </w:r>
      <w:r>
        <w:t>.</w:t>
      </w:r>
      <w:r>
        <w:tab/>
        <w:t>Reasons for determination that duty has been avoided</w:t>
      </w:r>
      <w:bookmarkEnd w:id="1177"/>
      <w:bookmarkEnd w:id="1178"/>
      <w:bookmarkEnd w:id="117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180" w:name="_Toc58902618"/>
      <w:bookmarkStart w:id="1181" w:name="_Toc76899651"/>
      <w:bookmarkStart w:id="1182" w:name="_Toc78090553"/>
      <w:bookmarkStart w:id="1183" w:name="_Toc88886921"/>
      <w:bookmarkStart w:id="1184" w:name="_Toc90443537"/>
      <w:bookmarkStart w:id="1185" w:name="_Toc90452888"/>
      <w:bookmarkStart w:id="1186" w:name="_Toc100029479"/>
      <w:bookmarkStart w:id="1187" w:name="_Toc100031552"/>
      <w:bookmarkStart w:id="1188" w:name="_Toc100458611"/>
      <w:bookmarkStart w:id="1189" w:name="_Toc101672027"/>
      <w:bookmarkStart w:id="1190" w:name="_Toc101672284"/>
      <w:bookmarkStart w:id="1191" w:name="_Toc102799310"/>
      <w:bookmarkStart w:id="1192" w:name="_Toc102981984"/>
      <w:bookmarkStart w:id="1193" w:name="_Toc103403297"/>
      <w:bookmarkStart w:id="1194" w:name="_Toc103403554"/>
      <w:bookmarkStart w:id="1195" w:name="_Toc103747553"/>
      <w:bookmarkStart w:id="1196" w:name="_Toc107054982"/>
      <w:bookmarkStart w:id="1197" w:name="_Toc113874429"/>
      <w:bookmarkStart w:id="1198" w:name="_Toc113956845"/>
      <w:bookmarkStart w:id="1199" w:name="_Toc116717401"/>
      <w:bookmarkStart w:id="1200" w:name="_Toc116813428"/>
      <w:bookmarkStart w:id="1201" w:name="_Toc122333080"/>
      <w:bookmarkStart w:id="1202" w:name="_Toc122862050"/>
      <w:bookmarkStart w:id="1203" w:name="_Toc122862646"/>
      <w:bookmarkStart w:id="1204" w:name="_Toc122921253"/>
      <w:bookmarkStart w:id="1205" w:name="_Toc122921513"/>
      <w:bookmarkStart w:id="1206" w:name="_Toc122947458"/>
      <w:bookmarkStart w:id="1207" w:name="_Toc124046294"/>
      <w:bookmarkStart w:id="1208" w:name="_Toc125869075"/>
      <w:bookmarkStart w:id="1209" w:name="_Toc170192547"/>
      <w:r>
        <w:rPr>
          <w:rStyle w:val="CharPartNo"/>
        </w:rPr>
        <w:t>Part IIIC</w:t>
      </w:r>
      <w:r>
        <w:rPr>
          <w:rStyle w:val="CharDivNo"/>
        </w:rPr>
        <w:t> </w:t>
      </w:r>
      <w:r>
        <w:t>—</w:t>
      </w:r>
      <w:r>
        <w:rPr>
          <w:rStyle w:val="CharDivText"/>
        </w:rPr>
        <w:t> </w:t>
      </w:r>
      <w:r>
        <w:rPr>
          <w:rStyle w:val="CharPartText"/>
        </w:rPr>
        <w:t>Vehicle licences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tabs>
          <w:tab w:val="left" w:pos="923"/>
        </w:tabs>
        <w:ind w:left="937" w:hanging="937"/>
      </w:pPr>
      <w:r>
        <w:tab/>
        <w:t>[Heading inserted by No. 2 of 2003 s. 100.]</w:t>
      </w:r>
    </w:p>
    <w:p>
      <w:pPr>
        <w:pStyle w:val="Heading5"/>
      </w:pPr>
      <w:bookmarkStart w:id="1210" w:name="_Toc49223960"/>
      <w:bookmarkStart w:id="1211" w:name="_Toc107054983"/>
      <w:bookmarkStart w:id="1212" w:name="_Toc125869076"/>
      <w:bookmarkStart w:id="1213" w:name="_Toc170192548"/>
      <w:r>
        <w:rPr>
          <w:rStyle w:val="CharSectno"/>
        </w:rPr>
        <w:t>76B</w:t>
      </w:r>
      <w:r>
        <w:t>.</w:t>
      </w:r>
      <w:r>
        <w:tab/>
        <w:t>Interpretation in Part IIIC</w:t>
      </w:r>
      <w:bookmarkEnd w:id="1210"/>
      <w:bookmarkEnd w:id="1211"/>
      <w:bookmarkEnd w:id="1212"/>
      <w:bookmarkEnd w:id="1213"/>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214" w:name="_Toc49223961"/>
      <w:bookmarkStart w:id="1215" w:name="_Toc107054984"/>
      <w:bookmarkStart w:id="1216" w:name="_Toc125869077"/>
      <w:bookmarkStart w:id="1217" w:name="_Toc170192549"/>
      <w:r>
        <w:rPr>
          <w:rStyle w:val="CharSectno"/>
        </w:rPr>
        <w:t>76C</w:t>
      </w:r>
      <w:r>
        <w:t>.</w:t>
      </w:r>
      <w:r>
        <w:tab/>
        <w:t>Non</w:t>
      </w:r>
      <w:r>
        <w:noBreakHyphen/>
        <w:t>beneficial change of ownership</w:t>
      </w:r>
      <w:bookmarkEnd w:id="1214"/>
      <w:bookmarkEnd w:id="1215"/>
      <w:bookmarkEnd w:id="1216"/>
      <w:bookmarkEnd w:id="1217"/>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218" w:name="_Toc49223962"/>
      <w:bookmarkStart w:id="1219" w:name="_Toc107054985"/>
      <w:bookmarkStart w:id="1220" w:name="_Toc125869078"/>
      <w:bookmarkStart w:id="1221" w:name="_Toc170192550"/>
      <w:r>
        <w:rPr>
          <w:rStyle w:val="CharSectno"/>
        </w:rPr>
        <w:t>76D</w:t>
      </w:r>
      <w:r>
        <w:t>.</w:t>
      </w:r>
      <w:r>
        <w:tab/>
        <w:t>Duty on the grant or transfer of a vehicle licence</w:t>
      </w:r>
      <w:bookmarkEnd w:id="1218"/>
      <w:bookmarkEnd w:id="1219"/>
      <w:bookmarkEnd w:id="1220"/>
      <w:bookmarkEnd w:id="1221"/>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222" w:name="_Toc49223963"/>
      <w:bookmarkStart w:id="1223" w:name="_Toc107054986"/>
      <w:bookmarkStart w:id="1224" w:name="_Toc125869079"/>
      <w:bookmarkStart w:id="1225" w:name="_Toc170192551"/>
      <w:r>
        <w:rPr>
          <w:rStyle w:val="CharSectno"/>
        </w:rPr>
        <w:t>76E</w:t>
      </w:r>
      <w:r>
        <w:t>.</w:t>
      </w:r>
      <w:r>
        <w:tab/>
        <w:t>Determination of value and assessment of duty</w:t>
      </w:r>
      <w:bookmarkEnd w:id="1222"/>
      <w:bookmarkEnd w:id="1223"/>
      <w:bookmarkEnd w:id="1224"/>
      <w:bookmarkEnd w:id="122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226" w:name="_Toc49223964"/>
      <w:bookmarkStart w:id="1227" w:name="_Toc107054987"/>
      <w:bookmarkStart w:id="1228" w:name="_Toc125869080"/>
      <w:bookmarkStart w:id="1229" w:name="_Toc170192552"/>
      <w:r>
        <w:rPr>
          <w:rStyle w:val="CharSectno"/>
        </w:rPr>
        <w:t>76F</w:t>
      </w:r>
      <w:r>
        <w:t>.</w:t>
      </w:r>
      <w:r>
        <w:tab/>
        <w:t>Payment of duty</w:t>
      </w:r>
      <w:bookmarkEnd w:id="1226"/>
      <w:bookmarkEnd w:id="1227"/>
      <w:bookmarkEnd w:id="1228"/>
      <w:bookmarkEnd w:id="122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230" w:name="_Toc49223965"/>
      <w:bookmarkStart w:id="1231" w:name="_Toc107054988"/>
      <w:bookmarkStart w:id="1232" w:name="_Toc125869081"/>
      <w:bookmarkStart w:id="1233" w:name="_Toc170192553"/>
      <w:r>
        <w:rPr>
          <w:rStyle w:val="CharSectno"/>
        </w:rPr>
        <w:t>76G</w:t>
      </w:r>
      <w:r>
        <w:t>.</w:t>
      </w:r>
      <w:r>
        <w:tab/>
        <w:t>Applicant’s statement of value in application</w:t>
      </w:r>
      <w:bookmarkEnd w:id="1230"/>
      <w:bookmarkEnd w:id="1231"/>
      <w:bookmarkEnd w:id="1232"/>
      <w:bookmarkEnd w:id="123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234" w:name="_Toc49223966"/>
      <w:bookmarkStart w:id="1235" w:name="_Toc107054989"/>
      <w:bookmarkStart w:id="1236" w:name="_Toc125869082"/>
      <w:bookmarkStart w:id="1237" w:name="_Toc170192554"/>
      <w:r>
        <w:rPr>
          <w:rStyle w:val="CharSectno"/>
        </w:rPr>
        <w:t>76H</w:t>
      </w:r>
      <w:r>
        <w:t>.</w:t>
      </w:r>
      <w:r>
        <w:tab/>
        <w:t>Seller’s obligation to notify purchase price</w:t>
      </w:r>
      <w:bookmarkEnd w:id="1234"/>
      <w:bookmarkEnd w:id="1235"/>
      <w:bookmarkEnd w:id="1236"/>
      <w:bookmarkEnd w:id="123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238" w:name="_Toc49223967"/>
      <w:bookmarkStart w:id="1239" w:name="_Toc107054990"/>
      <w:bookmarkStart w:id="1240" w:name="_Toc125869083"/>
      <w:bookmarkStart w:id="1241" w:name="_Toc170192555"/>
      <w:r>
        <w:rPr>
          <w:rStyle w:val="CharSectno"/>
        </w:rPr>
        <w:t>76I</w:t>
      </w:r>
      <w:r>
        <w:t>.</w:t>
      </w:r>
      <w:r>
        <w:tab/>
        <w:t>Use of dealer registered vehicle for other purposes</w:t>
      </w:r>
      <w:bookmarkEnd w:id="1238"/>
      <w:bookmarkEnd w:id="1239"/>
      <w:bookmarkEnd w:id="1240"/>
      <w:bookmarkEnd w:id="124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242" w:name="_Toc49223968"/>
      <w:bookmarkStart w:id="1243" w:name="_Toc107054991"/>
      <w:bookmarkStart w:id="1244" w:name="_Toc125869084"/>
      <w:bookmarkStart w:id="1245" w:name="_Toc170192556"/>
      <w:r>
        <w:rPr>
          <w:rStyle w:val="CharSectno"/>
        </w:rPr>
        <w:t>76J</w:t>
      </w:r>
      <w:r>
        <w:t>.</w:t>
      </w:r>
      <w:r>
        <w:tab/>
        <w:t>Use of specialised equipment on another vehicle</w:t>
      </w:r>
      <w:bookmarkEnd w:id="1242"/>
      <w:bookmarkEnd w:id="1243"/>
      <w:bookmarkEnd w:id="1244"/>
      <w:bookmarkEnd w:id="1245"/>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246" w:name="_Toc49223969"/>
      <w:bookmarkStart w:id="1247" w:name="_Toc107054992"/>
      <w:bookmarkStart w:id="1248" w:name="_Toc125869085"/>
      <w:bookmarkStart w:id="1249" w:name="_Toc170192557"/>
      <w:r>
        <w:rPr>
          <w:rStyle w:val="CharSectno"/>
        </w:rPr>
        <w:t>76K</w:t>
      </w:r>
      <w:r>
        <w:t>.</w:t>
      </w:r>
      <w:r>
        <w:tab/>
        <w:t>Failure to apply for transfer of licence</w:t>
      </w:r>
      <w:bookmarkEnd w:id="1246"/>
      <w:bookmarkEnd w:id="1247"/>
      <w:bookmarkEnd w:id="1248"/>
      <w:bookmarkEnd w:id="1249"/>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250" w:name="_Toc49223970"/>
      <w:bookmarkStart w:id="1251" w:name="_Toc107054993"/>
      <w:bookmarkStart w:id="1252" w:name="_Toc125869086"/>
      <w:bookmarkStart w:id="1253" w:name="_Toc170192558"/>
      <w:r>
        <w:rPr>
          <w:rStyle w:val="CharSectno"/>
        </w:rPr>
        <w:t>76L</w:t>
      </w:r>
      <w:r>
        <w:t>.</w:t>
      </w:r>
      <w:r>
        <w:tab/>
        <w:t>Powers of Director General and Commissioner</w:t>
      </w:r>
      <w:bookmarkEnd w:id="1250"/>
      <w:bookmarkEnd w:id="1251"/>
      <w:bookmarkEnd w:id="1252"/>
      <w:bookmarkEnd w:id="125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254" w:name="_Toc49223971"/>
      <w:bookmarkStart w:id="1255" w:name="_Toc107054994"/>
      <w:bookmarkStart w:id="1256" w:name="_Toc125869087"/>
      <w:bookmarkStart w:id="1257" w:name="_Toc170192559"/>
      <w:r>
        <w:rPr>
          <w:rStyle w:val="CharSectno"/>
        </w:rPr>
        <w:t>76M</w:t>
      </w:r>
      <w:r>
        <w:t>.</w:t>
      </w:r>
      <w:r>
        <w:tab/>
        <w:t>Duty to be remitted to Commissioner</w:t>
      </w:r>
      <w:bookmarkEnd w:id="1254"/>
      <w:bookmarkEnd w:id="1255"/>
      <w:bookmarkEnd w:id="1256"/>
      <w:bookmarkEnd w:id="1257"/>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258" w:name="_Toc122241798"/>
      <w:bookmarkStart w:id="1259" w:name="_Toc122331086"/>
      <w:bookmarkStart w:id="1260" w:name="_Toc125869088"/>
      <w:bookmarkStart w:id="1261" w:name="_Toc170192560"/>
      <w:r>
        <w:rPr>
          <w:rStyle w:val="CharSectno"/>
        </w:rPr>
        <w:t>76N</w:t>
      </w:r>
      <w:r>
        <w:t>.</w:t>
      </w:r>
      <w:r>
        <w:tab/>
        <w:t>Records</w:t>
      </w:r>
      <w:bookmarkEnd w:id="1258"/>
      <w:bookmarkEnd w:id="1259"/>
      <w:bookmarkEnd w:id="1260"/>
      <w:bookmarkEnd w:id="126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262" w:name="_Toc58902631"/>
      <w:bookmarkStart w:id="1263" w:name="_Toc76899664"/>
      <w:bookmarkStart w:id="1264" w:name="_Toc78090566"/>
      <w:bookmarkStart w:id="1265" w:name="_Toc88886934"/>
      <w:bookmarkStart w:id="1266" w:name="_Toc90443550"/>
      <w:bookmarkStart w:id="1267" w:name="_Toc90452901"/>
      <w:bookmarkStart w:id="1268" w:name="_Toc100029492"/>
      <w:bookmarkStart w:id="1269" w:name="_Toc100031565"/>
      <w:bookmarkStart w:id="1270" w:name="_Toc100458624"/>
      <w:bookmarkStart w:id="1271" w:name="_Toc101672040"/>
      <w:bookmarkStart w:id="1272" w:name="_Toc101672297"/>
      <w:bookmarkStart w:id="1273" w:name="_Toc102799323"/>
      <w:bookmarkStart w:id="1274" w:name="_Toc102981997"/>
      <w:bookmarkStart w:id="1275" w:name="_Toc103403310"/>
      <w:bookmarkStart w:id="1276" w:name="_Toc103403567"/>
      <w:bookmarkStart w:id="1277" w:name="_Toc103747566"/>
      <w:bookmarkStart w:id="1278" w:name="_Toc107054995"/>
      <w:bookmarkStart w:id="1279" w:name="_Toc113874442"/>
      <w:bookmarkStart w:id="1280" w:name="_Toc113956858"/>
      <w:bookmarkStart w:id="1281" w:name="_Toc116717414"/>
      <w:bookmarkStart w:id="1282" w:name="_Toc116813441"/>
      <w:bookmarkStart w:id="1283" w:name="_Toc122333094"/>
      <w:bookmarkStart w:id="1284" w:name="_Toc122862064"/>
      <w:bookmarkStart w:id="1285" w:name="_Toc122862660"/>
      <w:bookmarkStart w:id="1286" w:name="_Toc122921267"/>
      <w:bookmarkStart w:id="1287" w:name="_Toc122921527"/>
      <w:bookmarkStart w:id="1288" w:name="_Toc122947472"/>
      <w:bookmarkStart w:id="1289" w:name="_Toc124046308"/>
      <w:bookmarkStart w:id="1290" w:name="_Toc125869089"/>
      <w:bookmarkStart w:id="1291" w:name="_Toc170192561"/>
      <w:r>
        <w:rPr>
          <w:rStyle w:val="CharPartNo"/>
        </w:rPr>
        <w:t>Part IIID</w:t>
      </w:r>
      <w:r>
        <w:rPr>
          <w:rStyle w:val="CharDivNo"/>
        </w:rPr>
        <w:t> </w:t>
      </w:r>
      <w:r>
        <w:t>—</w:t>
      </w:r>
      <w:r>
        <w:rPr>
          <w:rStyle w:val="CharDivText"/>
        </w:rPr>
        <w:t> </w:t>
      </w:r>
      <w:r>
        <w:rPr>
          <w:rStyle w:val="CharPartText"/>
        </w:rPr>
        <w:t>Leases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292" w:name="_Toc500739998"/>
      <w:bookmarkStart w:id="1293" w:name="_Toc520101190"/>
      <w:bookmarkStart w:id="1294" w:name="_Toc520533089"/>
      <w:bookmarkStart w:id="1295" w:name="_Toc49223972"/>
      <w:bookmarkStart w:id="1296" w:name="_Toc107054996"/>
      <w:bookmarkStart w:id="1297" w:name="_Toc125869090"/>
      <w:bookmarkStart w:id="1298" w:name="_Toc170192562"/>
      <w:r>
        <w:rPr>
          <w:rStyle w:val="CharSectno"/>
        </w:rPr>
        <w:t>77</w:t>
      </w:r>
      <w:r>
        <w:rPr>
          <w:snapToGrid w:val="0"/>
        </w:rPr>
        <w:t>.</w:t>
      </w:r>
      <w:r>
        <w:rPr>
          <w:snapToGrid w:val="0"/>
        </w:rPr>
        <w:tab/>
        <w:t>Agreement for any lease to be charged as a lease</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299" w:name="_Toc107054997"/>
      <w:bookmarkStart w:id="1300" w:name="_Toc125869091"/>
      <w:bookmarkStart w:id="1301" w:name="_Toc170192563"/>
      <w:bookmarkStart w:id="1302" w:name="_Toc500739999"/>
      <w:bookmarkStart w:id="1303" w:name="_Toc520101191"/>
      <w:bookmarkStart w:id="1304" w:name="_Toc520533090"/>
      <w:bookmarkStart w:id="1305" w:name="_Toc49223973"/>
      <w:r>
        <w:rPr>
          <w:rStyle w:val="CharSectno"/>
        </w:rPr>
        <w:t>77A</w:t>
      </w:r>
      <w:r>
        <w:t>.</w:t>
      </w:r>
      <w:r>
        <w:tab/>
        <w:t>Offer to lease</w:t>
      </w:r>
      <w:bookmarkEnd w:id="1299"/>
      <w:bookmarkEnd w:id="1300"/>
      <w:bookmarkEnd w:id="1301"/>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306" w:name="_Toc107054998"/>
      <w:bookmarkStart w:id="1307" w:name="_Toc125869092"/>
      <w:bookmarkStart w:id="1308" w:name="_Toc170192564"/>
      <w:r>
        <w:rPr>
          <w:rStyle w:val="CharSectno"/>
        </w:rPr>
        <w:t>78</w:t>
      </w:r>
      <w:r>
        <w:rPr>
          <w:snapToGrid w:val="0"/>
        </w:rPr>
        <w:t>.</w:t>
      </w:r>
      <w:r>
        <w:rPr>
          <w:snapToGrid w:val="0"/>
        </w:rPr>
        <w:tab/>
        <w:t>Leases: how to be charged in respect of produce, etc.</w:t>
      </w:r>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309" w:name="_Toc500740000"/>
      <w:bookmarkStart w:id="1310" w:name="_Toc520101192"/>
      <w:bookmarkStart w:id="1311" w:name="_Toc520533091"/>
      <w:r>
        <w:tab/>
        <w:t>[Section 78 amended by No. 2 of 2003 s. 102.]</w:t>
      </w:r>
    </w:p>
    <w:p>
      <w:pPr>
        <w:pStyle w:val="Heading5"/>
        <w:rPr>
          <w:snapToGrid w:val="0"/>
        </w:rPr>
      </w:pPr>
      <w:bookmarkStart w:id="1312" w:name="_Toc49223974"/>
      <w:bookmarkStart w:id="1313" w:name="_Toc107054999"/>
      <w:bookmarkStart w:id="1314" w:name="_Toc125869093"/>
      <w:bookmarkStart w:id="1315" w:name="_Toc170192565"/>
      <w:r>
        <w:rPr>
          <w:rStyle w:val="CharSectno"/>
        </w:rPr>
        <w:t>79</w:t>
      </w:r>
      <w:r>
        <w:rPr>
          <w:snapToGrid w:val="0"/>
        </w:rPr>
        <w:t>.</w:t>
      </w:r>
      <w:r>
        <w:rPr>
          <w:snapToGrid w:val="0"/>
        </w:rPr>
        <w:tab/>
        <w:t>Directions as to duty in certain cases</w:t>
      </w:r>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316" w:name="_Toc500740002"/>
      <w:bookmarkStart w:id="1317" w:name="_Toc520101194"/>
      <w:bookmarkStart w:id="1318" w:name="_Toc520533093"/>
      <w:bookmarkStart w:id="1319" w:name="_Toc49223976"/>
      <w:bookmarkStart w:id="1320" w:name="_Toc107055000"/>
      <w:bookmarkStart w:id="1321" w:name="_Toc125869094"/>
      <w:bookmarkStart w:id="1322" w:name="_Toc170192566"/>
      <w:r>
        <w:rPr>
          <w:rStyle w:val="CharSectno"/>
        </w:rPr>
        <w:t>80A</w:t>
      </w:r>
      <w:r>
        <w:rPr>
          <w:snapToGrid w:val="0"/>
        </w:rPr>
        <w:t>.</w:t>
      </w:r>
      <w:r>
        <w:rPr>
          <w:snapToGrid w:val="0"/>
        </w:rPr>
        <w:tab/>
        <w:t xml:space="preserve">Power </w:t>
      </w:r>
      <w:bookmarkEnd w:id="1316"/>
      <w:bookmarkEnd w:id="1317"/>
      <w:bookmarkEnd w:id="1318"/>
      <w:bookmarkEnd w:id="1319"/>
      <w:r>
        <w:rPr>
          <w:snapToGrid w:val="0"/>
        </w:rPr>
        <w:t>to exempt instruments made for charitable or similar purposes</w:t>
      </w:r>
      <w:bookmarkEnd w:id="1320"/>
      <w:bookmarkEnd w:id="1321"/>
      <w:bookmarkEnd w:id="1322"/>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323" w:name="_Toc76899670"/>
      <w:bookmarkStart w:id="1324" w:name="_Toc78090572"/>
      <w:bookmarkStart w:id="1325" w:name="_Toc88886940"/>
      <w:bookmarkStart w:id="1326" w:name="_Toc90443556"/>
      <w:bookmarkStart w:id="1327" w:name="_Toc90452907"/>
      <w:bookmarkStart w:id="1328" w:name="_Toc100029498"/>
      <w:bookmarkStart w:id="1329" w:name="_Toc100031571"/>
      <w:bookmarkStart w:id="1330" w:name="_Toc100458630"/>
      <w:bookmarkStart w:id="1331" w:name="_Toc101672046"/>
      <w:bookmarkStart w:id="1332" w:name="_Toc101672303"/>
      <w:bookmarkStart w:id="1333" w:name="_Toc102799329"/>
      <w:bookmarkStart w:id="1334" w:name="_Toc102982003"/>
      <w:bookmarkStart w:id="1335" w:name="_Toc103403316"/>
      <w:bookmarkStart w:id="1336" w:name="_Toc103403573"/>
      <w:bookmarkStart w:id="1337" w:name="_Toc103747572"/>
      <w:bookmarkStart w:id="1338" w:name="_Toc107055001"/>
      <w:bookmarkStart w:id="1339" w:name="_Toc113874448"/>
      <w:bookmarkStart w:id="1340" w:name="_Toc113956864"/>
      <w:bookmarkStart w:id="1341" w:name="_Toc116717420"/>
      <w:bookmarkStart w:id="1342" w:name="_Toc116813447"/>
      <w:bookmarkStart w:id="1343" w:name="_Toc122333100"/>
      <w:bookmarkStart w:id="1344" w:name="_Toc122862070"/>
      <w:bookmarkStart w:id="1345" w:name="_Toc122862666"/>
      <w:bookmarkStart w:id="1346" w:name="_Toc122921273"/>
      <w:bookmarkStart w:id="1347" w:name="_Toc122921533"/>
      <w:bookmarkStart w:id="1348" w:name="_Toc122947478"/>
      <w:bookmarkStart w:id="1349" w:name="_Toc124046314"/>
      <w:bookmarkStart w:id="1350" w:name="_Toc125869095"/>
      <w:bookmarkStart w:id="1351" w:name="_Toc170192567"/>
      <w:r>
        <w:rPr>
          <w:rStyle w:val="CharPartNo"/>
        </w:rPr>
        <w:t>Part IIIE</w:t>
      </w:r>
      <w:r>
        <w:rPr>
          <w:b w:val="0"/>
        </w:rPr>
        <w:t> </w:t>
      </w:r>
      <w:r>
        <w:t>—</w:t>
      </w:r>
      <w:r>
        <w:rPr>
          <w:b w:val="0"/>
        </w:rPr>
        <w:t> </w:t>
      </w:r>
      <w:r>
        <w:rPr>
          <w:rStyle w:val="CharPartText"/>
        </w:rPr>
        <w:t>Mortgage duty</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851"/>
        </w:tabs>
      </w:pPr>
      <w:r>
        <w:tab/>
        <w:t>[Heading inserted by No. 66 of 2003 s. 79.]</w:t>
      </w:r>
    </w:p>
    <w:p>
      <w:pPr>
        <w:pStyle w:val="Heading3"/>
      </w:pPr>
      <w:bookmarkStart w:id="1352" w:name="_Toc76899671"/>
      <w:bookmarkStart w:id="1353" w:name="_Toc78090573"/>
      <w:bookmarkStart w:id="1354" w:name="_Toc88886941"/>
      <w:bookmarkStart w:id="1355" w:name="_Toc90443557"/>
      <w:bookmarkStart w:id="1356" w:name="_Toc90452908"/>
      <w:bookmarkStart w:id="1357" w:name="_Toc100029499"/>
      <w:bookmarkStart w:id="1358" w:name="_Toc100031572"/>
      <w:bookmarkStart w:id="1359" w:name="_Toc100458631"/>
      <w:bookmarkStart w:id="1360" w:name="_Toc101672047"/>
      <w:bookmarkStart w:id="1361" w:name="_Toc101672304"/>
      <w:bookmarkStart w:id="1362" w:name="_Toc102799330"/>
      <w:bookmarkStart w:id="1363" w:name="_Toc102982004"/>
      <w:bookmarkStart w:id="1364" w:name="_Toc103403317"/>
      <w:bookmarkStart w:id="1365" w:name="_Toc103403574"/>
      <w:bookmarkStart w:id="1366" w:name="_Toc103747573"/>
      <w:bookmarkStart w:id="1367" w:name="_Toc107055002"/>
      <w:bookmarkStart w:id="1368" w:name="_Toc113874449"/>
      <w:bookmarkStart w:id="1369" w:name="_Toc113956865"/>
      <w:bookmarkStart w:id="1370" w:name="_Toc116717421"/>
      <w:bookmarkStart w:id="1371" w:name="_Toc116813448"/>
      <w:bookmarkStart w:id="1372" w:name="_Toc122333101"/>
      <w:bookmarkStart w:id="1373" w:name="_Toc122862071"/>
      <w:bookmarkStart w:id="1374" w:name="_Toc122862667"/>
      <w:bookmarkStart w:id="1375" w:name="_Toc122921274"/>
      <w:bookmarkStart w:id="1376" w:name="_Toc122921534"/>
      <w:bookmarkStart w:id="1377" w:name="_Toc122947479"/>
      <w:bookmarkStart w:id="1378" w:name="_Toc124046315"/>
      <w:bookmarkStart w:id="1379" w:name="_Toc125869096"/>
      <w:bookmarkStart w:id="1380" w:name="_Toc170192568"/>
      <w:r>
        <w:rPr>
          <w:rStyle w:val="CharDivNo"/>
        </w:rPr>
        <w:t>Division 1</w:t>
      </w:r>
      <w:r>
        <w:t> — </w:t>
      </w:r>
      <w:r>
        <w:rPr>
          <w:rStyle w:val="CharDivText"/>
        </w:rPr>
        <w:t>Interpretation for this Part</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left" w:pos="851"/>
        </w:tabs>
      </w:pPr>
      <w:r>
        <w:tab/>
        <w:t>[Heading inserted by No. 66 of 2003 s. 79.]</w:t>
      </w:r>
    </w:p>
    <w:p>
      <w:pPr>
        <w:pStyle w:val="Heading5"/>
      </w:pPr>
      <w:bookmarkStart w:id="1381" w:name="_Toc107055003"/>
      <w:bookmarkStart w:id="1382" w:name="_Toc125869097"/>
      <w:bookmarkStart w:id="1383" w:name="_Toc170192569"/>
      <w:r>
        <w:rPr>
          <w:rStyle w:val="CharSectno"/>
        </w:rPr>
        <w:t>81</w:t>
      </w:r>
      <w:r>
        <w:t>.</w:t>
      </w:r>
      <w:r>
        <w:tab/>
        <w:t>Definitions</w:t>
      </w:r>
      <w:bookmarkEnd w:id="1381"/>
      <w:bookmarkEnd w:id="1382"/>
      <w:bookmarkEnd w:id="1383"/>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384" w:name="_Toc107055004"/>
      <w:bookmarkStart w:id="1385" w:name="_Toc125869098"/>
      <w:bookmarkStart w:id="1386" w:name="_Toc170192570"/>
      <w:r>
        <w:rPr>
          <w:rStyle w:val="CharSectno"/>
        </w:rPr>
        <w:t>82</w:t>
      </w:r>
      <w:r>
        <w:t>.</w:t>
      </w:r>
      <w:r>
        <w:tab/>
        <w:t>Mortgages</w:t>
      </w:r>
      <w:bookmarkEnd w:id="1384"/>
      <w:bookmarkEnd w:id="1385"/>
      <w:bookmarkEnd w:id="1386"/>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387" w:name="_Toc107055005"/>
      <w:bookmarkStart w:id="1388" w:name="_Toc125869099"/>
      <w:bookmarkStart w:id="1389" w:name="_Toc170192571"/>
      <w:r>
        <w:rPr>
          <w:rStyle w:val="CharSectno"/>
        </w:rPr>
        <w:t>83</w:t>
      </w:r>
      <w:r>
        <w:t>.</w:t>
      </w:r>
      <w:r>
        <w:tab/>
        <w:t>Advances</w:t>
      </w:r>
      <w:bookmarkEnd w:id="1387"/>
      <w:bookmarkEnd w:id="1388"/>
      <w:bookmarkEnd w:id="1389"/>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390" w:name="_Toc107055006"/>
      <w:bookmarkStart w:id="1391" w:name="_Toc125869100"/>
      <w:bookmarkStart w:id="1392" w:name="_Toc170192572"/>
      <w:r>
        <w:rPr>
          <w:rStyle w:val="CharSectno"/>
        </w:rPr>
        <w:t>84</w:t>
      </w:r>
      <w:r>
        <w:t>.</w:t>
      </w:r>
      <w:r>
        <w:tab/>
        <w:t>Loans</w:t>
      </w:r>
      <w:bookmarkEnd w:id="1390"/>
      <w:bookmarkEnd w:id="1391"/>
      <w:bookmarkEnd w:id="1392"/>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393" w:name="_Toc107055007"/>
      <w:bookmarkStart w:id="1394" w:name="_Toc125869101"/>
      <w:bookmarkStart w:id="1395" w:name="_Toc170192573"/>
      <w:r>
        <w:rPr>
          <w:rStyle w:val="CharSectno"/>
        </w:rPr>
        <w:t>85</w:t>
      </w:r>
      <w:r>
        <w:t>.</w:t>
      </w:r>
      <w:r>
        <w:tab/>
        <w:t>Home mortgages</w:t>
      </w:r>
      <w:bookmarkEnd w:id="1393"/>
      <w:bookmarkEnd w:id="1394"/>
      <w:bookmarkEnd w:id="1395"/>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396" w:name="_Toc76899677"/>
      <w:bookmarkStart w:id="1397" w:name="_Toc78090579"/>
      <w:bookmarkStart w:id="1398" w:name="_Toc88886947"/>
      <w:bookmarkStart w:id="1399" w:name="_Toc90443563"/>
      <w:bookmarkStart w:id="1400" w:name="_Toc90452914"/>
      <w:bookmarkStart w:id="1401" w:name="_Toc100029505"/>
      <w:bookmarkStart w:id="1402" w:name="_Toc100031578"/>
      <w:bookmarkStart w:id="1403" w:name="_Toc100458637"/>
      <w:bookmarkStart w:id="1404" w:name="_Toc101672053"/>
      <w:bookmarkStart w:id="1405" w:name="_Toc101672310"/>
      <w:bookmarkStart w:id="1406" w:name="_Toc102799336"/>
      <w:bookmarkStart w:id="1407" w:name="_Toc102982010"/>
      <w:bookmarkStart w:id="1408" w:name="_Toc103403323"/>
      <w:bookmarkStart w:id="1409" w:name="_Toc103403580"/>
      <w:bookmarkStart w:id="1410" w:name="_Toc103747579"/>
      <w:bookmarkStart w:id="1411" w:name="_Toc107055008"/>
      <w:bookmarkStart w:id="1412" w:name="_Toc113874455"/>
      <w:bookmarkStart w:id="1413" w:name="_Toc113956871"/>
      <w:bookmarkStart w:id="1414" w:name="_Toc116717427"/>
      <w:bookmarkStart w:id="1415" w:name="_Toc116813454"/>
      <w:bookmarkStart w:id="1416" w:name="_Toc122333107"/>
      <w:bookmarkStart w:id="1417" w:name="_Toc122862077"/>
      <w:bookmarkStart w:id="1418" w:name="_Toc122862673"/>
      <w:bookmarkStart w:id="1419" w:name="_Toc122921280"/>
      <w:bookmarkStart w:id="1420" w:name="_Toc122921540"/>
      <w:bookmarkStart w:id="1421" w:name="_Toc122947485"/>
      <w:bookmarkStart w:id="1422" w:name="_Toc124046321"/>
      <w:bookmarkStart w:id="1423" w:name="_Toc125869102"/>
      <w:bookmarkStart w:id="1424" w:name="_Toc170192574"/>
      <w:r>
        <w:rPr>
          <w:rStyle w:val="CharDivNo"/>
        </w:rPr>
        <w:t>Division 2</w:t>
      </w:r>
      <w:r>
        <w:rPr>
          <w:sz w:val="24"/>
        </w:rPr>
        <w:t> — </w:t>
      </w:r>
      <w:r>
        <w:rPr>
          <w:rStyle w:val="CharDivText"/>
        </w:rPr>
        <w:t>Liability for mortgage duty</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tabs>
          <w:tab w:val="left" w:pos="851"/>
        </w:tabs>
      </w:pPr>
      <w:r>
        <w:tab/>
        <w:t>[Heading inserted by No. 66 of 2003 s. 79.]</w:t>
      </w:r>
    </w:p>
    <w:p>
      <w:pPr>
        <w:pStyle w:val="Heading5"/>
      </w:pPr>
      <w:bookmarkStart w:id="1425" w:name="_Toc107055009"/>
      <w:bookmarkStart w:id="1426" w:name="_Toc125869103"/>
      <w:bookmarkStart w:id="1427" w:name="_Toc170192575"/>
      <w:r>
        <w:rPr>
          <w:rStyle w:val="CharSectno"/>
        </w:rPr>
        <w:t>86</w:t>
      </w:r>
      <w:r>
        <w:t>.</w:t>
      </w:r>
      <w:r>
        <w:tab/>
        <w:t>Assessing mortgage duty</w:t>
      </w:r>
      <w:bookmarkEnd w:id="1425"/>
      <w:bookmarkEnd w:id="1426"/>
      <w:bookmarkEnd w:id="142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428" w:name="_Toc123698930"/>
      <w:bookmarkStart w:id="1429" w:name="_Toc125869104"/>
      <w:bookmarkStart w:id="1430" w:name="_Toc170192576"/>
      <w:bookmarkStart w:id="1431" w:name="_Toc107055010"/>
      <w:r>
        <w:rPr>
          <w:rStyle w:val="CharSectno"/>
        </w:rPr>
        <w:t>86A</w:t>
      </w:r>
      <w:r>
        <w:t>.</w:t>
      </w:r>
      <w:r>
        <w:tab/>
        <w:t>Exemption — refinancing home loans</w:t>
      </w:r>
      <w:bookmarkEnd w:id="1428"/>
      <w:bookmarkEnd w:id="1429"/>
      <w:bookmarkEnd w:id="143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 xml:space="preserve">If —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 xml:space="preserve">then —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432" w:name="_Toc123698931"/>
      <w:r>
        <w:tab/>
        <w:t>[Section 86A inserted by No. 34 of 2005 s. 10(1).]</w:t>
      </w:r>
    </w:p>
    <w:p>
      <w:pPr>
        <w:pStyle w:val="Heading5"/>
      </w:pPr>
      <w:bookmarkStart w:id="1433" w:name="_Toc125869105"/>
      <w:bookmarkStart w:id="1434" w:name="_Toc170192577"/>
      <w:r>
        <w:rPr>
          <w:rStyle w:val="CharSectno"/>
        </w:rPr>
        <w:t>86B</w:t>
      </w:r>
      <w:r>
        <w:t>.</w:t>
      </w:r>
      <w:r>
        <w:tab/>
        <w:t>Exemption — refinancing small business loans</w:t>
      </w:r>
      <w:bookmarkEnd w:id="1432"/>
      <w:bookmarkEnd w:id="1433"/>
      <w:bookmarkEnd w:id="1434"/>
    </w:p>
    <w:p>
      <w:pPr>
        <w:pStyle w:val="Subsection"/>
      </w:pPr>
      <w:r>
        <w:tab/>
        <w:t>(1)</w:t>
      </w:r>
      <w:r>
        <w:tab/>
        <w:t xml:space="preserve">Duty is not payable on a business mortgage to the extent to which —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 xml:space="preserve">Subsection (1) does not apply unless —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435" w:name="_Toc125869106"/>
      <w:bookmarkStart w:id="1436" w:name="_Toc170192578"/>
      <w:r>
        <w:rPr>
          <w:rStyle w:val="CharSectno"/>
        </w:rPr>
        <w:t>87</w:t>
      </w:r>
      <w:r>
        <w:t>.</w:t>
      </w:r>
      <w:r>
        <w:tab/>
        <w:t>Liability dates</w:t>
      </w:r>
      <w:bookmarkEnd w:id="1431"/>
      <w:bookmarkEnd w:id="1435"/>
      <w:bookmarkEnd w:id="1436"/>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437" w:name="_Toc107055011"/>
      <w:bookmarkStart w:id="1438" w:name="_Toc125869107"/>
      <w:bookmarkStart w:id="1439" w:name="_Toc170192579"/>
      <w:r>
        <w:rPr>
          <w:rStyle w:val="CharSectno"/>
        </w:rPr>
        <w:t>88</w:t>
      </w:r>
      <w:r>
        <w:t>.</w:t>
      </w:r>
      <w:r>
        <w:tab/>
        <w:t>Stamping before advance</w:t>
      </w:r>
      <w:bookmarkEnd w:id="1437"/>
      <w:bookmarkEnd w:id="1438"/>
      <w:bookmarkEnd w:id="143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440" w:name="_Toc76899681"/>
      <w:bookmarkStart w:id="1441" w:name="_Toc78090583"/>
      <w:bookmarkStart w:id="1442" w:name="_Toc88886951"/>
      <w:bookmarkStart w:id="1443" w:name="_Toc90443567"/>
      <w:bookmarkStart w:id="1444" w:name="_Toc90452918"/>
      <w:bookmarkStart w:id="1445" w:name="_Toc100029509"/>
      <w:bookmarkStart w:id="1446" w:name="_Toc100031582"/>
      <w:bookmarkStart w:id="1447" w:name="_Toc100458641"/>
      <w:bookmarkStart w:id="1448" w:name="_Toc101672057"/>
      <w:bookmarkStart w:id="1449" w:name="_Toc101672314"/>
      <w:bookmarkStart w:id="1450" w:name="_Toc102799340"/>
      <w:bookmarkStart w:id="1451" w:name="_Toc102982014"/>
      <w:bookmarkStart w:id="1452" w:name="_Toc103403327"/>
      <w:bookmarkStart w:id="1453" w:name="_Toc103403584"/>
      <w:bookmarkStart w:id="1454" w:name="_Toc103747583"/>
      <w:bookmarkStart w:id="1455" w:name="_Toc107055012"/>
      <w:bookmarkStart w:id="1456" w:name="_Toc113874459"/>
      <w:bookmarkStart w:id="1457" w:name="_Toc113956875"/>
      <w:bookmarkStart w:id="1458" w:name="_Toc116717431"/>
      <w:bookmarkStart w:id="1459" w:name="_Toc116813458"/>
      <w:bookmarkStart w:id="1460" w:name="_Toc122333111"/>
      <w:bookmarkStart w:id="1461" w:name="_Toc122862081"/>
      <w:bookmarkStart w:id="1462" w:name="_Toc122862677"/>
      <w:bookmarkStart w:id="1463" w:name="_Toc122921284"/>
      <w:bookmarkStart w:id="1464" w:name="_Toc122921544"/>
      <w:bookmarkStart w:id="1465" w:name="_Toc122947489"/>
      <w:bookmarkStart w:id="1466" w:name="_Toc124046327"/>
      <w:bookmarkStart w:id="1467" w:name="_Toc125869108"/>
      <w:bookmarkStart w:id="1468" w:name="_Toc170192580"/>
      <w:r>
        <w:rPr>
          <w:rStyle w:val="CharDivNo"/>
        </w:rPr>
        <w:t>Division 3</w:t>
      </w:r>
      <w:r>
        <w:t> — </w:t>
      </w:r>
      <w:r>
        <w:rPr>
          <w:rStyle w:val="CharDivText"/>
        </w:rPr>
        <w:t>Amount secured by a mortgage</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keepNext/>
        <w:tabs>
          <w:tab w:val="left" w:pos="851"/>
        </w:tabs>
      </w:pPr>
      <w:r>
        <w:tab/>
        <w:t>[Heading inserted by No. 66 of 2003 s. 79.]</w:t>
      </w:r>
    </w:p>
    <w:p>
      <w:pPr>
        <w:pStyle w:val="Heading5"/>
      </w:pPr>
      <w:bookmarkStart w:id="1469" w:name="_Toc107055013"/>
      <w:bookmarkStart w:id="1470" w:name="_Toc125869109"/>
      <w:bookmarkStart w:id="1471" w:name="_Toc170192581"/>
      <w:r>
        <w:rPr>
          <w:rStyle w:val="CharSectno"/>
        </w:rPr>
        <w:t>89</w:t>
      </w:r>
      <w:r>
        <w:t>.</w:t>
      </w:r>
      <w:r>
        <w:tab/>
        <w:t>The secured amount</w:t>
      </w:r>
      <w:bookmarkEnd w:id="1469"/>
      <w:bookmarkEnd w:id="1470"/>
      <w:bookmarkEnd w:id="1471"/>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472" w:name="_Toc107055014"/>
      <w:bookmarkStart w:id="1473" w:name="_Toc125869110"/>
      <w:bookmarkStart w:id="1474" w:name="_Toc170192582"/>
      <w:r>
        <w:rPr>
          <w:rStyle w:val="CharSectno"/>
        </w:rPr>
        <w:t>90</w:t>
      </w:r>
      <w:r>
        <w:t>.</w:t>
      </w:r>
      <w:r>
        <w:tab/>
        <w:t>Contingent liabilities</w:t>
      </w:r>
      <w:bookmarkEnd w:id="1472"/>
      <w:bookmarkEnd w:id="1473"/>
      <w:bookmarkEnd w:id="147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475" w:name="_Toc107055015"/>
      <w:bookmarkStart w:id="1476" w:name="_Toc125869111"/>
      <w:bookmarkStart w:id="1477" w:name="_Toc170192583"/>
      <w:r>
        <w:rPr>
          <w:rStyle w:val="CharSectno"/>
        </w:rPr>
        <w:t>91</w:t>
      </w:r>
      <w:r>
        <w:t>.</w:t>
      </w:r>
      <w:r>
        <w:tab/>
        <w:t>Mortgage over property partly outside WA</w:t>
      </w:r>
      <w:bookmarkEnd w:id="1475"/>
      <w:bookmarkEnd w:id="1476"/>
      <w:bookmarkEnd w:id="147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478" w:name="_Toc107055016"/>
      <w:bookmarkStart w:id="1479" w:name="_Toc125869112"/>
      <w:bookmarkStart w:id="1480" w:name="_Toc170192584"/>
      <w:r>
        <w:rPr>
          <w:rStyle w:val="CharSectno"/>
        </w:rPr>
        <w:t>91A</w:t>
      </w:r>
      <w:r>
        <w:t>.</w:t>
      </w:r>
      <w:r>
        <w:tab/>
        <w:t>Mortgage packages</w:t>
      </w:r>
      <w:bookmarkEnd w:id="1478"/>
      <w:bookmarkEnd w:id="1479"/>
      <w:bookmarkEnd w:id="1480"/>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481" w:name="_Toc107055017"/>
      <w:bookmarkStart w:id="1482" w:name="_Toc125869113"/>
      <w:bookmarkStart w:id="1483" w:name="_Toc170192585"/>
      <w:r>
        <w:rPr>
          <w:rStyle w:val="CharSectno"/>
        </w:rPr>
        <w:t>91B</w:t>
      </w:r>
      <w:r>
        <w:t>.</w:t>
      </w:r>
      <w:r>
        <w:tab/>
        <w:t>Collateral mortgages</w:t>
      </w:r>
      <w:bookmarkEnd w:id="1481"/>
      <w:bookmarkEnd w:id="1482"/>
      <w:bookmarkEnd w:id="1483"/>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484" w:name="_Toc107055018"/>
      <w:bookmarkStart w:id="1485" w:name="_Toc125869114"/>
      <w:bookmarkStart w:id="1486" w:name="_Toc170192586"/>
      <w:r>
        <w:rPr>
          <w:rStyle w:val="CharSectno"/>
        </w:rPr>
        <w:t>91C</w:t>
      </w:r>
      <w:r>
        <w:t>.</w:t>
      </w:r>
      <w:r>
        <w:tab/>
        <w:t>Extent to which mortgage can be enforced</w:t>
      </w:r>
      <w:bookmarkEnd w:id="1484"/>
      <w:bookmarkEnd w:id="1485"/>
      <w:bookmarkEnd w:id="1486"/>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487" w:name="_Toc107055019"/>
      <w:bookmarkStart w:id="1488" w:name="_Toc125869115"/>
      <w:bookmarkStart w:id="1489" w:name="_Toc170192587"/>
      <w:r>
        <w:rPr>
          <w:rStyle w:val="CharSectno"/>
        </w:rPr>
        <w:t>91D</w:t>
      </w:r>
      <w:r>
        <w:t>.</w:t>
      </w:r>
      <w:r>
        <w:tab/>
        <w:t>Use of stamped and collateral mortgages as security</w:t>
      </w:r>
      <w:bookmarkEnd w:id="1487"/>
      <w:bookmarkEnd w:id="1488"/>
      <w:bookmarkEnd w:id="148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490" w:name="_Toc107055020"/>
      <w:bookmarkStart w:id="1491" w:name="_Toc125869116"/>
      <w:bookmarkStart w:id="1492" w:name="_Toc170192588"/>
      <w:r>
        <w:rPr>
          <w:rStyle w:val="CharSectno"/>
        </w:rPr>
        <w:t>91E</w:t>
      </w:r>
      <w:r>
        <w:t>.</w:t>
      </w:r>
      <w:r>
        <w:tab/>
        <w:t>Multi</w:t>
      </w:r>
      <w:r>
        <w:noBreakHyphen/>
        <w:t>jurisdictional statement</w:t>
      </w:r>
      <w:bookmarkEnd w:id="1490"/>
      <w:bookmarkEnd w:id="1491"/>
      <w:bookmarkEnd w:id="149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493" w:name="_Toc107055021"/>
      <w:bookmarkStart w:id="1494" w:name="_Toc125869117"/>
      <w:bookmarkStart w:id="1495" w:name="_Toc170192589"/>
      <w:r>
        <w:rPr>
          <w:rStyle w:val="CharSectno"/>
        </w:rPr>
        <w:t>91F</w:t>
      </w:r>
      <w:r>
        <w:t>.</w:t>
      </w:r>
      <w:r>
        <w:tab/>
        <w:t>Exemptions for charitable or public purposes</w:t>
      </w:r>
      <w:bookmarkEnd w:id="1493"/>
      <w:bookmarkEnd w:id="1494"/>
      <w:bookmarkEnd w:id="1495"/>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496" w:name="_Toc58902648"/>
      <w:bookmarkStart w:id="1497" w:name="_Toc76899691"/>
      <w:bookmarkStart w:id="1498" w:name="_Toc78090593"/>
      <w:bookmarkStart w:id="1499" w:name="_Toc88886961"/>
      <w:bookmarkStart w:id="1500" w:name="_Toc90443577"/>
      <w:bookmarkStart w:id="1501" w:name="_Toc90452928"/>
      <w:bookmarkStart w:id="1502" w:name="_Toc100029519"/>
      <w:bookmarkStart w:id="1503" w:name="_Toc100031592"/>
      <w:bookmarkStart w:id="1504" w:name="_Toc100458651"/>
      <w:bookmarkStart w:id="1505" w:name="_Toc101672067"/>
      <w:bookmarkStart w:id="1506" w:name="_Toc101672324"/>
      <w:bookmarkStart w:id="1507" w:name="_Toc102799350"/>
      <w:bookmarkStart w:id="1508" w:name="_Toc102982024"/>
      <w:bookmarkStart w:id="1509" w:name="_Toc103403337"/>
      <w:bookmarkStart w:id="1510" w:name="_Toc103403594"/>
      <w:bookmarkStart w:id="1511" w:name="_Toc103747593"/>
      <w:bookmarkStart w:id="1512" w:name="_Toc107055022"/>
      <w:bookmarkStart w:id="1513" w:name="_Toc113874469"/>
      <w:bookmarkStart w:id="1514" w:name="_Toc113956885"/>
      <w:bookmarkStart w:id="1515" w:name="_Toc116717441"/>
      <w:bookmarkStart w:id="1516" w:name="_Toc116813468"/>
      <w:bookmarkStart w:id="1517" w:name="_Toc122333121"/>
      <w:bookmarkStart w:id="1518" w:name="_Toc122862091"/>
      <w:bookmarkStart w:id="1519" w:name="_Toc122862687"/>
      <w:bookmarkStart w:id="1520" w:name="_Toc122921294"/>
      <w:bookmarkStart w:id="1521" w:name="_Toc122921554"/>
      <w:bookmarkStart w:id="1522" w:name="_Toc122947499"/>
      <w:bookmarkStart w:id="1523" w:name="_Toc124046337"/>
      <w:bookmarkStart w:id="1524" w:name="_Toc125869118"/>
      <w:bookmarkStart w:id="1525" w:name="_Toc170192590"/>
      <w:r>
        <w:rPr>
          <w:rStyle w:val="CharPartNo"/>
        </w:rPr>
        <w:t>Part IIIF</w:t>
      </w:r>
      <w:r>
        <w:rPr>
          <w:rStyle w:val="CharDivNo"/>
        </w:rPr>
        <w:t> </w:t>
      </w:r>
      <w:r>
        <w:t>—</w:t>
      </w:r>
      <w:r>
        <w:rPr>
          <w:rStyle w:val="CharDivText"/>
        </w:rPr>
        <w:t> </w:t>
      </w:r>
      <w:r>
        <w:rPr>
          <w:rStyle w:val="CharPartText"/>
        </w:rPr>
        <w:t>Policies of insurance</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68.] </w:t>
      </w:r>
    </w:p>
    <w:p>
      <w:pPr>
        <w:pStyle w:val="Heading5"/>
        <w:spacing w:before="180"/>
        <w:rPr>
          <w:snapToGrid w:val="0"/>
        </w:rPr>
      </w:pPr>
      <w:bookmarkStart w:id="1526" w:name="_Toc500740013"/>
      <w:bookmarkStart w:id="1527" w:name="_Toc520101205"/>
      <w:bookmarkStart w:id="1528" w:name="_Toc520533104"/>
      <w:bookmarkStart w:id="1529" w:name="_Toc49223987"/>
      <w:bookmarkStart w:id="1530" w:name="_Toc107055023"/>
      <w:bookmarkStart w:id="1531" w:name="_Toc125869119"/>
      <w:bookmarkStart w:id="1532" w:name="_Toc170192591"/>
      <w:r>
        <w:rPr>
          <w:rStyle w:val="CharSectno"/>
        </w:rPr>
        <w:t>92</w:t>
      </w:r>
      <w:r>
        <w:rPr>
          <w:snapToGrid w:val="0"/>
        </w:rPr>
        <w:t>.</w:t>
      </w:r>
      <w:r>
        <w:rPr>
          <w:snapToGrid w:val="0"/>
        </w:rPr>
        <w:tab/>
        <w:t>Interpretation in Part IIIF</w:t>
      </w:r>
      <w:bookmarkEnd w:id="1526"/>
      <w:bookmarkEnd w:id="1527"/>
      <w:bookmarkEnd w:id="1528"/>
      <w:bookmarkEnd w:id="1529"/>
      <w:bookmarkEnd w:id="1530"/>
      <w:bookmarkEnd w:id="1531"/>
      <w:bookmarkEnd w:id="1532"/>
      <w:r>
        <w:rPr>
          <w:snapToGrid w:val="0"/>
        </w:rPr>
        <w:t xml:space="preserve"> </w:t>
      </w:r>
    </w:p>
    <w:p>
      <w:pPr>
        <w:pStyle w:val="Subsection"/>
        <w:spacing w:before="120"/>
        <w:rPr>
          <w:snapToGrid w:val="0"/>
        </w:rPr>
      </w:pPr>
      <w:r>
        <w:rPr>
          <w:snapToGrid w:val="0"/>
        </w:rPr>
        <w:tab/>
        <w:t>(1)</w:t>
      </w:r>
      <w:r>
        <w:rPr>
          <w:snapToGrid w:val="0"/>
        </w:rPr>
        <w:tab/>
        <w:t>In this Part, except so far as the context requires otherwise — </w:t>
      </w:r>
    </w:p>
    <w:p>
      <w:pPr>
        <w:pStyle w:val="Defstart"/>
        <w:spacing w:before="60"/>
      </w:pPr>
      <w:r>
        <w:rPr>
          <w:b/>
        </w:rPr>
        <w:tab/>
        <w:t>“</w:t>
      </w:r>
      <w:r>
        <w:rPr>
          <w:rStyle w:val="CharDefText"/>
        </w:rPr>
        <w:t>insurance company</w:t>
      </w:r>
      <w:r>
        <w:rPr>
          <w:b/>
        </w:rPr>
        <w:t>”</w:t>
      </w:r>
      <w:r>
        <w:t xml:space="preserve"> includes the Insurance Commission of Western Australia continued under the </w:t>
      </w:r>
      <w:r>
        <w:rPr>
          <w:i/>
        </w:rPr>
        <w:t>Insurance Commission of Western Australia Act 1986</w:t>
      </w:r>
      <w:r>
        <w:t>;</w:t>
      </w:r>
    </w:p>
    <w:p>
      <w:pPr>
        <w:pStyle w:val="Defstart"/>
        <w:spacing w:before="60"/>
      </w:pPr>
      <w:r>
        <w:rPr>
          <w:b/>
        </w:rPr>
        <w:tab/>
        <w:t>“</w:t>
      </w:r>
      <w:r>
        <w:rPr>
          <w:rStyle w:val="CharDefText"/>
        </w:rPr>
        <w:t>person resident in Western Australia</w:t>
      </w:r>
      <w:r>
        <w:rPr>
          <w:b/>
        </w:rPr>
        <w:t>”</w:t>
      </w:r>
      <w:r>
        <w:t xml:space="preserve"> includes any body corporate — </w:t>
      </w:r>
    </w:p>
    <w:p>
      <w:pPr>
        <w:pStyle w:val="Defpara"/>
        <w:spacing w:before="60"/>
      </w:pPr>
      <w:r>
        <w:tab/>
        <w:t>(a)</w:t>
      </w:r>
      <w:r>
        <w:tab/>
        <w:t>which is a corporation; or</w:t>
      </w:r>
    </w:p>
    <w:p>
      <w:pPr>
        <w:pStyle w:val="Defpara"/>
        <w:spacing w:before="60"/>
      </w:pPr>
      <w:r>
        <w:tab/>
        <w:t>(b)</w:t>
      </w:r>
      <w:r>
        <w:tab/>
        <w:t>which carries on business in Western Australia;</w:t>
      </w:r>
    </w:p>
    <w:p>
      <w:pPr>
        <w:pStyle w:val="Defstart"/>
        <w:spacing w:before="60"/>
      </w:pPr>
      <w:r>
        <w:rPr>
          <w:b/>
          <w:spacing w:val="-4"/>
        </w:rPr>
        <w:tab/>
        <w:t>“</w:t>
      </w:r>
      <w:r>
        <w:rPr>
          <w:rStyle w:val="CharDefText"/>
        </w:rPr>
        <w:t>policy of insurance</w:t>
      </w:r>
      <w:r>
        <w:rPr>
          <w:b/>
          <w:spacing w:val="-4"/>
        </w:rPr>
        <w:t>”</w:t>
      </w:r>
      <w:r>
        <w:rPr>
          <w:spacing w:val="-4"/>
        </w:rPr>
        <w:t xml:space="preserve"> includes every certificate, receipt or declaration concerning the existence of any instrument of guarantee or indemnity or any agreement for any insurance or any instrument whereby any contract of insurance is made and which operates in Western Australia wholly or in part as an insurance, whether issued in or outside Western Australia, and includes a policy of insurance against </w:t>
      </w:r>
      <w:r>
        <w:t>accident, but does not include —</w:t>
      </w:r>
    </w:p>
    <w:p>
      <w:pPr>
        <w:pStyle w:val="Defpara"/>
        <w:spacing w:before="60"/>
      </w:pPr>
      <w:r>
        <w:tab/>
        <w:t>(a)</w:t>
      </w:r>
      <w:r>
        <w:tab/>
        <w:t xml:space="preserve">any policy of life insurance where the period for which the insurance is effected commences on or after the day on which section 80 of the </w:t>
      </w:r>
      <w:r>
        <w:rPr>
          <w:i/>
        </w:rPr>
        <w:t>Business Tax Review (Assessment) Act (No. 2) 2003</w:t>
      </w:r>
      <w:r>
        <w:t xml:space="preserve"> came into operation; or</w:t>
      </w:r>
    </w:p>
    <w:p>
      <w:pPr>
        <w:pStyle w:val="Defpara"/>
        <w:spacing w:before="60"/>
      </w:pPr>
      <w:r>
        <w:tab/>
        <w:t>(b)</w:t>
      </w:r>
      <w:r>
        <w:tab/>
        <w:t xml:space="preserve">any policy of insurance against an employer’s liability to pay compensation under the </w:t>
      </w:r>
      <w:r>
        <w:rPr>
          <w:i/>
        </w:rPr>
        <w:t>Workers’ Compensation and Injury Management Act 1981</w:t>
      </w:r>
      <w:r>
        <w:rPr>
          <w:vertAlign w:val="superscript"/>
        </w:rPr>
        <w:t> 6</w:t>
      </w:r>
      <w:r>
        <w:t xml:space="preserve"> where the period for which the insurance is effected commences on or after 30 June 2004;</w:t>
      </w:r>
    </w:p>
    <w:p>
      <w:pPr>
        <w:pStyle w:val="Defstart"/>
        <w:spacing w:before="60"/>
      </w:pPr>
      <w:r>
        <w:rPr>
          <w:b/>
        </w:rPr>
        <w:tab/>
        <w:t>“</w:t>
      </w:r>
      <w:r>
        <w:rPr>
          <w:rStyle w:val="CharDefText"/>
        </w:rPr>
        <w:t>policy of insurance against accident</w:t>
      </w:r>
      <w:r>
        <w:rPr>
          <w:b/>
        </w:rPr>
        <w:t>”</w:t>
      </w:r>
      <w:r>
        <w:t xml:space="preserve"> means a policy of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policy of life insurance</w:t>
      </w:r>
      <w:r>
        <w:rPr>
          <w:b/>
        </w:rPr>
        <w:t>”</w:t>
      </w:r>
      <w:r>
        <w:t xml:space="preserve"> means a policy of insurance or assurance on any life or lives or on any event or contingency relating to or depending on any life or lives, except a policy of insurance against accident;</w:t>
      </w:r>
    </w:p>
    <w:p>
      <w:pPr>
        <w:pStyle w:val="Defstart"/>
        <w:keepNext/>
        <w:keepLines/>
        <w:spacing w:before="60"/>
      </w:pPr>
      <w:r>
        <w:rPr>
          <w:b/>
        </w:rPr>
        <w:tab/>
        <w:t>“</w:t>
      </w:r>
      <w:r>
        <w:rPr>
          <w:rStyle w:val="CharDefText"/>
        </w:rPr>
        <w:t>premium</w:t>
      </w:r>
      <w:r>
        <w:rPr>
          <w:b/>
        </w:rPr>
        <w:t>”</w:t>
      </w:r>
      <w:r>
        <w:t>, in respect of a policy of insurance or a policy of insurance against accident, means the gross premium reckoned so as to include any commission or discount paid in respect of that premium.</w:t>
      </w:r>
    </w:p>
    <w:p>
      <w:pPr>
        <w:pStyle w:val="Subsection"/>
      </w:pPr>
      <w:r>
        <w:tab/>
        <w:t>(2)</w:t>
      </w:r>
      <w:r>
        <w:tab/>
        <w:t>If —</w:t>
      </w:r>
    </w:p>
    <w:p>
      <w:pPr>
        <w:pStyle w:val="Indenta"/>
      </w:pPr>
      <w:r>
        <w:tab/>
        <w:t>(a)</w:t>
      </w:r>
      <w:r>
        <w:tab/>
        <w:t xml:space="preserve">a policy of life insurance, in addition to providing the insurance referred to in the definition of “policy of life insurance”, also provides for the payment of a benefit on the happening of an event or contingency that does not relate to or depend on a life or lives (the </w:t>
      </w:r>
      <w:r>
        <w:rPr>
          <w:b/>
        </w:rPr>
        <w:t>“</w:t>
      </w:r>
      <w:r>
        <w:rPr>
          <w:rStyle w:val="CharDefText"/>
        </w:rPr>
        <w:t>additional insurance</w:t>
      </w:r>
      <w:r>
        <w:rPr>
          <w:b/>
        </w:rPr>
        <w:t>”</w:t>
      </w:r>
      <w:r>
        <w:t xml:space="preserve">); and </w:t>
      </w:r>
    </w:p>
    <w:p>
      <w:pPr>
        <w:pStyle w:val="Indenta"/>
      </w:pPr>
      <w:r>
        <w:tab/>
        <w:t>(b)</w:t>
      </w:r>
      <w:r>
        <w:tab/>
        <w:t xml:space="preserve">an identifiable part of the premium payable under the policy is attributable to the additional insurance, </w:t>
      </w:r>
    </w:p>
    <w:p>
      <w:pPr>
        <w:pStyle w:val="Subsection"/>
      </w:pPr>
      <w:r>
        <w:tab/>
      </w:r>
      <w:r>
        <w:tab/>
        <w:t xml:space="preserve">then to the extent that it provides for the additional insurance, the policy is a policy of insurance but is not a policy of life insurance. </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spacing w:before="80"/>
        <w:ind w:left="890" w:hanging="890"/>
      </w:pPr>
      <w:r>
        <w:tab/>
        <w:t>[Section 92 inserted by No. 37 of 1979 s. 69; amended by No. 10 of 1982 s. 28; No. 41 of 1989 s. 23; No. 49 of 1992 s. 29; No. 39 of 1994 s. 21; No. 45 of 1996 s. 38; No. 2 of 2003 s. 111; No. 66 of 2003 s. 80 and 98(1)</w:t>
      </w:r>
      <w:r>
        <w:rPr>
          <w:i w:val="0"/>
          <w:vertAlign w:val="superscript"/>
        </w:rPr>
        <w:t xml:space="preserve"> 4</w:t>
      </w:r>
      <w:r>
        <w:t xml:space="preserve">.] </w:t>
      </w:r>
    </w:p>
    <w:p>
      <w:pPr>
        <w:pStyle w:val="Heading5"/>
      </w:pPr>
      <w:bookmarkStart w:id="1533" w:name="_Toc49223988"/>
      <w:bookmarkStart w:id="1534" w:name="_Toc107055024"/>
      <w:bookmarkStart w:id="1535" w:name="_Toc125869120"/>
      <w:bookmarkStart w:id="1536" w:name="_Toc170192592"/>
      <w:bookmarkStart w:id="1537" w:name="_Toc500740015"/>
      <w:bookmarkStart w:id="1538" w:name="_Toc520101207"/>
      <w:bookmarkStart w:id="1539" w:name="_Toc520533106"/>
      <w:r>
        <w:rPr>
          <w:rStyle w:val="CharSectno"/>
        </w:rPr>
        <w:t>92A</w:t>
      </w:r>
      <w:r>
        <w:t>.</w:t>
      </w:r>
      <w:r>
        <w:tab/>
        <w:t>Dutiable statement required if policy issued outside Western Australia</w:t>
      </w:r>
      <w:bookmarkEnd w:id="1533"/>
      <w:bookmarkEnd w:id="1534"/>
      <w:bookmarkEnd w:id="1535"/>
      <w:bookmarkEnd w:id="1536"/>
      <w:r>
        <w:t xml:space="preserve"> </w:t>
      </w:r>
    </w:p>
    <w:p>
      <w:pPr>
        <w:pStyle w:val="Subsection"/>
        <w:spacing w:before="130"/>
      </w:pPr>
      <w:r>
        <w:rPr>
          <w:snapToGrid w:val="0"/>
        </w:rPr>
        <w:tab/>
        <w:t>(1)</w:t>
      </w:r>
      <w:r>
        <w:rPr>
          <w:snapToGrid w:val="0"/>
        </w:rPr>
        <w:tab/>
        <w:t xml:space="preserve">Every person resident in Western Australia who </w:t>
      </w:r>
      <w:r>
        <w:t>effects any insurance in respect of — </w:t>
      </w:r>
    </w:p>
    <w:p>
      <w:pPr>
        <w:pStyle w:val="Indenta"/>
        <w:spacing w:before="60"/>
      </w:pPr>
      <w:r>
        <w:tab/>
        <w:t>(a)</w:t>
      </w:r>
      <w:r>
        <w:tab/>
        <w:t xml:space="preserve">property in Western Australia; or </w:t>
      </w:r>
    </w:p>
    <w:p>
      <w:pPr>
        <w:pStyle w:val="Indenta"/>
        <w:spacing w:before="60"/>
      </w:pPr>
      <w:r>
        <w:tab/>
        <w:t>(b)</w:t>
      </w:r>
      <w:r>
        <w:tab/>
        <w:t>any liability, loss or damage occurring or brought about by the happening of any event within Western Australia,</w:t>
      </w:r>
    </w:p>
    <w:p>
      <w:pPr>
        <w:pStyle w:val="Subsection"/>
        <w:spacing w:before="80"/>
        <w:rPr>
          <w:snapToGrid w:val="0"/>
        </w:rPr>
      </w:pPr>
      <w:r>
        <w:rPr>
          <w:snapToGrid w:val="0"/>
        </w:rPr>
        <w:tab/>
      </w:r>
      <w:r>
        <w:rPr>
          <w:snapToGrid w:val="0"/>
        </w:rPr>
        <w:tab/>
        <w:t xml:space="preserve">for which insurance a policy of insurance is or is to be issued or renewed outside </w:t>
      </w:r>
      <w:r>
        <w:t xml:space="preserve">Western Australia </w:t>
      </w:r>
      <w:r>
        <w:rPr>
          <w:snapToGrid w:val="0"/>
        </w:rPr>
        <w:t xml:space="preserve">shall within one month after effecting the insurance lodge with the Commissioner a statement in respect of the insurance. </w:t>
      </w:r>
    </w:p>
    <w:p>
      <w:pPr>
        <w:pStyle w:val="Penstart"/>
        <w:spacing w:before="60"/>
        <w:rPr>
          <w:snapToGrid w:val="0"/>
        </w:rPr>
      </w:pPr>
      <w:r>
        <w:tab/>
        <w:t>Penalty: $20 000.</w:t>
      </w:r>
    </w:p>
    <w:p>
      <w:pPr>
        <w:pStyle w:val="Subsection"/>
        <w:spacing w:before="120"/>
      </w:pPr>
      <w:r>
        <w:tab/>
        <w:t>(2)</w:t>
      </w:r>
      <w:r>
        <w:tab/>
        <w:t>A dutiable statement is to be prepared in an approved form.</w:t>
      </w:r>
    </w:p>
    <w:p>
      <w:pPr>
        <w:pStyle w:val="Subsection"/>
        <w:spacing w:before="120"/>
      </w:pPr>
      <w:r>
        <w:tab/>
        <w:t>(3)</w:t>
      </w:r>
      <w:r>
        <w:tab/>
        <w:t>A dutiable statement lodged under subsection (1) is taken to be a policy of insurance in respect of the insurance to which it relates and is chargeable with duty accordingly.</w:t>
      </w:r>
    </w:p>
    <w:p>
      <w:pPr>
        <w:pStyle w:val="Subsection"/>
        <w:spacing w:before="120"/>
      </w:pPr>
      <w:r>
        <w:tab/>
        <w:t>(4)</w:t>
      </w:r>
      <w:r>
        <w:tab/>
        <w:t>The duty payable on a dutiable statement lodged under subsection (1) is payable —</w:t>
      </w:r>
    </w:p>
    <w:p>
      <w:pPr>
        <w:pStyle w:val="Indenta"/>
        <w:spacing w:before="60"/>
      </w:pPr>
      <w:r>
        <w:tab/>
        <w:t>(a)</w:t>
      </w:r>
      <w:r>
        <w:tab/>
        <w:t xml:space="preserve">by the person who effected the insurance; and </w:t>
      </w:r>
    </w:p>
    <w:p>
      <w:pPr>
        <w:pStyle w:val="Indenta"/>
        <w:spacing w:before="60"/>
      </w:pPr>
      <w:r>
        <w:tab/>
        <w:t>(b)</w:t>
      </w:r>
      <w:r>
        <w:tab/>
        <w:t>within one month after the insurance was effected.</w:t>
      </w:r>
    </w:p>
    <w:p>
      <w:pPr>
        <w:pStyle w:val="Subsection"/>
        <w:spacing w:before="120"/>
      </w:pPr>
      <w:r>
        <w:tab/>
        <w:t>(5)</w:t>
      </w:r>
      <w:r>
        <w:tab/>
        <w:t xml:space="preserve">Subsections (1) to (4) do not apply if, before a dutiable statement lodged under subsection (1) is stamped, a policy of insurance for the insurance referred to in subsection (1) is stamped. </w:t>
      </w:r>
    </w:p>
    <w:p>
      <w:pPr>
        <w:pStyle w:val="Subsection"/>
        <w:spacing w:before="120"/>
      </w:pPr>
      <w:r>
        <w:tab/>
        <w:t>(6)</w:t>
      </w:r>
      <w:r>
        <w:tab/>
        <w:t xml:space="preserve">A person resident in Western Australia must not accept payment of, or agree to have allowed on account, any money on or in respect of any insurance the policy for which is or is to be issued or </w:t>
      </w:r>
      <w:r>
        <w:rPr>
          <w:snapToGrid w:val="0"/>
        </w:rPr>
        <w:t>renewed</w:t>
      </w:r>
      <w:r>
        <w:t xml:space="preserve"> outside Western Australia unless the policy, or a dutiable statement in respect of the insurance, has been stamped. </w:t>
      </w:r>
    </w:p>
    <w:p>
      <w:pPr>
        <w:pStyle w:val="Penstart"/>
        <w:spacing w:before="60"/>
      </w:pPr>
      <w:r>
        <w:tab/>
        <w:t>Penalty: $20 000.</w:t>
      </w:r>
    </w:p>
    <w:p>
      <w:pPr>
        <w:pStyle w:val="Footnotesection"/>
        <w:spacing w:before="100"/>
        <w:ind w:left="890" w:hanging="890"/>
      </w:pPr>
      <w:r>
        <w:tab/>
        <w:t>[Section 92A inserted by No. 2 of 2003 s. 112; amended by No. 66 of 2003 s. 81.]</w:t>
      </w:r>
    </w:p>
    <w:p>
      <w:pPr>
        <w:pStyle w:val="Ednotesection"/>
      </w:pPr>
      <w:bookmarkStart w:id="1540" w:name="_Toc500740016"/>
      <w:bookmarkStart w:id="1541" w:name="_Toc520101208"/>
      <w:bookmarkStart w:id="1542" w:name="_Toc520533107"/>
      <w:bookmarkEnd w:id="1537"/>
      <w:bookmarkEnd w:id="1538"/>
      <w:bookmarkEnd w:id="1539"/>
      <w:r>
        <w:t>[</w:t>
      </w:r>
      <w:r>
        <w:rPr>
          <w:b/>
        </w:rPr>
        <w:t>92AA.</w:t>
      </w:r>
      <w:r>
        <w:rPr>
          <w:b/>
        </w:rPr>
        <w:tab/>
      </w:r>
      <w:r>
        <w:t>Repealed by No. 2 of 2003 s. 113.]</w:t>
      </w:r>
    </w:p>
    <w:p>
      <w:pPr>
        <w:pStyle w:val="Heading5"/>
        <w:rPr>
          <w:snapToGrid w:val="0"/>
        </w:rPr>
      </w:pPr>
      <w:bookmarkStart w:id="1543" w:name="_Toc49223989"/>
      <w:bookmarkStart w:id="1544" w:name="_Toc107055025"/>
      <w:bookmarkStart w:id="1545" w:name="_Toc125869121"/>
      <w:bookmarkStart w:id="1546" w:name="_Toc170192593"/>
      <w:r>
        <w:rPr>
          <w:rStyle w:val="CharSectno"/>
        </w:rPr>
        <w:t>92B</w:t>
      </w:r>
      <w:r>
        <w:rPr>
          <w:snapToGrid w:val="0"/>
        </w:rPr>
        <w:t>.</w:t>
      </w:r>
      <w:r>
        <w:rPr>
          <w:snapToGrid w:val="0"/>
        </w:rPr>
        <w:tab/>
        <w:t>Statements to be made in respect of certain insurance</w:t>
      </w:r>
      <w:bookmarkEnd w:id="1540"/>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Every person — </w:t>
      </w:r>
    </w:p>
    <w:p>
      <w:pPr>
        <w:pStyle w:val="Indenta"/>
        <w:spacing w:before="120"/>
        <w:rPr>
          <w:snapToGrid w:val="0"/>
        </w:rPr>
      </w:pPr>
      <w:r>
        <w:rPr>
          <w:snapToGrid w:val="0"/>
        </w:rPr>
        <w:tab/>
        <w:t>(a)</w:t>
      </w:r>
      <w:r>
        <w:rPr>
          <w:snapToGrid w:val="0"/>
        </w:rPr>
        <w:tab/>
        <w:t>with whom there is effected by any person resident in</w:t>
      </w:r>
      <w:r>
        <w:t xml:space="preserve"> Western Australia</w:t>
      </w:r>
      <w:r>
        <w:rPr>
          <w:snapToGrid w:val="0"/>
        </w:rPr>
        <w:t xml:space="preserve">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and who in connection therewith issued or issues a policy of insurance or a renewal of any such policy outside</w:t>
      </w:r>
      <w:r>
        <w:t xml:space="preserve"> Western Australia</w:t>
      </w:r>
      <w:r>
        <w:rPr>
          <w:snapToGrid w:val="0"/>
        </w:rPr>
        <w:t>; or</w:t>
      </w:r>
    </w:p>
    <w:p>
      <w:pPr>
        <w:pStyle w:val="Indenta"/>
        <w:spacing w:before="120"/>
        <w:rPr>
          <w:snapToGrid w:val="0"/>
        </w:rPr>
      </w:pPr>
      <w:r>
        <w:rPr>
          <w:snapToGrid w:val="0"/>
        </w:rPr>
        <w:tab/>
        <w:t>(b)</w:t>
      </w:r>
      <w:r>
        <w:rPr>
          <w:snapToGrid w:val="0"/>
        </w:rPr>
        <w:tab/>
        <w:t xml:space="preserve">who for or on behalf of any person resident in </w:t>
      </w:r>
      <w:r>
        <w:t>Western Australia</w:t>
      </w:r>
      <w:r>
        <w:rPr>
          <w:snapToGrid w:val="0"/>
        </w:rPr>
        <w:t xml:space="preserve"> arranges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for which insurance a policy of insurance or a renewal of any such policy was or is issued outside</w:t>
      </w:r>
      <w:r>
        <w:t xml:space="preserve"> Western Australia</w:t>
      </w:r>
      <w:r>
        <w:rPr>
          <w:snapToGrid w:val="0"/>
        </w:rPr>
        <w:t>,</w:t>
      </w:r>
    </w:p>
    <w:p>
      <w:pPr>
        <w:pStyle w:val="Subsection"/>
        <w:spacing w:before="100"/>
        <w:rPr>
          <w:snapToGrid w:val="0"/>
        </w:rPr>
      </w:pPr>
      <w:r>
        <w:rPr>
          <w:snapToGrid w:val="0"/>
        </w:rPr>
        <w:tab/>
      </w:r>
      <w:r>
        <w:rPr>
          <w:snapToGrid w:val="0"/>
        </w:rPr>
        <w:tab/>
        <w:t>shall furnish a statement each month to the Commissioner giving such particulars of that policy or renewal as the Commissioner requires.</w:t>
      </w:r>
    </w:p>
    <w:p>
      <w:pPr>
        <w:pStyle w:val="Penstart"/>
      </w:pPr>
      <w:r>
        <w:tab/>
        <w:t>Penalty: $20 000.</w:t>
      </w:r>
    </w:p>
    <w:p>
      <w:pPr>
        <w:pStyle w:val="Subsection"/>
        <w:rPr>
          <w:snapToGrid w:val="0"/>
        </w:rPr>
      </w:pPr>
      <w:r>
        <w:rPr>
          <w:snapToGrid w:val="0"/>
        </w:rPr>
        <w:tab/>
        <w:t>(2)</w:t>
      </w:r>
      <w:r>
        <w:rPr>
          <w:snapToGrid w:val="0"/>
        </w:rPr>
        <w:tab/>
        <w:t xml:space="preserve">A </w:t>
      </w:r>
      <w:r>
        <w:t>statement</w:t>
      </w:r>
      <w:r>
        <w:rPr>
          <w:snapToGrid w:val="0"/>
        </w:rPr>
        <w:t xml:space="preserve"> required to be furnished to the Commissioner under subsection (1) — </w:t>
      </w:r>
    </w:p>
    <w:p>
      <w:pPr>
        <w:pStyle w:val="Indenta"/>
        <w:rPr>
          <w:snapToGrid w:val="0"/>
        </w:rPr>
      </w:pPr>
      <w:r>
        <w:rPr>
          <w:snapToGrid w:val="0"/>
        </w:rPr>
        <w:tab/>
        <w:t>(a)</w:t>
      </w:r>
      <w:r>
        <w:rPr>
          <w:snapToGrid w:val="0"/>
        </w:rPr>
        <w:tab/>
        <w:t xml:space="preserve">shall be furnished within a period of 15 days after the end of the month to which that </w:t>
      </w:r>
      <w:r>
        <w:t>statement</w:t>
      </w:r>
      <w:r>
        <w:rPr>
          <w:snapToGrid w:val="0"/>
        </w:rPr>
        <w:t xml:space="preserve"> relates;</w:t>
      </w:r>
    </w:p>
    <w:p>
      <w:pPr>
        <w:pStyle w:val="Indenta"/>
        <w:rPr>
          <w:snapToGrid w:val="0"/>
        </w:rPr>
      </w:pPr>
      <w:r>
        <w:rPr>
          <w:snapToGrid w:val="0"/>
        </w:rPr>
        <w:tab/>
        <w:t>(b)</w:t>
      </w:r>
      <w:r>
        <w:rPr>
          <w:snapToGrid w:val="0"/>
        </w:rPr>
        <w:tab/>
        <w:t>may contain particulars of more than one policy of insurance or renewal of a policy of insurance; and</w:t>
      </w:r>
    </w:p>
    <w:p>
      <w:pPr>
        <w:pStyle w:val="Indenta"/>
        <w:rPr>
          <w:snapToGrid w:val="0"/>
        </w:rPr>
      </w:pPr>
      <w:r>
        <w:rPr>
          <w:snapToGrid w:val="0"/>
        </w:rPr>
        <w:tab/>
        <w:t>(c)</w:t>
      </w:r>
      <w:r>
        <w:rPr>
          <w:snapToGrid w:val="0"/>
        </w:rPr>
        <w:tab/>
        <w:t xml:space="preserve">shall, when no insurance referred to in that subsection has been effected during the month to which that </w:t>
      </w:r>
      <w:r>
        <w:t>statement</w:t>
      </w:r>
      <w:r>
        <w:rPr>
          <w:snapToGrid w:val="0"/>
        </w:rPr>
        <w:t xml:space="preserve"> relates, be a nil statement.</w:t>
      </w:r>
    </w:p>
    <w:p>
      <w:pPr>
        <w:pStyle w:val="Ednotesubsection"/>
        <w:tabs>
          <w:tab w:val="clear" w:pos="879"/>
          <w:tab w:val="left" w:pos="1418"/>
        </w:tabs>
        <w:spacing w:before="120"/>
        <w:ind w:left="1418" w:hanging="1134"/>
      </w:pPr>
      <w:r>
        <w:tab/>
        <w:t>[(3), (4)</w:t>
      </w:r>
      <w:r>
        <w:tab/>
        <w:t>repealed]</w:t>
      </w:r>
    </w:p>
    <w:p>
      <w:pPr>
        <w:pStyle w:val="Subsection"/>
        <w:spacing w:before="100"/>
        <w:rPr>
          <w:snapToGrid w:val="0"/>
        </w:rPr>
      </w:pPr>
      <w:r>
        <w:rPr>
          <w:snapToGrid w:val="0"/>
        </w:rPr>
        <w:tab/>
        <w:t>(5)</w:t>
      </w:r>
      <w:r>
        <w:rPr>
          <w:snapToGrid w:val="0"/>
        </w:rPr>
        <w:tab/>
        <w:t>A statement furnished to the Commissioner under this section is admissible in evidence in any proceedings under section 92A or section 94 and is evidence of the facts stated therein.</w:t>
      </w:r>
    </w:p>
    <w:p>
      <w:pPr>
        <w:pStyle w:val="Footnotesection"/>
      </w:pPr>
      <w:r>
        <w:tab/>
        <w:t xml:space="preserve">[Section 92B inserted by No. 54 of 1968 s. 6; amended by No. 32 of 1972 s. 6; No. 37 of 1979 s. 71; No. 61 of 1983 s. 4; No. 2 of 2003 s. 114; No. 66 of 2003 s. 82.] </w:t>
      </w:r>
    </w:p>
    <w:p>
      <w:pPr>
        <w:pStyle w:val="Ednotesection"/>
        <w:ind w:left="890" w:hanging="890"/>
      </w:pPr>
      <w:r>
        <w:t>[</w:t>
      </w:r>
      <w:r>
        <w:rPr>
          <w:b/>
        </w:rPr>
        <w:t>93.</w:t>
      </w:r>
      <w:r>
        <w:tab/>
      </w:r>
      <w:r>
        <w:tab/>
        <w:t xml:space="preserve">Repealed by No. 37 of 1979 s. 72.] </w:t>
      </w:r>
    </w:p>
    <w:p>
      <w:pPr>
        <w:pStyle w:val="Heading5"/>
        <w:rPr>
          <w:snapToGrid w:val="0"/>
        </w:rPr>
      </w:pPr>
      <w:bookmarkStart w:id="1547" w:name="_Toc500740017"/>
      <w:bookmarkStart w:id="1548" w:name="_Toc520101209"/>
      <w:bookmarkStart w:id="1549" w:name="_Toc520533108"/>
      <w:bookmarkStart w:id="1550" w:name="_Toc49223990"/>
      <w:bookmarkStart w:id="1551" w:name="_Toc107055026"/>
      <w:bookmarkStart w:id="1552" w:name="_Toc125869122"/>
      <w:bookmarkStart w:id="1553" w:name="_Toc170192594"/>
      <w:r>
        <w:rPr>
          <w:rStyle w:val="CharSectno"/>
        </w:rPr>
        <w:t>94</w:t>
      </w:r>
      <w:r>
        <w:rPr>
          <w:snapToGrid w:val="0"/>
        </w:rPr>
        <w:t>.</w:t>
      </w:r>
      <w:r>
        <w:rPr>
          <w:snapToGrid w:val="0"/>
        </w:rPr>
        <w:tab/>
        <w:t>Penalty for not making out policy</w:t>
      </w:r>
      <w:bookmarkEnd w:id="1547"/>
      <w:bookmarkEnd w:id="1548"/>
      <w:bookmarkEnd w:id="1549"/>
      <w:bookmarkEnd w:id="1550"/>
      <w:bookmarkEnd w:id="1551"/>
      <w:bookmarkEnd w:id="1552"/>
      <w:bookmarkEnd w:id="1553"/>
      <w:r>
        <w:rPr>
          <w:snapToGrid w:val="0"/>
        </w:rPr>
        <w:t xml:space="preserve"> </w:t>
      </w:r>
    </w:p>
    <w:p>
      <w:pPr>
        <w:pStyle w:val="Subsection"/>
      </w:pPr>
      <w:r>
        <w:tab/>
        <w:t>(1)</w:t>
      </w:r>
      <w:r>
        <w:tab/>
        <w:t>A person who receives or takes credit for any premium or consideration for any contract of insurance must, within 3 months after receiving or taking credit for such premium or consideration, make out, execute and have stamped, a policy of such insurance.</w:t>
      </w:r>
    </w:p>
    <w:p>
      <w:pPr>
        <w:pStyle w:val="Penstart"/>
      </w:pPr>
      <w:r>
        <w:tab/>
        <w:t>Penalty: $20 000.</w:t>
      </w:r>
    </w:p>
    <w:p>
      <w:pPr>
        <w:pStyle w:val="Subsection"/>
      </w:pPr>
      <w:r>
        <w:tab/>
        <w:t>(1a)</w:t>
      </w:r>
      <w:r>
        <w:tab/>
        <w:t>A person must not make, execute, or deliver out, or pay or allow in account, or agree to pay or allow in account, any money on or in respect of any policy of insurance which is not stamped.</w:t>
      </w:r>
    </w:p>
    <w:p>
      <w:pPr>
        <w:pStyle w:val="Penstart"/>
      </w:pPr>
      <w:r>
        <w:tab/>
        <w:t>Penalty: $20 000.</w:t>
      </w:r>
    </w:p>
    <w:p>
      <w:pPr>
        <w:pStyle w:val="Subsection"/>
      </w:pPr>
      <w:r>
        <w:rPr>
          <w:snapToGrid w:val="0"/>
        </w:rPr>
        <w:tab/>
        <w:t>(2)</w:t>
      </w:r>
      <w:r>
        <w:rPr>
          <w:snapToGrid w:val="0"/>
        </w:rPr>
        <w:tab/>
        <w:t>Any person who in consideration of any premium, sum of money, or other valuable consideration, paid, furnished or provided by any person in Western Australia, makes, enters into or renews any contract of insurance for or on behalf of any insurer outside</w:t>
      </w:r>
      <w:r>
        <w:t xml:space="preserve"> Western Australia must notify the Commissioner, in an approved form, that the contract of insurance has been made, entered into or renewed.</w:t>
      </w:r>
    </w:p>
    <w:p>
      <w:pPr>
        <w:pStyle w:val="Penstart"/>
        <w:rPr>
          <w:snapToGrid w:val="0"/>
        </w:rPr>
      </w:pPr>
      <w:r>
        <w:tab/>
        <w:t>Penalty: $20 000.</w:t>
      </w:r>
    </w:p>
    <w:p>
      <w:pPr>
        <w:pStyle w:val="Ednotesubsection"/>
      </w:pPr>
      <w:r>
        <w:tab/>
        <w:t>[(3)</w:t>
      </w:r>
      <w:r>
        <w:tab/>
        <w:t>repealed]</w:t>
      </w:r>
    </w:p>
    <w:p>
      <w:pPr>
        <w:pStyle w:val="Subsection"/>
        <w:rPr>
          <w:snapToGrid w:val="0"/>
        </w:rPr>
      </w:pPr>
      <w:r>
        <w:rPr>
          <w:snapToGrid w:val="0"/>
        </w:rPr>
        <w:tab/>
        <w:t>(3a)</w:t>
      </w:r>
      <w:r>
        <w:rPr>
          <w:snapToGrid w:val="0"/>
        </w:rPr>
        <w:tab/>
        <w:t>Where a person satisfies the Commissioner that he cannot, with reasonable diligence, ascertain the premium paid in respect of a policy of insurance or renewal thereof issued outside</w:t>
      </w:r>
      <w:r>
        <w:t xml:space="preserve"> Western Australia</w:t>
      </w:r>
      <w:r>
        <w:rPr>
          <w:snapToGrid w:val="0"/>
        </w:rPr>
        <w:t xml:space="preserve">, the Commissioner may approve of the policy, or document stampable as such or the renewal, as the case may be, being stamped with the duty payable under item 16(2) of the Second Schedule, and the stamping of the policy, document or renewal in accordance with this subsection within one month after it is received in </w:t>
      </w:r>
      <w:r>
        <w:t>Western Australia</w:t>
      </w:r>
      <w:r>
        <w:rPr>
          <w:snapToGrid w:val="0"/>
        </w:rPr>
        <w:t xml:space="preserve"> constitutes sufficient compliance with the provisions of this section relating to the stamping of, and payment of duty upon, the policy, stampable document or renewal.</w:t>
      </w:r>
    </w:p>
    <w:p>
      <w:pPr>
        <w:pStyle w:val="Subsection"/>
        <w:rPr>
          <w:snapToGrid w:val="0"/>
        </w:rPr>
      </w:pPr>
      <w:r>
        <w:rPr>
          <w:snapToGrid w:val="0"/>
        </w:rPr>
        <w:tab/>
        <w:t>(4)</w:t>
      </w:r>
      <w:r>
        <w:rPr>
          <w:snapToGrid w:val="0"/>
        </w:rPr>
        <w:tab/>
        <w:t xml:space="preserve">Where duty has been paid under section 92A </w:t>
      </w:r>
      <w:r>
        <w:t>on a dutiable statement</w:t>
      </w:r>
      <w:r>
        <w:rPr>
          <w:snapToGrid w:val="0"/>
        </w:rPr>
        <w:t xml:space="preserve"> and the policy of insurance or renewal thereof, in respect of the insurance to which the </w:t>
      </w:r>
      <w:r>
        <w:t>dutiable statement</w:t>
      </w:r>
      <w:r>
        <w:rPr>
          <w:snapToGrid w:val="0"/>
        </w:rPr>
        <w:t xml:space="preserve"> relates is thereafter received in</w:t>
      </w:r>
      <w:r>
        <w:t xml:space="preserve"> Western Australia</w:t>
      </w:r>
      <w:r>
        <w:rPr>
          <w:snapToGrid w:val="0"/>
        </w:rPr>
        <w:t>, the duty so paid shall be allowed as a set off against any duty payable under this section in respect of the policy or the renewal.</w:t>
      </w:r>
    </w:p>
    <w:p>
      <w:pPr>
        <w:pStyle w:val="Footnotesection"/>
      </w:pPr>
      <w:r>
        <w:tab/>
        <w:t xml:space="preserve">[Section 94 amended by No. 113 of 1965 s. 8(1); No. 54 of 1968 s. 7; No. 32 of 1972 s. 7; No. 37 of 1979 s. 73; No. 22 of 1998 s. 55; No. 2 of 2003 s. 115.] </w:t>
      </w:r>
    </w:p>
    <w:p>
      <w:pPr>
        <w:pStyle w:val="Heading5"/>
        <w:rPr>
          <w:snapToGrid w:val="0"/>
        </w:rPr>
      </w:pPr>
      <w:bookmarkStart w:id="1554" w:name="_Toc500740018"/>
      <w:bookmarkStart w:id="1555" w:name="_Toc520101210"/>
      <w:bookmarkStart w:id="1556" w:name="_Toc520533109"/>
      <w:bookmarkStart w:id="1557" w:name="_Toc49223991"/>
      <w:bookmarkStart w:id="1558" w:name="_Toc107055027"/>
      <w:bookmarkStart w:id="1559" w:name="_Toc125869123"/>
      <w:bookmarkStart w:id="1560" w:name="_Toc170192595"/>
      <w:r>
        <w:rPr>
          <w:rStyle w:val="CharSectno"/>
        </w:rPr>
        <w:t>95</w:t>
      </w:r>
      <w:r>
        <w:rPr>
          <w:snapToGrid w:val="0"/>
        </w:rPr>
        <w:t>.</w:t>
      </w:r>
      <w:r>
        <w:rPr>
          <w:snapToGrid w:val="0"/>
        </w:rPr>
        <w:tab/>
        <w:t>Policies of reinsurance to be exempt from duty</w:t>
      </w:r>
      <w:bookmarkEnd w:id="1554"/>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No duty shall be chargeable on any policy upon the face whereof it is expressed that such policy is a policy of reinsurance, and whereby any insurance company, or underwriter, or association of underwriters effects an insurance the subject matter of which, at the time of such reinsurance, is insured under a policy that has been stamped.</w:t>
      </w:r>
    </w:p>
    <w:p>
      <w:pPr>
        <w:pStyle w:val="Footnotesection"/>
      </w:pPr>
      <w:bookmarkStart w:id="1561" w:name="_Toc500740019"/>
      <w:bookmarkStart w:id="1562" w:name="_Toc520101211"/>
      <w:bookmarkStart w:id="1563" w:name="_Toc520533110"/>
      <w:r>
        <w:tab/>
        <w:t xml:space="preserve">[Section 95 amended by No. 2 of 2003 s. 116.] </w:t>
      </w:r>
    </w:p>
    <w:p>
      <w:pPr>
        <w:pStyle w:val="Ednotesection"/>
      </w:pPr>
      <w:bookmarkStart w:id="1564" w:name="_Toc500740020"/>
      <w:bookmarkStart w:id="1565" w:name="_Toc520101212"/>
      <w:bookmarkStart w:id="1566" w:name="_Toc520533111"/>
      <w:bookmarkEnd w:id="1561"/>
      <w:bookmarkEnd w:id="1562"/>
      <w:bookmarkEnd w:id="1563"/>
      <w:r>
        <w:t>[</w:t>
      </w:r>
      <w:r>
        <w:rPr>
          <w:b/>
        </w:rPr>
        <w:t>95A.</w:t>
      </w:r>
      <w:r>
        <w:rPr>
          <w:b/>
        </w:rPr>
        <w:tab/>
      </w:r>
      <w:r>
        <w:t>Repealed by No. 2 of 2003 s. 117.]</w:t>
      </w:r>
    </w:p>
    <w:p>
      <w:pPr>
        <w:pStyle w:val="Heading5"/>
        <w:rPr>
          <w:snapToGrid w:val="0"/>
        </w:rPr>
      </w:pPr>
      <w:bookmarkStart w:id="1567" w:name="_Toc49223992"/>
      <w:bookmarkStart w:id="1568" w:name="_Toc107055028"/>
      <w:bookmarkStart w:id="1569" w:name="_Toc125869124"/>
      <w:bookmarkStart w:id="1570" w:name="_Toc170192596"/>
      <w:r>
        <w:rPr>
          <w:rStyle w:val="CharSectno"/>
        </w:rPr>
        <w:t>96</w:t>
      </w:r>
      <w:r>
        <w:rPr>
          <w:snapToGrid w:val="0"/>
        </w:rPr>
        <w:t>.</w:t>
      </w:r>
      <w:r>
        <w:rPr>
          <w:snapToGrid w:val="0"/>
        </w:rPr>
        <w:tab/>
        <w:t>No duty chargeable on amount received on account of duty</w:t>
      </w:r>
      <w:bookmarkEnd w:id="1564"/>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This section applies in relation to a policy of insurance referred to in item 16(1) of the Second Schedule.</w:t>
      </w:r>
    </w:p>
    <w:p>
      <w:pPr>
        <w:pStyle w:val="Subsection"/>
        <w:rPr>
          <w:snapToGrid w:val="0"/>
        </w:rPr>
      </w:pPr>
      <w:r>
        <w:rPr>
          <w:snapToGrid w:val="0"/>
        </w:rPr>
        <w:tab/>
        <w:t>(2)</w:t>
      </w:r>
      <w:r>
        <w:rPr>
          <w:snapToGrid w:val="0"/>
        </w:rPr>
        <w:tab/>
        <w:t>The amount that is chargeable with duty under item 16(1) of the Second Schedule shall be calculated by ascertaining the total amount paid to the person with whom the policy of insurance is effected in respect of the issue or renewal of the policy.</w:t>
      </w:r>
    </w:p>
    <w:p>
      <w:pPr>
        <w:pStyle w:val="Subsection"/>
        <w:rPr>
          <w:snapToGrid w:val="0"/>
        </w:rPr>
      </w:pPr>
      <w:r>
        <w:rPr>
          <w:snapToGrid w:val="0"/>
        </w:rPr>
        <w:tab/>
        <w:t>(3)</w:t>
      </w:r>
      <w:r>
        <w:rPr>
          <w:snapToGrid w:val="0"/>
        </w:rPr>
        <w:tab/>
        <w:t>Where a policy of insurance or a renewal certificate in respect of a policy of insurance shows an amount that represents the amount payable on account of duty in respect of the issue or renewal of the policy that amount shall be disregarded for the purposes of the calculation under subsection (2).</w:t>
      </w:r>
    </w:p>
    <w:p>
      <w:pPr>
        <w:pStyle w:val="Footnotesection"/>
      </w:pPr>
      <w:r>
        <w:tab/>
        <w:t xml:space="preserve">[Section 96 inserted by No. 41 of 1989 s. 24; amended by No. 11 of 2002 s. 10; No. 2 of 2003 s. 118; No. 66 of 2003 s. 83.] </w:t>
      </w:r>
    </w:p>
    <w:p>
      <w:pPr>
        <w:pStyle w:val="Heading5"/>
      </w:pPr>
      <w:bookmarkStart w:id="1571" w:name="_Toc111430325"/>
      <w:bookmarkStart w:id="1572" w:name="_Toc122240640"/>
      <w:bookmarkStart w:id="1573" w:name="_Toc122939433"/>
      <w:bookmarkStart w:id="1574" w:name="_Toc125869125"/>
      <w:bookmarkStart w:id="1575" w:name="_Toc170192597"/>
      <w:r>
        <w:rPr>
          <w:rStyle w:val="CharSectno"/>
        </w:rPr>
        <w:t>97</w:t>
      </w:r>
      <w:r>
        <w:t>.</w:t>
      </w:r>
      <w:r>
        <w:tab/>
        <w:t>Offshore risk policies exempt from duty</w:t>
      </w:r>
      <w:bookmarkEnd w:id="1571"/>
      <w:bookmarkEnd w:id="1572"/>
      <w:bookmarkEnd w:id="1573"/>
      <w:bookmarkEnd w:id="1574"/>
      <w:bookmarkEnd w:id="1575"/>
    </w:p>
    <w:p>
      <w:pPr>
        <w:pStyle w:val="Subsection"/>
      </w:pPr>
      <w:r>
        <w:tab/>
        <w:t>(1)</w:t>
      </w:r>
      <w:r>
        <w:tab/>
        <w:t xml:space="preserve">In this section — </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Subsection"/>
      </w:pPr>
      <w:r>
        <w:tab/>
        <w:t>(2)</w:t>
      </w:r>
      <w:r>
        <w:tab/>
        <w:t>Duty is not chargeable in respect of the issue or renewal of a policy of insurance to the extent that the policy effects offshore risk insurance.</w:t>
      </w:r>
    </w:p>
    <w:p>
      <w:pPr>
        <w:pStyle w:val="Subsection"/>
      </w:pPr>
      <w:r>
        <w:tab/>
        <w:t>(3)</w:t>
      </w:r>
      <w:r>
        <w:tab/>
        <w:t xml:space="preserve">If a policy of insurance effects both offshore risk insurance and other insurance and the proportion of the total amount paid to the person with whom the policy is effected (in respect of the issue or renewal) that is attributable to the offshore risk insurance is not ascertainable at the time of the issue or renewal, the proportion is the proportion calculated in accordance with the method of apportionment from time to time established as a practice of the Commissioner and published under section 127 of the </w:t>
      </w:r>
      <w:r>
        <w:rPr>
          <w:i/>
        </w:rPr>
        <w:t>Taxation Administration Act 2003</w:t>
      </w:r>
      <w:r>
        <w:t>.</w:t>
      </w:r>
    </w:p>
    <w:p>
      <w:pPr>
        <w:pStyle w:val="Subsection"/>
      </w:pPr>
      <w:r>
        <w:tab/>
        <w:t>(4)</w:t>
      </w:r>
      <w:r>
        <w:tab/>
        <w:t xml:space="preserve">However, if the Commissioner is not satisfied that the total amount has been appropriately apportioned, the Commissioner may — </w:t>
      </w:r>
    </w:p>
    <w:p>
      <w:pPr>
        <w:pStyle w:val="Indenta"/>
      </w:pPr>
      <w:r>
        <w:tab/>
        <w:t>(a)</w:t>
      </w:r>
      <w:r>
        <w:tab/>
        <w:t>determine the appropriate proportions; and</w:t>
      </w:r>
    </w:p>
    <w:p>
      <w:pPr>
        <w:pStyle w:val="Indenta"/>
      </w:pPr>
      <w:r>
        <w:tab/>
        <w:t>(b)</w:t>
      </w:r>
      <w:r>
        <w:tab/>
        <w:t>reassess the amount of duty payable in respect of the issue or renewal accordingly.</w:t>
      </w:r>
    </w:p>
    <w:p>
      <w:pPr>
        <w:pStyle w:val="Subsection"/>
      </w:pPr>
      <w:r>
        <w:tab/>
        <w:t>(5)</w:t>
      </w:r>
      <w:r>
        <w:tab/>
        <w:t>Any amount paid or payable to the person with whom the policy of insurance is effected on account of duty in respect of the issue or renewal of the policy shall be disregarded for the purpose of calculating the total amount paid to the person in respect of the issue or renewal.</w:t>
      </w:r>
    </w:p>
    <w:p>
      <w:pPr>
        <w:pStyle w:val="Footnotesection"/>
      </w:pPr>
      <w:r>
        <w:tab/>
        <w:t>[Section 97 inserted by No. 36 of 2005 s. 5.]</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section"/>
        <w:spacing w:before="180"/>
      </w:pPr>
      <w:r>
        <w:t>[</w:t>
      </w:r>
      <w:r>
        <w:rPr>
          <w:b/>
        </w:rPr>
        <w:t>101A.</w:t>
      </w:r>
      <w:r>
        <w:tab/>
        <w:t>Repealed by No. 102 of 1970 s. 11.]</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1576" w:name="_Toc76899698"/>
      <w:bookmarkStart w:id="1577" w:name="_Toc78090600"/>
      <w:bookmarkStart w:id="1578" w:name="_Toc88886968"/>
      <w:bookmarkStart w:id="1579" w:name="_Toc90443584"/>
      <w:bookmarkStart w:id="1580" w:name="_Toc90452935"/>
      <w:bookmarkStart w:id="1581" w:name="_Toc100029526"/>
      <w:bookmarkStart w:id="1582" w:name="_Toc100031599"/>
      <w:bookmarkStart w:id="1583" w:name="_Toc100458658"/>
      <w:bookmarkStart w:id="1584" w:name="_Toc101672074"/>
      <w:bookmarkStart w:id="1585" w:name="_Toc101672331"/>
      <w:bookmarkStart w:id="1586" w:name="_Toc102799357"/>
      <w:bookmarkStart w:id="1587" w:name="_Toc102982031"/>
      <w:bookmarkStart w:id="1588" w:name="_Toc103403344"/>
      <w:bookmarkStart w:id="1589" w:name="_Toc103403601"/>
      <w:bookmarkStart w:id="1590" w:name="_Toc103747600"/>
      <w:bookmarkStart w:id="1591" w:name="_Toc107055029"/>
      <w:bookmarkStart w:id="1592" w:name="_Toc113874476"/>
      <w:bookmarkStart w:id="1593" w:name="_Toc113956892"/>
      <w:bookmarkStart w:id="1594" w:name="_Toc116717448"/>
      <w:bookmarkStart w:id="1595" w:name="_Toc116813475"/>
      <w:bookmarkStart w:id="1596" w:name="_Toc122333128"/>
      <w:bookmarkStart w:id="1597" w:name="_Toc122862098"/>
      <w:bookmarkStart w:id="1598" w:name="_Toc122862694"/>
      <w:bookmarkStart w:id="1599" w:name="_Toc122921301"/>
      <w:bookmarkStart w:id="1600" w:name="_Toc122921561"/>
      <w:bookmarkStart w:id="1601" w:name="_Toc122947507"/>
      <w:bookmarkStart w:id="1602" w:name="_Toc124046345"/>
      <w:bookmarkStart w:id="1603" w:name="_Toc125869126"/>
      <w:bookmarkStart w:id="1604" w:name="_Toc170192598"/>
      <w:bookmarkStart w:id="1605" w:name="_Toc58902676"/>
      <w:r>
        <w:rPr>
          <w:rStyle w:val="CharPartNo"/>
        </w:rPr>
        <w:t>Part IVB</w:t>
      </w:r>
      <w:r>
        <w:rPr>
          <w:b w:val="0"/>
        </w:rPr>
        <w:t> </w:t>
      </w:r>
      <w:r>
        <w:t>—</w:t>
      </w:r>
      <w:r>
        <w:rPr>
          <w:b w:val="0"/>
        </w:rPr>
        <w:t> </w:t>
      </w:r>
      <w:r>
        <w:rPr>
          <w:rStyle w:val="CharPartText"/>
        </w:rPr>
        <w:t>Hire of goods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1606" w:name="_Toc76899699"/>
      <w:bookmarkStart w:id="1607" w:name="_Toc78090601"/>
      <w:bookmarkStart w:id="1608" w:name="_Toc88886969"/>
      <w:bookmarkStart w:id="1609" w:name="_Toc90443585"/>
      <w:bookmarkStart w:id="1610" w:name="_Toc90452936"/>
      <w:bookmarkStart w:id="1611" w:name="_Toc100029527"/>
      <w:bookmarkStart w:id="1612" w:name="_Toc100031600"/>
      <w:bookmarkStart w:id="1613" w:name="_Toc100458659"/>
      <w:bookmarkStart w:id="1614" w:name="_Toc101672075"/>
      <w:bookmarkStart w:id="1615" w:name="_Toc101672332"/>
      <w:bookmarkStart w:id="1616" w:name="_Toc102799358"/>
      <w:bookmarkStart w:id="1617" w:name="_Toc102982032"/>
      <w:bookmarkStart w:id="1618" w:name="_Toc103403345"/>
      <w:bookmarkStart w:id="1619" w:name="_Toc103403602"/>
      <w:bookmarkStart w:id="1620" w:name="_Toc103747601"/>
      <w:bookmarkStart w:id="1621" w:name="_Toc107055030"/>
      <w:bookmarkStart w:id="1622" w:name="_Toc113874477"/>
      <w:bookmarkStart w:id="1623" w:name="_Toc113956893"/>
      <w:bookmarkStart w:id="1624" w:name="_Toc116717449"/>
      <w:bookmarkStart w:id="1625" w:name="_Toc116813476"/>
      <w:bookmarkStart w:id="1626" w:name="_Toc122333129"/>
      <w:bookmarkStart w:id="1627" w:name="_Toc122862099"/>
      <w:bookmarkStart w:id="1628" w:name="_Toc122862695"/>
      <w:bookmarkStart w:id="1629" w:name="_Toc122921302"/>
      <w:bookmarkStart w:id="1630" w:name="_Toc122921562"/>
      <w:bookmarkStart w:id="1631" w:name="_Toc122947508"/>
      <w:bookmarkStart w:id="1632" w:name="_Toc124046346"/>
      <w:bookmarkStart w:id="1633" w:name="_Toc125869127"/>
      <w:bookmarkStart w:id="1634" w:name="_Toc170192599"/>
      <w:r>
        <w:rPr>
          <w:rStyle w:val="CharDivNo"/>
        </w:rPr>
        <w:t>Division 1</w:t>
      </w:r>
      <w:r>
        <w:t> — </w:t>
      </w:r>
      <w:r>
        <w:rPr>
          <w:rStyle w:val="CharDivText"/>
        </w:rPr>
        <w:t>Interpretation in Part IVB</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35" w:name="_Toc107055031"/>
      <w:bookmarkStart w:id="1636" w:name="_Toc125869128"/>
      <w:bookmarkStart w:id="1637" w:name="_Toc170192600"/>
      <w:r>
        <w:rPr>
          <w:rStyle w:val="CharSectno"/>
        </w:rPr>
        <w:t>112I</w:t>
      </w:r>
      <w:r>
        <w:t>.</w:t>
      </w:r>
      <w:r>
        <w:tab/>
        <w:t>Commercial hire business</w:t>
      </w:r>
      <w:bookmarkEnd w:id="1635"/>
      <w:bookmarkEnd w:id="1636"/>
      <w:bookmarkEnd w:id="1637"/>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638" w:name="_Toc107055032"/>
      <w:bookmarkStart w:id="1639" w:name="_Toc125869129"/>
      <w:bookmarkStart w:id="1640" w:name="_Toc170192601"/>
      <w:r>
        <w:rPr>
          <w:rStyle w:val="CharSectno"/>
        </w:rPr>
        <w:t>112IA</w:t>
      </w:r>
      <w:r>
        <w:t>.</w:t>
      </w:r>
      <w:r>
        <w:tab/>
        <w:t>Goods</w:t>
      </w:r>
      <w:bookmarkEnd w:id="1638"/>
      <w:bookmarkEnd w:id="1639"/>
      <w:bookmarkEnd w:id="1640"/>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641" w:name="_Toc107055033"/>
      <w:bookmarkStart w:id="1642" w:name="_Toc125869130"/>
      <w:bookmarkStart w:id="1643" w:name="_Toc170192602"/>
      <w:r>
        <w:rPr>
          <w:rStyle w:val="CharSectno"/>
        </w:rPr>
        <w:t>112IB</w:t>
      </w:r>
      <w:r>
        <w:t>.</w:t>
      </w:r>
      <w:r>
        <w:tab/>
        <w:t>Hire of goods</w:t>
      </w:r>
      <w:bookmarkEnd w:id="1641"/>
      <w:bookmarkEnd w:id="1642"/>
      <w:bookmarkEnd w:id="1643"/>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644" w:name="_Toc107055034"/>
      <w:bookmarkStart w:id="1645" w:name="_Toc125869131"/>
      <w:bookmarkStart w:id="1646" w:name="_Toc170192603"/>
      <w:r>
        <w:rPr>
          <w:rStyle w:val="CharSectno"/>
        </w:rPr>
        <w:t>112IC</w:t>
      </w:r>
      <w:r>
        <w:t>.</w:t>
      </w:r>
      <w:r>
        <w:tab/>
        <w:t>State hire of goods</w:t>
      </w:r>
      <w:bookmarkEnd w:id="1644"/>
      <w:bookmarkEnd w:id="1645"/>
      <w:bookmarkEnd w:id="1646"/>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647" w:name="_Toc107055035"/>
      <w:bookmarkStart w:id="1648" w:name="_Toc125869132"/>
      <w:bookmarkStart w:id="1649" w:name="_Toc170192604"/>
      <w:r>
        <w:rPr>
          <w:rStyle w:val="CharSectno"/>
        </w:rPr>
        <w:t>112ID</w:t>
      </w:r>
      <w:r>
        <w:t>.</w:t>
      </w:r>
      <w:r>
        <w:tab/>
        <w:t>Equipment financing arrangements</w:t>
      </w:r>
      <w:bookmarkEnd w:id="1647"/>
      <w:bookmarkEnd w:id="1648"/>
      <w:bookmarkEnd w:id="1649"/>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650" w:name="_Toc107055036"/>
      <w:bookmarkStart w:id="1651" w:name="_Toc125869133"/>
      <w:bookmarkStart w:id="1652" w:name="_Toc170192605"/>
      <w:r>
        <w:rPr>
          <w:rStyle w:val="CharSectno"/>
        </w:rPr>
        <w:t>112IE</w:t>
      </w:r>
      <w:r>
        <w:t>.</w:t>
      </w:r>
      <w:r>
        <w:tab/>
        <w:t>Hiring charges</w:t>
      </w:r>
      <w:bookmarkEnd w:id="1650"/>
      <w:bookmarkEnd w:id="1651"/>
      <w:bookmarkEnd w:id="1652"/>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653" w:name="_Toc107055037"/>
      <w:bookmarkStart w:id="1654" w:name="_Toc125869134"/>
      <w:bookmarkStart w:id="1655" w:name="_Toc170192606"/>
      <w:r>
        <w:rPr>
          <w:rStyle w:val="CharSectno"/>
        </w:rPr>
        <w:t>112IF</w:t>
      </w:r>
      <w:r>
        <w:t>.</w:t>
      </w:r>
      <w:r>
        <w:tab/>
        <w:t>Terms used in this Part</w:t>
      </w:r>
      <w:bookmarkEnd w:id="1653"/>
      <w:bookmarkEnd w:id="1654"/>
      <w:bookmarkEnd w:id="1655"/>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656" w:name="_Toc76899707"/>
      <w:bookmarkStart w:id="1657" w:name="_Toc78090609"/>
      <w:bookmarkStart w:id="1658" w:name="_Toc88886977"/>
      <w:bookmarkStart w:id="1659" w:name="_Toc90443593"/>
      <w:bookmarkStart w:id="1660" w:name="_Toc90452944"/>
      <w:bookmarkStart w:id="1661" w:name="_Toc100029535"/>
      <w:bookmarkStart w:id="1662" w:name="_Toc100031608"/>
      <w:bookmarkStart w:id="1663" w:name="_Toc100458667"/>
      <w:bookmarkStart w:id="1664" w:name="_Toc101672083"/>
      <w:bookmarkStart w:id="1665" w:name="_Toc101672340"/>
      <w:bookmarkStart w:id="1666" w:name="_Toc102799366"/>
      <w:bookmarkStart w:id="1667" w:name="_Toc102982040"/>
      <w:bookmarkStart w:id="1668" w:name="_Toc103403353"/>
      <w:bookmarkStart w:id="1669" w:name="_Toc103403610"/>
      <w:bookmarkStart w:id="1670" w:name="_Toc103747609"/>
      <w:bookmarkStart w:id="1671" w:name="_Toc107055038"/>
      <w:bookmarkStart w:id="1672" w:name="_Toc113874485"/>
      <w:bookmarkStart w:id="1673" w:name="_Toc113956901"/>
      <w:bookmarkStart w:id="1674" w:name="_Toc116717457"/>
      <w:bookmarkStart w:id="1675" w:name="_Toc116813484"/>
      <w:bookmarkStart w:id="1676" w:name="_Toc122333137"/>
      <w:bookmarkStart w:id="1677" w:name="_Toc122862107"/>
      <w:bookmarkStart w:id="1678" w:name="_Toc122862703"/>
      <w:bookmarkStart w:id="1679" w:name="_Toc122921310"/>
      <w:bookmarkStart w:id="1680" w:name="_Toc122921570"/>
      <w:bookmarkStart w:id="1681" w:name="_Toc122947516"/>
      <w:bookmarkStart w:id="1682" w:name="_Toc124046354"/>
      <w:bookmarkStart w:id="1683" w:name="_Toc125869135"/>
      <w:bookmarkStart w:id="1684" w:name="_Toc170192607"/>
      <w:r>
        <w:rPr>
          <w:rStyle w:val="CharDivNo"/>
        </w:rPr>
        <w:t>Division 2</w:t>
      </w:r>
      <w:r>
        <w:t> — </w:t>
      </w:r>
      <w:r>
        <w:rPr>
          <w:rStyle w:val="CharDivText"/>
        </w:rPr>
        <w:t>Registration of commercial hire businesses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85" w:name="_Toc107055039"/>
      <w:bookmarkStart w:id="1686" w:name="_Toc125869136"/>
      <w:bookmarkStart w:id="1687" w:name="_Toc170192608"/>
      <w:r>
        <w:rPr>
          <w:rStyle w:val="CharSectno"/>
        </w:rPr>
        <w:t>112J</w:t>
      </w:r>
      <w:r>
        <w:t>.</w:t>
      </w:r>
      <w:r>
        <w:tab/>
        <w:t>Commercial hire businesses to be registered</w:t>
      </w:r>
      <w:bookmarkEnd w:id="1685"/>
      <w:bookmarkEnd w:id="1686"/>
      <w:bookmarkEnd w:id="1687"/>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688" w:name="_Toc107055040"/>
      <w:bookmarkStart w:id="1689" w:name="_Toc125869137"/>
      <w:bookmarkStart w:id="1690" w:name="_Toc170192609"/>
      <w:r>
        <w:rPr>
          <w:rStyle w:val="CharSectno"/>
        </w:rPr>
        <w:t>112JA</w:t>
      </w:r>
      <w:r>
        <w:t>.</w:t>
      </w:r>
      <w:r>
        <w:tab/>
        <w:t>Registration of commercial hire businesses</w:t>
      </w:r>
      <w:bookmarkEnd w:id="1688"/>
      <w:bookmarkEnd w:id="1689"/>
      <w:bookmarkEnd w:id="1690"/>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691" w:name="_Toc107055041"/>
      <w:bookmarkStart w:id="1692" w:name="_Toc125869138"/>
      <w:bookmarkStart w:id="1693" w:name="_Toc170192610"/>
      <w:r>
        <w:rPr>
          <w:rStyle w:val="CharSectno"/>
        </w:rPr>
        <w:t>112JB</w:t>
      </w:r>
      <w:r>
        <w:t>.</w:t>
      </w:r>
      <w:r>
        <w:tab/>
        <w:t>Cancelling registration of commercial hire businesses</w:t>
      </w:r>
      <w:bookmarkEnd w:id="1691"/>
      <w:bookmarkEnd w:id="1692"/>
      <w:bookmarkEnd w:id="1693"/>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694" w:name="_Toc76899711"/>
      <w:bookmarkStart w:id="1695" w:name="_Toc78090613"/>
      <w:bookmarkStart w:id="1696" w:name="_Toc88886981"/>
      <w:bookmarkStart w:id="1697" w:name="_Toc90443597"/>
      <w:bookmarkStart w:id="1698" w:name="_Toc90452948"/>
      <w:bookmarkStart w:id="1699" w:name="_Toc100029539"/>
      <w:bookmarkStart w:id="1700" w:name="_Toc100031612"/>
      <w:bookmarkStart w:id="1701" w:name="_Toc100458671"/>
      <w:bookmarkStart w:id="1702" w:name="_Toc101672087"/>
      <w:bookmarkStart w:id="1703" w:name="_Toc101672344"/>
      <w:bookmarkStart w:id="1704" w:name="_Toc102799370"/>
      <w:bookmarkStart w:id="1705" w:name="_Toc102982044"/>
      <w:bookmarkStart w:id="1706" w:name="_Toc103403357"/>
      <w:bookmarkStart w:id="1707" w:name="_Toc103403614"/>
      <w:bookmarkStart w:id="1708" w:name="_Toc103747613"/>
      <w:bookmarkStart w:id="1709" w:name="_Toc107055042"/>
      <w:bookmarkStart w:id="1710" w:name="_Toc113874489"/>
      <w:bookmarkStart w:id="1711" w:name="_Toc113956905"/>
      <w:bookmarkStart w:id="1712" w:name="_Toc116717461"/>
      <w:bookmarkStart w:id="1713" w:name="_Toc116813488"/>
      <w:bookmarkStart w:id="1714" w:name="_Toc122333141"/>
      <w:bookmarkStart w:id="1715" w:name="_Toc122862111"/>
      <w:bookmarkStart w:id="1716" w:name="_Toc122862707"/>
      <w:bookmarkStart w:id="1717" w:name="_Toc122921314"/>
      <w:bookmarkStart w:id="1718" w:name="_Toc122921574"/>
      <w:bookmarkStart w:id="1719" w:name="_Toc122947520"/>
      <w:bookmarkStart w:id="1720" w:name="_Toc124046358"/>
      <w:bookmarkStart w:id="1721" w:name="_Toc125869139"/>
      <w:bookmarkStart w:id="1722" w:name="_Toc170192611"/>
      <w:r>
        <w:rPr>
          <w:rStyle w:val="CharDivNo"/>
        </w:rPr>
        <w:t>Division 3</w:t>
      </w:r>
      <w:r>
        <w:t> — </w:t>
      </w:r>
      <w:r>
        <w:rPr>
          <w:rStyle w:val="CharDivText"/>
        </w:rPr>
        <w:t>Connection to the State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723" w:name="_Toc107055043"/>
      <w:bookmarkStart w:id="1724" w:name="_Toc125869140"/>
      <w:bookmarkStart w:id="1725" w:name="_Toc170192612"/>
      <w:r>
        <w:rPr>
          <w:rStyle w:val="CharSectno"/>
        </w:rPr>
        <w:t>112K</w:t>
      </w:r>
      <w:r>
        <w:t>.</w:t>
      </w:r>
      <w:r>
        <w:tab/>
        <w:t>Connection to the State — hire of goods and persons to which this Part applies</w:t>
      </w:r>
      <w:bookmarkEnd w:id="1723"/>
      <w:bookmarkEnd w:id="1724"/>
      <w:bookmarkEnd w:id="1725"/>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726" w:name="_Toc76899713"/>
      <w:bookmarkStart w:id="1727" w:name="_Toc78090615"/>
      <w:bookmarkStart w:id="1728" w:name="_Toc88886983"/>
      <w:bookmarkStart w:id="1729" w:name="_Toc90443599"/>
      <w:bookmarkStart w:id="1730" w:name="_Toc90452950"/>
      <w:bookmarkStart w:id="1731" w:name="_Toc100029541"/>
      <w:bookmarkStart w:id="1732" w:name="_Toc100031614"/>
      <w:bookmarkStart w:id="1733" w:name="_Toc100458673"/>
      <w:bookmarkStart w:id="1734" w:name="_Toc101672089"/>
      <w:bookmarkStart w:id="1735" w:name="_Toc101672346"/>
      <w:bookmarkStart w:id="1736" w:name="_Toc102799372"/>
      <w:bookmarkStart w:id="1737" w:name="_Toc102982046"/>
      <w:bookmarkStart w:id="1738" w:name="_Toc103403359"/>
      <w:bookmarkStart w:id="1739" w:name="_Toc103403616"/>
      <w:bookmarkStart w:id="1740" w:name="_Toc103747615"/>
      <w:bookmarkStart w:id="1741" w:name="_Toc107055044"/>
      <w:bookmarkStart w:id="1742" w:name="_Toc113874491"/>
      <w:bookmarkStart w:id="1743" w:name="_Toc113956907"/>
      <w:bookmarkStart w:id="1744" w:name="_Toc116717463"/>
      <w:bookmarkStart w:id="1745" w:name="_Toc116813490"/>
      <w:bookmarkStart w:id="1746" w:name="_Toc122333143"/>
      <w:bookmarkStart w:id="1747" w:name="_Toc122862113"/>
      <w:bookmarkStart w:id="1748" w:name="_Toc122862709"/>
      <w:bookmarkStart w:id="1749" w:name="_Toc122921316"/>
      <w:bookmarkStart w:id="1750" w:name="_Toc122921576"/>
      <w:bookmarkStart w:id="1751" w:name="_Toc122947522"/>
      <w:bookmarkStart w:id="1752" w:name="_Toc124046360"/>
      <w:bookmarkStart w:id="1753" w:name="_Toc125869141"/>
      <w:bookmarkStart w:id="1754" w:name="_Toc170192613"/>
      <w:r>
        <w:rPr>
          <w:rStyle w:val="CharDivNo"/>
        </w:rPr>
        <w:t>Division 4</w:t>
      </w:r>
      <w:r>
        <w:t> — </w:t>
      </w:r>
      <w:r>
        <w:rPr>
          <w:rStyle w:val="CharDivText"/>
        </w:rPr>
        <w:t>Commercial hire businesses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1755" w:name="_Toc107055045"/>
      <w:bookmarkStart w:id="1756" w:name="_Toc125869142"/>
      <w:bookmarkStart w:id="1757" w:name="_Toc170192614"/>
      <w:r>
        <w:rPr>
          <w:rStyle w:val="CharSectno"/>
        </w:rPr>
        <w:t>112L</w:t>
      </w:r>
      <w:r>
        <w:t>.</w:t>
      </w:r>
      <w:r>
        <w:tab/>
        <w:t>Lodging returns and paying duty</w:t>
      </w:r>
      <w:bookmarkEnd w:id="1755"/>
      <w:bookmarkEnd w:id="1756"/>
      <w:bookmarkEnd w:id="1757"/>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758" w:name="_Toc107055046"/>
      <w:bookmarkStart w:id="1759" w:name="_Toc125869143"/>
      <w:bookmarkStart w:id="1760" w:name="_Toc170192615"/>
      <w:r>
        <w:rPr>
          <w:rStyle w:val="CharSectno"/>
        </w:rPr>
        <w:t>112LA</w:t>
      </w:r>
      <w:r>
        <w:t>.</w:t>
      </w:r>
      <w:r>
        <w:tab/>
        <w:t>Calculating the assessable amount for a return period</w:t>
      </w:r>
      <w:bookmarkEnd w:id="1758"/>
      <w:bookmarkEnd w:id="1759"/>
      <w:bookmarkEnd w:id="1760"/>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761" w:name="_Toc107055047"/>
      <w:bookmarkStart w:id="1762" w:name="_Toc125869144"/>
      <w:bookmarkStart w:id="1763" w:name="_Toc170192616"/>
      <w:r>
        <w:rPr>
          <w:rStyle w:val="CharSectno"/>
        </w:rPr>
        <w:t>112LB</w:t>
      </w:r>
      <w:r>
        <w:t>.</w:t>
      </w:r>
      <w:r>
        <w:tab/>
        <w:t>Calculating the amount of duty payable on a return</w:t>
      </w:r>
      <w:bookmarkEnd w:id="1761"/>
      <w:bookmarkEnd w:id="1762"/>
      <w:bookmarkEnd w:id="1763"/>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r>
        <w:tab/>
      </w:r>
      <w:r>
        <w:rPr>
          <w:position w:val="-20"/>
          <w:sz w:val="20"/>
        </w:rPr>
        <w:object w:dxaOrig="6060" w:dyaOrig="520">
          <v:shape id="_x0000_i1034" type="#_x0000_t75" style="width:303pt;height:26.25pt" o:ole="">
            <v:imagedata r:id="rId36" o:title=""/>
          </v:shape>
          <o:OLEObject Type="Embed" ProgID="Equation.3" ShapeID="_x0000_i1034" DrawAspect="Content" ObjectID="_1643742810" r:id="rId37"/>
        </w:object>
      </w:r>
    </w:p>
    <w:p>
      <w:pPr>
        <w:pStyle w:val="Equation"/>
        <w:tabs>
          <w:tab w:val="left" w:pos="1134"/>
        </w:tabs>
        <w:spacing w:before="80"/>
        <w:ind w:left="839"/>
      </w:pPr>
      <w:r>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764" w:name="_Toc107055048"/>
      <w:bookmarkStart w:id="1765" w:name="_Toc125869145"/>
      <w:bookmarkStart w:id="1766" w:name="_Toc170192617"/>
      <w:r>
        <w:rPr>
          <w:rStyle w:val="CharSectno"/>
        </w:rPr>
        <w:t>112LC</w:t>
      </w:r>
      <w:r>
        <w:t>.</w:t>
      </w:r>
      <w:r>
        <w:tab/>
        <w:t>Return period for a commercial hire business</w:t>
      </w:r>
      <w:bookmarkEnd w:id="1764"/>
      <w:bookmarkEnd w:id="1765"/>
      <w:bookmarkEnd w:id="1766"/>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767" w:name="_Toc107055049"/>
      <w:bookmarkStart w:id="1768" w:name="_Toc125869146"/>
      <w:bookmarkStart w:id="1769" w:name="_Toc170192618"/>
      <w:r>
        <w:rPr>
          <w:rStyle w:val="CharSectno"/>
        </w:rPr>
        <w:t>112LD</w:t>
      </w:r>
      <w:r>
        <w:t>.</w:t>
      </w:r>
      <w:r>
        <w:tab/>
        <w:t>Annual reconciliation</w:t>
      </w:r>
      <w:bookmarkEnd w:id="1767"/>
      <w:bookmarkEnd w:id="1768"/>
      <w:bookmarkEnd w:id="1769"/>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object w:dxaOrig="8100" w:dyaOrig="600">
          <v:shape id="_x0000_i1035" type="#_x0000_t75" style="width:353.25pt;height:26.25pt" o:ole="">
            <v:imagedata r:id="rId38" o:title=""/>
          </v:shape>
          <o:OLEObject Type="Embed" ProgID="Equation.3" ShapeID="_x0000_i1035" DrawAspect="Content" ObjectID="_1643742811" r:id="rId39"/>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770" w:name="_Toc76899719"/>
      <w:bookmarkStart w:id="1771" w:name="_Toc78090621"/>
      <w:bookmarkStart w:id="1772" w:name="_Toc88886989"/>
      <w:bookmarkStart w:id="1773" w:name="_Toc90443605"/>
      <w:bookmarkStart w:id="1774" w:name="_Toc90452956"/>
      <w:bookmarkStart w:id="1775" w:name="_Toc100029547"/>
      <w:bookmarkStart w:id="1776" w:name="_Toc100031620"/>
      <w:bookmarkStart w:id="1777" w:name="_Toc100458679"/>
      <w:bookmarkStart w:id="1778" w:name="_Toc101672095"/>
      <w:bookmarkStart w:id="1779" w:name="_Toc101672352"/>
      <w:bookmarkStart w:id="1780" w:name="_Toc102799378"/>
      <w:bookmarkStart w:id="1781" w:name="_Toc102982052"/>
      <w:bookmarkStart w:id="1782" w:name="_Toc103403365"/>
      <w:bookmarkStart w:id="1783" w:name="_Toc103403622"/>
      <w:bookmarkStart w:id="1784" w:name="_Toc103747621"/>
      <w:bookmarkStart w:id="1785" w:name="_Toc107055050"/>
      <w:bookmarkStart w:id="1786" w:name="_Toc113874497"/>
      <w:bookmarkStart w:id="1787" w:name="_Toc113956913"/>
      <w:bookmarkStart w:id="1788" w:name="_Toc116717469"/>
      <w:bookmarkStart w:id="1789" w:name="_Toc116813496"/>
      <w:bookmarkStart w:id="1790" w:name="_Toc122333149"/>
      <w:bookmarkStart w:id="1791" w:name="_Toc122862119"/>
      <w:bookmarkStart w:id="1792" w:name="_Toc122862715"/>
      <w:bookmarkStart w:id="1793" w:name="_Toc122921322"/>
      <w:bookmarkStart w:id="1794" w:name="_Toc122921582"/>
      <w:bookmarkStart w:id="1795" w:name="_Toc122947528"/>
      <w:bookmarkStart w:id="1796" w:name="_Toc124046366"/>
      <w:bookmarkStart w:id="1797" w:name="_Toc125869147"/>
      <w:bookmarkStart w:id="1798" w:name="_Toc170192619"/>
      <w:r>
        <w:rPr>
          <w:rStyle w:val="CharDivNo"/>
        </w:rPr>
        <w:t>Division 5</w:t>
      </w:r>
      <w:r>
        <w:t> — </w:t>
      </w:r>
      <w:r>
        <w:rPr>
          <w:rStyle w:val="CharDivText"/>
        </w:rPr>
        <w:t>Persons other than commercial hire businesses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1799" w:name="_Toc107055051"/>
      <w:bookmarkStart w:id="1800" w:name="_Toc125869148"/>
      <w:bookmarkStart w:id="1801" w:name="_Toc170192620"/>
      <w:r>
        <w:rPr>
          <w:rStyle w:val="CharSectno"/>
        </w:rPr>
        <w:t>112M</w:t>
      </w:r>
      <w:r>
        <w:t>.</w:t>
      </w:r>
      <w:r>
        <w:tab/>
        <w:t>Statement of transaction</w:t>
      </w:r>
      <w:bookmarkEnd w:id="1799"/>
      <w:bookmarkEnd w:id="1800"/>
      <w:bookmarkEnd w:id="1801"/>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802" w:name="_Toc107055052"/>
      <w:bookmarkStart w:id="1803" w:name="_Toc125869149"/>
      <w:bookmarkStart w:id="1804" w:name="_Toc170192621"/>
      <w:r>
        <w:rPr>
          <w:rStyle w:val="CharSectno"/>
        </w:rPr>
        <w:t>112MA</w:t>
      </w:r>
      <w:r>
        <w:t>.</w:t>
      </w:r>
      <w:r>
        <w:tab/>
        <w:t>Lodging statements and paying duty</w:t>
      </w:r>
      <w:bookmarkEnd w:id="1802"/>
      <w:bookmarkEnd w:id="1803"/>
      <w:bookmarkEnd w:id="1804"/>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805" w:name="_Toc107055053"/>
      <w:bookmarkStart w:id="1806" w:name="_Toc125869150"/>
      <w:bookmarkStart w:id="1807" w:name="_Toc170192622"/>
      <w:r>
        <w:rPr>
          <w:rStyle w:val="CharSectno"/>
        </w:rPr>
        <w:t>112MB</w:t>
      </w:r>
      <w:r>
        <w:t>.</w:t>
      </w:r>
      <w:r>
        <w:tab/>
        <w:t>Method of calculating total hiring charges if they are not readily ascertainable</w:t>
      </w:r>
      <w:bookmarkEnd w:id="1805"/>
      <w:bookmarkEnd w:id="1806"/>
      <w:bookmarkEnd w:id="180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808" w:name="_Toc76899723"/>
      <w:bookmarkStart w:id="1809" w:name="_Toc78090625"/>
      <w:bookmarkStart w:id="1810" w:name="_Toc88886993"/>
      <w:bookmarkStart w:id="1811" w:name="_Toc90443609"/>
      <w:bookmarkStart w:id="1812" w:name="_Toc90452960"/>
      <w:bookmarkStart w:id="1813" w:name="_Toc100029551"/>
      <w:bookmarkStart w:id="1814" w:name="_Toc100031624"/>
      <w:bookmarkStart w:id="1815" w:name="_Toc100458683"/>
      <w:bookmarkStart w:id="1816" w:name="_Toc101672099"/>
      <w:bookmarkStart w:id="1817" w:name="_Toc101672356"/>
      <w:bookmarkStart w:id="1818" w:name="_Toc102799382"/>
      <w:bookmarkStart w:id="1819" w:name="_Toc102982056"/>
      <w:bookmarkStart w:id="1820" w:name="_Toc103403369"/>
      <w:bookmarkStart w:id="1821" w:name="_Toc103403626"/>
      <w:bookmarkStart w:id="1822" w:name="_Toc103747625"/>
      <w:bookmarkStart w:id="1823" w:name="_Toc107055054"/>
      <w:bookmarkStart w:id="1824" w:name="_Toc113874501"/>
      <w:bookmarkStart w:id="1825" w:name="_Toc113956917"/>
      <w:bookmarkStart w:id="1826" w:name="_Toc116717473"/>
      <w:bookmarkStart w:id="1827" w:name="_Toc116813500"/>
      <w:bookmarkStart w:id="1828" w:name="_Toc122333153"/>
      <w:bookmarkStart w:id="1829" w:name="_Toc122862123"/>
      <w:bookmarkStart w:id="1830" w:name="_Toc122862719"/>
      <w:bookmarkStart w:id="1831" w:name="_Toc122921326"/>
      <w:bookmarkStart w:id="1832" w:name="_Toc122921586"/>
      <w:bookmarkStart w:id="1833" w:name="_Toc122947532"/>
      <w:bookmarkStart w:id="1834" w:name="_Toc124046370"/>
      <w:bookmarkStart w:id="1835" w:name="_Toc125869151"/>
      <w:bookmarkStart w:id="1836" w:name="_Toc170192623"/>
      <w:r>
        <w:rPr>
          <w:rStyle w:val="CharDivNo"/>
        </w:rPr>
        <w:t>Division 6</w:t>
      </w:r>
      <w:r>
        <w:t> — </w:t>
      </w:r>
      <w:r>
        <w:rPr>
          <w:rStyle w:val="CharDivText"/>
        </w:rPr>
        <w:t>General provisions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837" w:name="_Toc107055055"/>
      <w:bookmarkStart w:id="1838" w:name="_Toc125869152"/>
      <w:bookmarkStart w:id="1839" w:name="_Toc170192624"/>
      <w:r>
        <w:rPr>
          <w:rStyle w:val="CharSectno"/>
        </w:rPr>
        <w:t>112N</w:t>
      </w:r>
      <w:r>
        <w:t>.</w:t>
      </w:r>
      <w:r>
        <w:tab/>
        <w:t>Credit for duty paid in another Australian jurisdiction</w:t>
      </w:r>
      <w:bookmarkEnd w:id="1837"/>
      <w:bookmarkEnd w:id="1838"/>
      <w:bookmarkEnd w:id="1839"/>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1840" w:name="_Toc107055056"/>
      <w:bookmarkStart w:id="1841" w:name="_Toc125869153"/>
      <w:bookmarkStart w:id="1842" w:name="_Toc170192625"/>
      <w:r>
        <w:t>112NA.</w:t>
      </w:r>
      <w:r>
        <w:tab/>
        <w:t>Splitting or redirecting hiring charges — anti</w:t>
      </w:r>
      <w:r>
        <w:noBreakHyphen/>
        <w:t>avoidance provision</w:t>
      </w:r>
      <w:bookmarkEnd w:id="1840"/>
      <w:bookmarkEnd w:id="1841"/>
      <w:bookmarkEnd w:id="1842"/>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1843" w:name="_Toc107055057"/>
      <w:bookmarkStart w:id="1844" w:name="_Toc125869154"/>
      <w:bookmarkStart w:id="1845" w:name="_Toc170192626"/>
      <w:r>
        <w:rPr>
          <w:rStyle w:val="CharSectno"/>
        </w:rPr>
        <w:t>112NB</w:t>
      </w:r>
      <w:r>
        <w:t>.</w:t>
      </w:r>
      <w:r>
        <w:tab/>
        <w:t>Ascertainment and disclosure of place of use of goods</w:t>
      </w:r>
      <w:bookmarkEnd w:id="1843"/>
      <w:bookmarkEnd w:id="1844"/>
      <w:bookmarkEnd w:id="1845"/>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1846" w:name="_Toc107055058"/>
      <w:bookmarkStart w:id="1847" w:name="_Toc125869155"/>
      <w:bookmarkStart w:id="1848" w:name="_Toc170192627"/>
      <w:r>
        <w:rPr>
          <w:rStyle w:val="CharSectno"/>
        </w:rPr>
        <w:t>112NC</w:t>
      </w:r>
      <w:r>
        <w:t>.</w:t>
      </w:r>
      <w:r>
        <w:tab/>
        <w:t>Records</w:t>
      </w:r>
      <w:bookmarkEnd w:id="1846"/>
      <w:bookmarkEnd w:id="1847"/>
      <w:bookmarkEnd w:id="1848"/>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1849" w:name="_Toc76899728"/>
      <w:bookmarkStart w:id="1850" w:name="_Toc78090630"/>
      <w:bookmarkStart w:id="1851" w:name="_Toc88886998"/>
      <w:bookmarkStart w:id="1852" w:name="_Toc90443614"/>
      <w:bookmarkStart w:id="1853" w:name="_Toc90452965"/>
      <w:bookmarkStart w:id="1854" w:name="_Toc100029556"/>
      <w:bookmarkStart w:id="1855" w:name="_Toc100031629"/>
      <w:bookmarkStart w:id="1856" w:name="_Toc100458688"/>
      <w:bookmarkStart w:id="1857" w:name="_Toc101672104"/>
      <w:bookmarkStart w:id="1858" w:name="_Toc101672361"/>
      <w:bookmarkStart w:id="1859" w:name="_Toc102799387"/>
      <w:bookmarkStart w:id="1860" w:name="_Toc102982061"/>
      <w:bookmarkStart w:id="1861" w:name="_Toc103403374"/>
      <w:bookmarkStart w:id="1862" w:name="_Toc103403631"/>
      <w:bookmarkStart w:id="1863" w:name="_Toc103747630"/>
      <w:bookmarkStart w:id="1864" w:name="_Toc107055059"/>
      <w:bookmarkStart w:id="1865" w:name="_Toc113874506"/>
      <w:bookmarkStart w:id="1866" w:name="_Toc113956922"/>
      <w:bookmarkStart w:id="1867" w:name="_Toc116717478"/>
      <w:bookmarkStart w:id="1868" w:name="_Toc116813505"/>
      <w:bookmarkStart w:id="1869" w:name="_Toc122333158"/>
      <w:bookmarkStart w:id="1870" w:name="_Toc122862128"/>
      <w:bookmarkStart w:id="1871" w:name="_Toc122862724"/>
      <w:bookmarkStart w:id="1872" w:name="_Toc122921331"/>
      <w:bookmarkStart w:id="1873" w:name="_Toc122921591"/>
      <w:bookmarkStart w:id="1874" w:name="_Toc122947537"/>
      <w:bookmarkStart w:id="1875" w:name="_Toc124046375"/>
      <w:bookmarkStart w:id="1876" w:name="_Toc125869156"/>
      <w:bookmarkStart w:id="1877" w:name="_Toc170192628"/>
      <w:r>
        <w:rPr>
          <w:rStyle w:val="CharPartNo"/>
        </w:rPr>
        <w:t>Part IVC</w:t>
      </w:r>
      <w:r>
        <w:rPr>
          <w:rStyle w:val="CharDivNo"/>
        </w:rPr>
        <w:t> </w:t>
      </w:r>
      <w:r>
        <w:t>—</w:t>
      </w:r>
      <w:r>
        <w:rPr>
          <w:rStyle w:val="CharDivText"/>
        </w:rPr>
        <w:t> </w:t>
      </w:r>
      <w:r>
        <w:rPr>
          <w:rStyle w:val="CharPartText"/>
        </w:rPr>
        <w:t>Exemptions in relation to aged or disabled persons</w:t>
      </w:r>
      <w:bookmarkEnd w:id="1605"/>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1878" w:name="_Toc500740069"/>
      <w:bookmarkStart w:id="1879" w:name="_Toc520101232"/>
      <w:bookmarkStart w:id="1880" w:name="_Toc520533131"/>
      <w:bookmarkStart w:id="1881" w:name="_Toc49224011"/>
      <w:bookmarkStart w:id="1882" w:name="_Toc107055060"/>
      <w:bookmarkStart w:id="1883" w:name="_Toc125869157"/>
      <w:bookmarkStart w:id="1884" w:name="_Toc170192629"/>
      <w:r>
        <w:rPr>
          <w:rStyle w:val="CharSectno"/>
        </w:rPr>
        <w:t>112Q</w:t>
      </w:r>
      <w:r>
        <w:rPr>
          <w:snapToGrid w:val="0"/>
        </w:rPr>
        <w:t>.</w:t>
      </w:r>
      <w:r>
        <w:rPr>
          <w:snapToGrid w:val="0"/>
        </w:rPr>
        <w:tab/>
        <w:t>Certain residential agreements with charitable bodies exempt</w:t>
      </w:r>
      <w:bookmarkEnd w:id="1878"/>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1885" w:name="_Toc500740070"/>
      <w:bookmarkStart w:id="1886" w:name="_Toc520101233"/>
      <w:bookmarkStart w:id="1887" w:name="_Toc520533132"/>
      <w:bookmarkStart w:id="1888" w:name="_Toc49224012"/>
      <w:bookmarkStart w:id="1889" w:name="_Toc107055061"/>
      <w:bookmarkStart w:id="1890" w:name="_Toc125869158"/>
      <w:bookmarkStart w:id="1891" w:name="_Toc170192630"/>
      <w:r>
        <w:rPr>
          <w:rStyle w:val="CharSectno"/>
        </w:rPr>
        <w:t>112R</w:t>
      </w:r>
      <w:r>
        <w:rPr>
          <w:snapToGrid w:val="0"/>
        </w:rPr>
        <w:t>.</w:t>
      </w:r>
      <w:r>
        <w:rPr>
          <w:snapToGrid w:val="0"/>
        </w:rPr>
        <w:tab/>
        <w:t>Certain aged care agreements exempt</w:t>
      </w:r>
      <w:bookmarkEnd w:id="1885"/>
      <w:bookmarkEnd w:id="1886"/>
      <w:bookmarkEnd w:id="1887"/>
      <w:bookmarkEnd w:id="1888"/>
      <w:bookmarkEnd w:id="1889"/>
      <w:bookmarkEnd w:id="1890"/>
      <w:bookmarkEnd w:id="1891"/>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1892" w:name="_Toc500740071"/>
      <w:bookmarkStart w:id="1893" w:name="_Toc520101234"/>
      <w:bookmarkStart w:id="1894" w:name="_Toc520533133"/>
      <w:bookmarkStart w:id="1895" w:name="_Toc49224013"/>
      <w:bookmarkStart w:id="1896" w:name="_Toc107055062"/>
      <w:bookmarkStart w:id="1897" w:name="_Toc125869159"/>
      <w:bookmarkStart w:id="1898" w:name="_Toc170192631"/>
      <w:r>
        <w:rPr>
          <w:rStyle w:val="CharSectno"/>
        </w:rPr>
        <w:t>112S</w:t>
      </w:r>
      <w:r>
        <w:rPr>
          <w:snapToGrid w:val="0"/>
        </w:rPr>
        <w:t>.</w:t>
      </w:r>
      <w:r>
        <w:rPr>
          <w:snapToGrid w:val="0"/>
        </w:rPr>
        <w:tab/>
        <w:t>Instruments not required to be lodged</w:t>
      </w:r>
      <w:bookmarkEnd w:id="1892"/>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1899" w:name="_Toc58902680"/>
      <w:bookmarkStart w:id="1900" w:name="_Toc76899732"/>
      <w:bookmarkStart w:id="1901" w:name="_Toc78090634"/>
      <w:bookmarkStart w:id="1902" w:name="_Toc88887002"/>
      <w:bookmarkStart w:id="1903" w:name="_Toc90443618"/>
      <w:bookmarkStart w:id="1904" w:name="_Toc90452969"/>
      <w:bookmarkStart w:id="1905" w:name="_Toc100029560"/>
      <w:bookmarkStart w:id="1906" w:name="_Toc100031633"/>
      <w:bookmarkStart w:id="1907" w:name="_Toc100458692"/>
      <w:bookmarkStart w:id="1908" w:name="_Toc101672108"/>
      <w:bookmarkStart w:id="1909" w:name="_Toc101672365"/>
      <w:bookmarkStart w:id="1910" w:name="_Toc102799391"/>
      <w:bookmarkStart w:id="1911" w:name="_Toc102982065"/>
      <w:bookmarkStart w:id="1912" w:name="_Toc103403378"/>
      <w:bookmarkStart w:id="1913" w:name="_Toc103403635"/>
      <w:bookmarkStart w:id="1914" w:name="_Toc103747634"/>
      <w:bookmarkStart w:id="1915" w:name="_Toc107055063"/>
      <w:bookmarkStart w:id="1916" w:name="_Toc113874510"/>
      <w:bookmarkStart w:id="1917" w:name="_Toc113956926"/>
      <w:bookmarkStart w:id="1918" w:name="_Toc116717482"/>
      <w:bookmarkStart w:id="1919" w:name="_Toc116813509"/>
      <w:bookmarkStart w:id="1920" w:name="_Toc122333162"/>
      <w:bookmarkStart w:id="1921" w:name="_Toc122862132"/>
      <w:bookmarkStart w:id="1922" w:name="_Toc122862728"/>
      <w:bookmarkStart w:id="1923" w:name="_Toc122921335"/>
      <w:bookmarkStart w:id="1924" w:name="_Toc122921595"/>
      <w:bookmarkStart w:id="1925" w:name="_Toc122947541"/>
      <w:bookmarkStart w:id="1926" w:name="_Toc124046379"/>
      <w:bookmarkStart w:id="1927" w:name="_Toc125869160"/>
      <w:bookmarkStart w:id="1928" w:name="_Toc170192632"/>
      <w:r>
        <w:rPr>
          <w:rStyle w:val="CharPartNo"/>
        </w:rPr>
        <w:t>Part IVD</w:t>
      </w:r>
      <w:r>
        <w:rPr>
          <w:rStyle w:val="CharDivNo"/>
        </w:rPr>
        <w:t> </w:t>
      </w:r>
      <w:r>
        <w:t>—</w:t>
      </w:r>
      <w:r>
        <w:rPr>
          <w:rStyle w:val="CharDivText"/>
        </w:rPr>
        <w:t> </w:t>
      </w:r>
      <w:r>
        <w:rPr>
          <w:rStyle w:val="CharPartText"/>
        </w:rPr>
        <w:t>Maintenance agreements and orders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1929" w:name="_Toc500740072"/>
      <w:bookmarkStart w:id="1930" w:name="_Toc520101235"/>
      <w:bookmarkStart w:id="1931" w:name="_Toc520533134"/>
      <w:bookmarkStart w:id="1932" w:name="_Toc49224014"/>
      <w:bookmarkStart w:id="1933" w:name="_Toc107055064"/>
      <w:bookmarkStart w:id="1934" w:name="_Toc125869161"/>
      <w:bookmarkStart w:id="1935" w:name="_Toc170192633"/>
      <w:r>
        <w:rPr>
          <w:rStyle w:val="CharSectno"/>
        </w:rPr>
        <w:t>112UA</w:t>
      </w:r>
      <w:r>
        <w:rPr>
          <w:snapToGrid w:val="0"/>
        </w:rPr>
        <w:t>.</w:t>
      </w:r>
      <w:r>
        <w:rPr>
          <w:snapToGrid w:val="0"/>
        </w:rPr>
        <w:tab/>
        <w:t>Interpretation in Part IVD</w:t>
      </w:r>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1936" w:name="_Toc500740073"/>
      <w:bookmarkStart w:id="1937" w:name="_Toc520101236"/>
      <w:bookmarkStart w:id="1938" w:name="_Toc520533135"/>
      <w:bookmarkStart w:id="1939" w:name="_Toc49224015"/>
      <w:bookmarkStart w:id="1940" w:name="_Toc107055065"/>
      <w:bookmarkStart w:id="1941" w:name="_Toc125869162"/>
      <w:bookmarkStart w:id="1942" w:name="_Toc170192634"/>
      <w:r>
        <w:rPr>
          <w:rStyle w:val="CharSectno"/>
        </w:rPr>
        <w:t>112UB</w:t>
      </w:r>
      <w:r>
        <w:rPr>
          <w:snapToGrid w:val="0"/>
        </w:rPr>
        <w:t>.</w:t>
      </w:r>
      <w:r>
        <w:rPr>
          <w:snapToGrid w:val="0"/>
        </w:rPr>
        <w:tab/>
        <w:t>Application of Part IVD</w:t>
      </w:r>
      <w:bookmarkEnd w:id="1936"/>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1943" w:name="_Toc500740074"/>
      <w:bookmarkStart w:id="1944" w:name="_Toc520101237"/>
      <w:bookmarkStart w:id="1945" w:name="_Toc520533136"/>
      <w:bookmarkStart w:id="1946" w:name="_Toc49224016"/>
      <w:bookmarkStart w:id="1947" w:name="_Toc107055066"/>
      <w:bookmarkStart w:id="1948" w:name="_Toc125869163"/>
      <w:bookmarkStart w:id="1949" w:name="_Toc170192635"/>
      <w:r>
        <w:rPr>
          <w:rStyle w:val="CharSectno"/>
        </w:rPr>
        <w:t>112UC</w:t>
      </w:r>
      <w:r>
        <w:rPr>
          <w:snapToGrid w:val="0"/>
        </w:rPr>
        <w:t>.</w:t>
      </w:r>
      <w:r>
        <w:rPr>
          <w:snapToGrid w:val="0"/>
        </w:rPr>
        <w:tab/>
        <w:t>Duty on maintenance agreements and orders</w:t>
      </w:r>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1950" w:name="_Toc500740075"/>
      <w:bookmarkStart w:id="1951" w:name="_Toc520101238"/>
      <w:bookmarkStart w:id="1952" w:name="_Toc520533137"/>
      <w:bookmarkStart w:id="1953" w:name="_Toc49224017"/>
      <w:bookmarkStart w:id="1954" w:name="_Toc107055067"/>
      <w:bookmarkStart w:id="1955" w:name="_Toc125869164"/>
      <w:bookmarkStart w:id="1956" w:name="_Toc170192636"/>
      <w:r>
        <w:rPr>
          <w:rStyle w:val="CharSectno"/>
        </w:rPr>
        <w:t>112UD</w:t>
      </w:r>
      <w:r>
        <w:rPr>
          <w:snapToGrid w:val="0"/>
        </w:rPr>
        <w:t>.</w:t>
      </w:r>
      <w:r>
        <w:rPr>
          <w:snapToGrid w:val="0"/>
        </w:rPr>
        <w:tab/>
        <w:t>Duty on conveyance or transfer under maintenance agreement or order</w:t>
      </w:r>
      <w:bookmarkEnd w:id="1950"/>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1957" w:name="_Toc58902685"/>
      <w:bookmarkStart w:id="1958" w:name="_Toc76899737"/>
      <w:bookmarkStart w:id="1959" w:name="_Toc78090639"/>
      <w:bookmarkStart w:id="1960" w:name="_Toc88887007"/>
      <w:bookmarkStart w:id="1961" w:name="_Toc90443623"/>
      <w:bookmarkStart w:id="1962" w:name="_Toc90452974"/>
      <w:bookmarkStart w:id="1963" w:name="_Toc100029565"/>
      <w:bookmarkStart w:id="1964" w:name="_Toc100031638"/>
      <w:bookmarkStart w:id="1965" w:name="_Toc100458697"/>
      <w:bookmarkStart w:id="1966" w:name="_Toc101672113"/>
      <w:bookmarkStart w:id="1967" w:name="_Toc101672370"/>
      <w:bookmarkStart w:id="1968" w:name="_Toc102799396"/>
      <w:bookmarkStart w:id="1969" w:name="_Toc102982070"/>
      <w:bookmarkStart w:id="1970" w:name="_Toc103403383"/>
      <w:bookmarkStart w:id="1971" w:name="_Toc103403640"/>
      <w:bookmarkStart w:id="1972" w:name="_Toc103747639"/>
      <w:bookmarkStart w:id="1973" w:name="_Toc107055068"/>
      <w:bookmarkStart w:id="1974" w:name="_Toc113874515"/>
      <w:bookmarkStart w:id="1975" w:name="_Toc113956931"/>
      <w:bookmarkStart w:id="1976" w:name="_Toc116717487"/>
      <w:bookmarkStart w:id="1977" w:name="_Toc116813514"/>
      <w:bookmarkStart w:id="1978" w:name="_Toc122333167"/>
      <w:bookmarkStart w:id="1979" w:name="_Toc122862137"/>
      <w:bookmarkStart w:id="1980" w:name="_Toc122862733"/>
      <w:bookmarkStart w:id="1981" w:name="_Toc122921340"/>
      <w:bookmarkStart w:id="1982" w:name="_Toc122921600"/>
      <w:bookmarkStart w:id="1983" w:name="_Toc122947546"/>
      <w:bookmarkStart w:id="1984" w:name="_Toc124046384"/>
      <w:bookmarkStart w:id="1985" w:name="_Toc125869165"/>
      <w:bookmarkStart w:id="1986" w:name="_Toc170192637"/>
      <w:r>
        <w:rPr>
          <w:rStyle w:val="CharPartNo"/>
        </w:rPr>
        <w:t>Part IVE</w:t>
      </w:r>
      <w:r>
        <w:rPr>
          <w:rStyle w:val="CharDivNo"/>
        </w:rPr>
        <w:t> </w:t>
      </w:r>
      <w:r>
        <w:t>—</w:t>
      </w:r>
      <w:r>
        <w:rPr>
          <w:rStyle w:val="CharDivText"/>
        </w:rPr>
        <w:t> </w:t>
      </w:r>
      <w:r>
        <w:rPr>
          <w:rStyle w:val="CharPartText"/>
        </w:rPr>
        <w:t>Managed investment schemes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Footnoteheading"/>
        <w:tabs>
          <w:tab w:val="left" w:pos="923"/>
        </w:tabs>
        <w:ind w:left="937" w:hanging="937"/>
      </w:pPr>
      <w:r>
        <w:tab/>
        <w:t>[Heading inserted by No. 24 of 1999 s. 6.]</w:t>
      </w:r>
    </w:p>
    <w:p>
      <w:pPr>
        <w:pStyle w:val="Heading5"/>
      </w:pPr>
      <w:bookmarkStart w:id="1987" w:name="_Toc500740076"/>
      <w:bookmarkStart w:id="1988" w:name="_Toc520101239"/>
      <w:bookmarkStart w:id="1989" w:name="_Toc520533138"/>
      <w:bookmarkStart w:id="1990" w:name="_Toc49224018"/>
      <w:bookmarkStart w:id="1991" w:name="_Toc107055069"/>
      <w:bookmarkStart w:id="1992" w:name="_Toc125869166"/>
      <w:bookmarkStart w:id="1993" w:name="_Toc170192638"/>
      <w:r>
        <w:rPr>
          <w:rStyle w:val="CharSectno"/>
        </w:rPr>
        <w:t>112UE</w:t>
      </w:r>
      <w:r>
        <w:t>.</w:t>
      </w:r>
      <w:r>
        <w:tab/>
        <w:t>Duty on certain instruments for the purpose of managed investment schemes</w:t>
      </w:r>
      <w:bookmarkEnd w:id="1987"/>
      <w:bookmarkEnd w:id="1988"/>
      <w:bookmarkEnd w:id="1989"/>
      <w:bookmarkEnd w:id="1990"/>
      <w:bookmarkEnd w:id="1991"/>
      <w:bookmarkEnd w:id="1992"/>
      <w:bookmarkEnd w:id="1993"/>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1994" w:name="_Toc58902687"/>
      <w:bookmarkStart w:id="1995" w:name="_Toc76899739"/>
      <w:bookmarkStart w:id="1996" w:name="_Toc78090641"/>
      <w:bookmarkStart w:id="1997" w:name="_Toc88887009"/>
      <w:bookmarkStart w:id="1998" w:name="_Toc90443625"/>
      <w:bookmarkStart w:id="1999" w:name="_Toc90452976"/>
      <w:bookmarkStart w:id="2000" w:name="_Toc100029567"/>
      <w:bookmarkStart w:id="2001" w:name="_Toc100031640"/>
      <w:bookmarkStart w:id="2002" w:name="_Toc100458699"/>
      <w:bookmarkStart w:id="2003" w:name="_Toc101672115"/>
      <w:bookmarkStart w:id="2004" w:name="_Toc101672372"/>
      <w:bookmarkStart w:id="2005" w:name="_Toc102799398"/>
      <w:bookmarkStart w:id="2006" w:name="_Toc102982072"/>
      <w:bookmarkStart w:id="2007" w:name="_Toc103403385"/>
      <w:bookmarkStart w:id="2008" w:name="_Toc103403642"/>
      <w:bookmarkStart w:id="2009" w:name="_Toc103747641"/>
      <w:bookmarkStart w:id="2010" w:name="_Toc107055070"/>
      <w:bookmarkStart w:id="2011" w:name="_Toc113874517"/>
      <w:bookmarkStart w:id="2012" w:name="_Toc113956933"/>
      <w:bookmarkStart w:id="2013" w:name="_Toc116717489"/>
      <w:bookmarkStart w:id="2014" w:name="_Toc116813516"/>
      <w:bookmarkStart w:id="2015" w:name="_Toc122333169"/>
      <w:bookmarkStart w:id="2016" w:name="_Toc122862139"/>
      <w:bookmarkStart w:id="2017" w:name="_Toc122862735"/>
      <w:bookmarkStart w:id="2018" w:name="_Toc122921342"/>
      <w:bookmarkStart w:id="2019" w:name="_Toc122921602"/>
      <w:bookmarkStart w:id="2020" w:name="_Toc122947548"/>
      <w:bookmarkStart w:id="2021" w:name="_Toc124046386"/>
      <w:bookmarkStart w:id="2022" w:name="_Toc125869167"/>
      <w:bookmarkStart w:id="2023" w:name="_Toc170192639"/>
      <w:r>
        <w:rPr>
          <w:rStyle w:val="CharPartNo"/>
        </w:rPr>
        <w:t>Part V</w:t>
      </w:r>
      <w:r>
        <w:rPr>
          <w:rStyle w:val="CharDivNo"/>
        </w:rPr>
        <w:t> </w:t>
      </w:r>
      <w:r>
        <w:t>—</w:t>
      </w:r>
      <w:r>
        <w:rPr>
          <w:rStyle w:val="CharDivText"/>
        </w:rPr>
        <w:t> </w:t>
      </w:r>
      <w:r>
        <w:rPr>
          <w:rStyle w:val="CharPartText"/>
        </w:rPr>
        <w:t>Miscellaneous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2024" w:name="_Toc49224019"/>
      <w:bookmarkStart w:id="2025" w:name="_Toc107055071"/>
      <w:bookmarkStart w:id="2026" w:name="_Toc125869168"/>
      <w:bookmarkStart w:id="2027" w:name="_Toc170192640"/>
      <w:bookmarkStart w:id="2028" w:name="_Toc500740084"/>
      <w:bookmarkStart w:id="2029" w:name="_Toc520101247"/>
      <w:bookmarkStart w:id="2030" w:name="_Toc520533146"/>
      <w:r>
        <w:rPr>
          <w:rStyle w:val="CharSectno"/>
        </w:rPr>
        <w:t>113</w:t>
      </w:r>
      <w:r>
        <w:t>.</w:t>
      </w:r>
      <w:r>
        <w:tab/>
        <w:t>Commissioner may impound unstamped documents</w:t>
      </w:r>
      <w:bookmarkEnd w:id="2024"/>
      <w:bookmarkEnd w:id="2025"/>
      <w:bookmarkEnd w:id="2026"/>
      <w:bookmarkEnd w:id="2027"/>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031" w:name="_Toc49224020"/>
      <w:bookmarkStart w:id="2032" w:name="_Toc107055072"/>
      <w:bookmarkStart w:id="2033" w:name="_Toc125869169"/>
      <w:bookmarkStart w:id="2034" w:name="_Toc170192641"/>
      <w:r>
        <w:rPr>
          <w:rStyle w:val="CharSectno"/>
        </w:rPr>
        <w:t>114</w:t>
      </w:r>
      <w:r>
        <w:t>.</w:t>
      </w:r>
      <w:r>
        <w:tab/>
        <w:t>Commissioner may destroy instruments</w:t>
      </w:r>
      <w:bookmarkEnd w:id="2031"/>
      <w:bookmarkEnd w:id="2032"/>
      <w:bookmarkEnd w:id="2033"/>
      <w:bookmarkEnd w:id="2034"/>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2035" w:name="_Toc49224021"/>
      <w:bookmarkStart w:id="2036" w:name="_Toc107055073"/>
      <w:bookmarkStart w:id="2037" w:name="_Toc125869170"/>
      <w:bookmarkStart w:id="2038" w:name="_Toc170192642"/>
      <w:r>
        <w:rPr>
          <w:rStyle w:val="CharSectno"/>
        </w:rPr>
        <w:t>119</w:t>
      </w:r>
      <w:r>
        <w:rPr>
          <w:snapToGrid w:val="0"/>
        </w:rPr>
        <w:t>.</w:t>
      </w:r>
      <w:r>
        <w:rPr>
          <w:snapToGrid w:val="0"/>
        </w:rPr>
        <w:tab/>
        <w:t>Certain exemptions where the State of Western Australia etc. is a party</w:t>
      </w:r>
      <w:bookmarkEnd w:id="2028"/>
      <w:bookmarkEnd w:id="2029"/>
      <w:bookmarkEnd w:id="2030"/>
      <w:bookmarkEnd w:id="2035"/>
      <w:bookmarkEnd w:id="2036"/>
      <w:bookmarkEnd w:id="2037"/>
      <w:bookmarkEnd w:id="20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2039" w:name="_Toc49224022"/>
      <w:bookmarkStart w:id="2040" w:name="_Toc107055074"/>
      <w:bookmarkStart w:id="2041" w:name="_Toc125869171"/>
      <w:bookmarkStart w:id="2042" w:name="_Toc170192643"/>
      <w:r>
        <w:rPr>
          <w:rStyle w:val="CharSectno"/>
        </w:rPr>
        <w:t>120</w:t>
      </w:r>
      <w:r>
        <w:t>.</w:t>
      </w:r>
      <w:r>
        <w:tab/>
        <w:t>Regulations</w:t>
      </w:r>
      <w:bookmarkEnd w:id="2039"/>
      <w:bookmarkEnd w:id="2040"/>
      <w:bookmarkEnd w:id="2041"/>
      <w:bookmarkEnd w:id="2042"/>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2043" w:name="_Toc49224023"/>
      <w:bookmarkStart w:id="2044" w:name="_Toc107055075"/>
      <w:bookmarkStart w:id="2045" w:name="_Toc125869172"/>
      <w:bookmarkStart w:id="2046" w:name="_Toc170192644"/>
      <w:r>
        <w:rPr>
          <w:rStyle w:val="CharSectno"/>
        </w:rPr>
        <w:t>121</w:t>
      </w:r>
      <w:r>
        <w:t>.</w:t>
      </w:r>
      <w:r>
        <w:tab/>
        <w:t>Application of section 1070A of the Corporations Act limited</w:t>
      </w:r>
      <w:bookmarkEnd w:id="2043"/>
      <w:bookmarkEnd w:id="2044"/>
      <w:bookmarkEnd w:id="2045"/>
      <w:bookmarkEnd w:id="204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pgNumType w:start="1"/>
          <w:cols w:space="720"/>
          <w:noEndnote/>
          <w:titlePg/>
          <w:docGrid w:linePitch="326"/>
        </w:sectPr>
      </w:pPr>
    </w:p>
    <w:p>
      <w:pPr>
        <w:pStyle w:val="yScheduleHeading"/>
      </w:pPr>
      <w:bookmarkStart w:id="2047" w:name="_Toc520101250"/>
      <w:bookmarkStart w:id="2048" w:name="_Toc49224024"/>
      <w:bookmarkStart w:id="2049" w:name="_Toc49332683"/>
      <w:bookmarkStart w:id="2050" w:name="_Toc51126861"/>
      <w:bookmarkStart w:id="2051" w:name="_Toc101672378"/>
      <w:bookmarkStart w:id="2052" w:name="_Toc103403648"/>
      <w:bookmarkStart w:id="2053" w:name="_Toc103747647"/>
      <w:bookmarkStart w:id="2054" w:name="_Toc107055076"/>
      <w:bookmarkStart w:id="2055" w:name="_Toc113874523"/>
      <w:bookmarkStart w:id="2056" w:name="_Toc113956939"/>
      <w:bookmarkStart w:id="2057" w:name="_Toc116717495"/>
      <w:bookmarkStart w:id="2058" w:name="_Toc116813522"/>
      <w:bookmarkStart w:id="2059" w:name="_Toc122333175"/>
      <w:bookmarkStart w:id="2060" w:name="_Toc122862145"/>
      <w:bookmarkStart w:id="2061" w:name="_Toc122862741"/>
      <w:bookmarkStart w:id="2062" w:name="_Toc122921348"/>
      <w:bookmarkStart w:id="2063" w:name="_Toc122921608"/>
      <w:bookmarkStart w:id="2064" w:name="_Toc122947554"/>
      <w:bookmarkStart w:id="2065" w:name="_Toc124046392"/>
      <w:bookmarkStart w:id="2066" w:name="_Toc125869173"/>
      <w:bookmarkStart w:id="2067" w:name="_Toc170192645"/>
      <w:r>
        <w:rPr>
          <w:rStyle w:val="CharSchNo"/>
        </w:rPr>
        <w:t>Second Schedule</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ShoulderClause"/>
        <w:spacing w:before="0"/>
        <w:rPr>
          <w:snapToGrid w:val="0"/>
        </w:rPr>
      </w:pPr>
      <w:r>
        <w:rPr>
          <w:snapToGrid w:val="0"/>
        </w:rPr>
        <w:t>[Section 16(1)]</w:t>
      </w:r>
    </w:p>
    <w:p>
      <w:pPr>
        <w:pStyle w:val="yHeading2"/>
      </w:pPr>
      <w:bookmarkStart w:id="2068" w:name="_Toc49569867"/>
      <w:bookmarkStart w:id="2069" w:name="_Toc51491318"/>
      <w:bookmarkStart w:id="2070" w:name="_Toc51659581"/>
      <w:bookmarkStart w:id="2071" w:name="_Toc100458706"/>
      <w:bookmarkStart w:id="2072" w:name="_Toc101672379"/>
      <w:bookmarkStart w:id="2073" w:name="_Toc102982079"/>
      <w:bookmarkStart w:id="2074" w:name="_Toc103403649"/>
      <w:bookmarkStart w:id="2075" w:name="_Toc103747648"/>
      <w:bookmarkStart w:id="2076" w:name="_Toc107055077"/>
      <w:bookmarkStart w:id="2077" w:name="_Toc113874524"/>
      <w:bookmarkStart w:id="2078" w:name="_Toc113956940"/>
      <w:bookmarkStart w:id="2079" w:name="_Toc116717496"/>
      <w:bookmarkStart w:id="2080" w:name="_Toc116813523"/>
      <w:bookmarkStart w:id="2081" w:name="_Toc122333176"/>
      <w:bookmarkStart w:id="2082" w:name="_Toc122862146"/>
      <w:bookmarkStart w:id="2083" w:name="_Toc122862742"/>
      <w:bookmarkStart w:id="2084" w:name="_Toc122921349"/>
      <w:bookmarkStart w:id="2085" w:name="_Toc122921609"/>
      <w:bookmarkStart w:id="2086" w:name="_Toc122947555"/>
      <w:bookmarkStart w:id="2087" w:name="_Toc124046393"/>
      <w:bookmarkStart w:id="2088" w:name="_Toc125869174"/>
      <w:bookmarkStart w:id="2089" w:name="_Toc170192646"/>
      <w:r>
        <w:rPr>
          <w:rStyle w:val="CharSchText"/>
        </w:rPr>
        <w:t>Duties payable on instruments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town planning scheme, including the Metropolitan Region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respectively have in the </w:t>
            </w:r>
            <w:r>
              <w:rPr>
                <w:i/>
                <w:sz w:val="18"/>
              </w:rPr>
              <w:t>Town Planning and Development Act 1928</w:t>
            </w:r>
            <w:r>
              <w:rPr>
                <w:sz w:val="18"/>
              </w:rPr>
              <w:t xml:space="preserve">, or the </w:t>
            </w:r>
            <w:r>
              <w:rPr>
                <w:i/>
                <w:sz w:val="18"/>
              </w:rPr>
              <w:t>Metropolitan Region Town Planning Scheme Act 1959</w:t>
            </w:r>
            <w:r>
              <w:rPr>
                <w:sz w:val="18"/>
              </w:rPr>
              <w:t>, as the case requires.</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0"/>
              <w:ind w:right="1531"/>
              <w:rPr>
                <w:sz w:val="18"/>
              </w:rPr>
            </w:pPr>
          </w:p>
          <w:p>
            <w:pPr>
              <w:pStyle w:val="yTable"/>
              <w:spacing w:before="40"/>
              <w:ind w:right="1531"/>
              <w:rPr>
                <w:sz w:val="18"/>
              </w:rPr>
            </w:pPr>
            <w:r>
              <w:rPr>
                <w:noProof/>
                <w:position w:val="-28"/>
                <w:sz w:val="18"/>
                <w:lang w:eastAsia="en-AU"/>
              </w:rPr>
              <w:drawing>
                <wp:inline distT="0" distB="0" distL="0" distR="0">
                  <wp:extent cx="1209675" cy="3714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09675" cy="371475"/>
                          </a:xfrm>
                          <a:prstGeom prst="rect">
                            <a:avLst/>
                          </a:prstGeom>
                          <a:noFill/>
                          <a:ln>
                            <a:noFill/>
                          </a:ln>
                        </pic:spPr>
                      </pic:pic>
                    </a:graphicData>
                  </a:graphic>
                </wp:inline>
              </w:drawing>
            </w: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zyHeading4"/>
              <w:keepNext w:val="0"/>
              <w:spacing w:before="0"/>
              <w:ind w:left="114" w:right="114" w:firstLine="17"/>
              <w:jc w:val="left"/>
              <w:rPr>
                <w:b w:val="0"/>
                <w:sz w:val="18"/>
              </w:rPr>
            </w:pPr>
          </w:p>
          <w:p>
            <w:pPr>
              <w:pStyle w:val="zyHeading4"/>
              <w:keepNext w:val="0"/>
              <w:spacing w:before="0"/>
              <w:ind w:left="114" w:right="114" w:firstLine="17"/>
              <w:jc w:val="left"/>
              <w:rPr>
                <w:b w:val="0"/>
                <w:sz w:val="18"/>
              </w:rPr>
            </w:pPr>
            <w:bookmarkStart w:id="2090" w:name="_Toc113874525"/>
            <w:bookmarkStart w:id="2091" w:name="_Toc113956941"/>
            <w:bookmarkStart w:id="2092" w:name="_Toc116717497"/>
            <w:bookmarkStart w:id="2093" w:name="_Toc116813524"/>
            <w:bookmarkStart w:id="2094" w:name="_Toc122333177"/>
            <w:bookmarkStart w:id="2095" w:name="_Toc122862147"/>
            <w:bookmarkStart w:id="2096" w:name="_Toc122862743"/>
            <w:bookmarkStart w:id="2097" w:name="_Toc122921350"/>
            <w:bookmarkStart w:id="2098" w:name="_Toc122921610"/>
            <w:bookmarkStart w:id="2099" w:name="_Toc122947556"/>
            <w:bookmarkStart w:id="2100" w:name="_Toc124046394"/>
            <w:bookmarkStart w:id="2101" w:name="_Toc125869175"/>
            <w:bookmarkStart w:id="2102" w:name="_Toc170192647"/>
            <w:r>
              <w:rPr>
                <w:b w:val="0"/>
                <w:sz w:val="18"/>
              </w:rPr>
              <w:t>2.5% of the market value</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pPr>
            <w:bookmarkStart w:id="2103" w:name="_Toc113874526"/>
            <w:bookmarkStart w:id="2104" w:name="_Toc113956942"/>
            <w:bookmarkStart w:id="2105" w:name="_Toc116717498"/>
            <w:bookmarkStart w:id="2106" w:name="_Toc116813525"/>
            <w:r>
              <w:rPr>
                <w:noProof/>
                <w:position w:val="-28"/>
                <w:sz w:val="18"/>
                <w:lang w:eastAsia="en-AU"/>
              </w:rPr>
              <w:drawing>
                <wp:inline distT="0" distB="0" distL="0" distR="0">
                  <wp:extent cx="1162050" cy="371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62050" cy="371475"/>
                          </a:xfrm>
                          <a:prstGeom prst="rect">
                            <a:avLst/>
                          </a:prstGeom>
                          <a:noFill/>
                          <a:ln>
                            <a:noFill/>
                          </a:ln>
                        </pic:spPr>
                      </pic:pic>
                    </a:graphicData>
                  </a:graphic>
                </wp:inline>
              </w:drawing>
            </w:r>
            <w:r>
              <w:rPr>
                <w:position w:val="-28"/>
                <w:sz w:val="18"/>
              </w:rPr>
              <w:br/>
            </w:r>
            <w:r>
              <w:rPr>
                <w:sz w:val="18"/>
              </w:rPr>
              <w:t>(rounded to 2 decimal places) of the market value (MV)</w:t>
            </w:r>
            <w:bookmarkEnd w:id="2103"/>
            <w:bookmarkEnd w:id="2104"/>
            <w:bookmarkEnd w:id="2105"/>
            <w:bookmarkEnd w:id="2106"/>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r>
              <w:rPr>
                <w:spacing w:val="-2"/>
                <w:sz w:val="18"/>
              </w:rPr>
              <w:t>16.</w:t>
            </w:r>
          </w:p>
        </w:tc>
        <w:tc>
          <w:tcPr>
            <w:tcW w:w="3402" w:type="dxa"/>
            <w:gridSpan w:val="2"/>
          </w:tcPr>
          <w:p>
            <w:pPr>
              <w:pStyle w:val="yTable"/>
              <w:keepNext/>
              <w:keepLines/>
              <w:tabs>
                <w:tab w:val="left" w:pos="454"/>
              </w:tabs>
              <w:spacing w:before="40"/>
              <w:ind w:left="414" w:hanging="414"/>
              <w:rPr>
                <w:spacing w:val="-2"/>
                <w:sz w:val="18"/>
              </w:rPr>
            </w:pPr>
            <w:r>
              <w:rPr>
                <w:spacing w:val="-2"/>
                <w:sz w:val="18"/>
              </w:rPr>
              <w:t>POLICY OF INSURANCE</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p>
        </w:tc>
        <w:tc>
          <w:tcPr>
            <w:tcW w:w="3402" w:type="dxa"/>
            <w:gridSpan w:val="2"/>
          </w:tcPr>
          <w:p>
            <w:pPr>
              <w:pStyle w:val="yTable"/>
              <w:keepNext/>
              <w:keepLines/>
              <w:tabs>
                <w:tab w:val="left" w:pos="454"/>
              </w:tabs>
              <w:spacing w:before="40"/>
              <w:ind w:left="454" w:hanging="454"/>
              <w:rPr>
                <w:spacing w:val="-2"/>
                <w:sz w:val="18"/>
              </w:rPr>
            </w:pPr>
            <w:r>
              <w:rPr>
                <w:spacing w:val="-2"/>
                <w:sz w:val="18"/>
              </w:rPr>
              <w:t>(1)</w:t>
            </w:r>
            <w:r>
              <w:rPr>
                <w:spacing w:val="-2"/>
                <w:sz w:val="18"/>
              </w:rPr>
              <w:tab/>
            </w:r>
            <w:r>
              <w:rPr>
                <w:sz w:val="18"/>
              </w:rPr>
              <w:t>A</w:t>
            </w:r>
            <w:r>
              <w:rPr>
                <w:spacing w:val="-2"/>
                <w:sz w:val="18"/>
              </w:rPr>
              <w:t>ny instrument evidencing a policy of insurance —</w:t>
            </w:r>
          </w:p>
          <w:p>
            <w:pPr>
              <w:pStyle w:val="yTable"/>
              <w:keepNext/>
              <w:keepLines/>
              <w:tabs>
                <w:tab w:val="left" w:pos="454"/>
                <w:tab w:val="left" w:pos="1021"/>
              </w:tabs>
              <w:spacing w:before="40"/>
              <w:ind w:left="1021" w:hanging="1021"/>
              <w:rPr>
                <w:i/>
                <w:spacing w:val="-2"/>
                <w:sz w:val="18"/>
              </w:rPr>
            </w:pPr>
            <w:r>
              <w:rPr>
                <w:i/>
                <w:spacing w:val="-2"/>
                <w:sz w:val="18"/>
              </w:rPr>
              <w:tab/>
              <w:t>[(a)</w:t>
            </w:r>
            <w:r>
              <w:rPr>
                <w:i/>
                <w:spacing w:val="-2"/>
                <w:sz w:val="18"/>
              </w:rPr>
              <w:tab/>
              <w:t>deleted]</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ind w:right="-113"/>
              <w:rPr>
                <w:spacing w:val="-2"/>
                <w:sz w:val="17"/>
              </w:rPr>
            </w:pPr>
            <w:r>
              <w:rPr>
                <w:spacing w:val="-2"/>
                <w:sz w:val="17"/>
              </w:rPr>
              <w:t>The person issuing the policy and see sections 92A(4)(a) and 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(b)</w:t>
            </w:r>
            <w:r>
              <w:rPr>
                <w:spacing w:val="-2"/>
                <w:sz w:val="18"/>
              </w:rPr>
              <w:tab/>
              <w:t xml:space="preserve">issued under the </w:t>
            </w:r>
            <w:r>
              <w:rPr>
                <w:i/>
                <w:spacing w:val="-2"/>
                <w:sz w:val="18"/>
              </w:rPr>
              <w:t>Motor Vehicle (Third Party Insurance) Act 1943</w:t>
            </w:r>
            <w:r>
              <w:rPr>
                <w:spacing w:val="-2"/>
                <w:sz w:val="18"/>
              </w:rPr>
              <w:t xml:space="preserve"> ...................................</w:t>
            </w:r>
          </w:p>
        </w:tc>
        <w:tc>
          <w:tcPr>
            <w:tcW w:w="1563" w:type="dxa"/>
          </w:tcPr>
          <w:p>
            <w:pPr>
              <w:pStyle w:val="yTable"/>
              <w:spacing w:before="40"/>
              <w:rPr>
                <w:spacing w:val="-2"/>
                <w:sz w:val="18"/>
              </w:rPr>
            </w:pPr>
          </w:p>
          <w:p>
            <w:pPr>
              <w:pStyle w:val="yTable"/>
              <w:spacing w:before="0"/>
              <w:rPr>
                <w:spacing w:val="-2"/>
                <w:sz w:val="18"/>
              </w:rPr>
            </w:pPr>
          </w:p>
          <w:p>
            <w:pPr>
              <w:pStyle w:val="yTable"/>
              <w:spacing w:before="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(c)</w:t>
            </w:r>
            <w:r>
              <w:rPr>
                <w:spacing w:val="-2"/>
                <w:sz w:val="18"/>
              </w:rPr>
              <w:tab/>
              <w:t>in any other case ......................</w:t>
            </w:r>
          </w:p>
        </w:tc>
        <w:tc>
          <w:tcPr>
            <w:tcW w:w="1563" w:type="dxa"/>
          </w:tcPr>
          <w:p>
            <w:pPr>
              <w:pStyle w:val="yTable"/>
              <w:spacing w:before="4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s>
              <w:spacing w:before="40"/>
              <w:ind w:left="414" w:right="-113" w:hanging="414"/>
              <w:rPr>
                <w:spacing w:val="-2"/>
                <w:sz w:val="18"/>
              </w:rPr>
            </w:pPr>
            <w:r>
              <w:rPr>
                <w:spacing w:val="-2"/>
                <w:sz w:val="18"/>
              </w:rPr>
              <w:t>(2)</w:t>
            </w:r>
            <w:r>
              <w:rPr>
                <w:spacing w:val="-2"/>
                <w:sz w:val="18"/>
              </w:rPr>
              <w:tab/>
              <w:t>On a policy of insurance (undisclosed premium)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Insured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s>
              <w:spacing w:before="0"/>
              <w:ind w:left="738" w:hanging="738"/>
              <w:rPr>
                <w:spacing w:val="-2"/>
                <w:sz w:val="18"/>
              </w:rPr>
            </w:pPr>
            <w:r>
              <w:rPr>
                <w:spacing w:val="-2"/>
                <w:sz w:val="18"/>
              </w:rPr>
              <w:tab/>
              <w:t>for every $100, and also for every fractional part of $100, of the sum insured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0.10</w:t>
            </w: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s>
              <w:spacing w:before="0"/>
              <w:ind w:left="738" w:hanging="738"/>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w:t>
      </w:r>
      <w:r>
        <w:t xml:space="preserve">.] </w:t>
      </w:r>
    </w:p>
    <w:p>
      <w:pPr>
        <w:pStyle w:val="yScheduleHeading"/>
      </w:pPr>
      <w:bookmarkStart w:id="2107" w:name="_Toc520101251"/>
      <w:bookmarkStart w:id="2108" w:name="_Toc49224025"/>
      <w:bookmarkStart w:id="2109" w:name="_Toc49332685"/>
      <w:bookmarkStart w:id="2110" w:name="_Toc51126863"/>
      <w:bookmarkStart w:id="2111" w:name="_Toc101672380"/>
      <w:bookmarkStart w:id="2112" w:name="_Toc103403650"/>
      <w:bookmarkStart w:id="2113" w:name="_Toc103747649"/>
      <w:bookmarkStart w:id="2114" w:name="_Toc107055078"/>
      <w:bookmarkStart w:id="2115" w:name="_Toc113874527"/>
      <w:bookmarkStart w:id="2116" w:name="_Toc113956943"/>
      <w:bookmarkStart w:id="2117" w:name="_Toc116717499"/>
      <w:bookmarkStart w:id="2118" w:name="_Toc116813526"/>
      <w:bookmarkStart w:id="2119" w:name="_Toc122333178"/>
      <w:bookmarkStart w:id="2120" w:name="_Toc122862148"/>
      <w:bookmarkStart w:id="2121" w:name="_Toc122862744"/>
      <w:bookmarkStart w:id="2122" w:name="_Toc122921351"/>
      <w:bookmarkStart w:id="2123" w:name="_Toc122921611"/>
      <w:bookmarkStart w:id="2124" w:name="_Toc122947557"/>
      <w:bookmarkStart w:id="2125" w:name="_Toc124046395"/>
      <w:bookmarkStart w:id="2126" w:name="_Toc125869176"/>
      <w:bookmarkStart w:id="2127" w:name="_Toc170192648"/>
      <w:r>
        <w:rPr>
          <w:rStyle w:val="CharSchNo"/>
        </w:rPr>
        <w:t>Third Schedule</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yShoulderClause"/>
        <w:rPr>
          <w:snapToGrid w:val="0"/>
        </w:rPr>
      </w:pPr>
      <w:r>
        <w:rPr>
          <w:snapToGrid w:val="0"/>
        </w:rPr>
        <w:t>[Section 16(2)]</w:t>
      </w:r>
    </w:p>
    <w:p>
      <w:pPr>
        <w:pStyle w:val="yHeading2"/>
      </w:pPr>
      <w:bookmarkStart w:id="2128" w:name="_Toc49569869"/>
      <w:bookmarkStart w:id="2129" w:name="_Toc51491320"/>
      <w:bookmarkStart w:id="2130" w:name="_Toc51659583"/>
      <w:bookmarkStart w:id="2131" w:name="_Toc100458708"/>
      <w:bookmarkStart w:id="2132" w:name="_Toc101672381"/>
      <w:bookmarkStart w:id="2133" w:name="_Toc102982081"/>
      <w:bookmarkStart w:id="2134" w:name="_Toc103403651"/>
      <w:bookmarkStart w:id="2135" w:name="_Toc103747650"/>
      <w:bookmarkStart w:id="2136" w:name="_Toc107055079"/>
      <w:bookmarkStart w:id="2137" w:name="_Toc113874528"/>
      <w:bookmarkStart w:id="2138" w:name="_Toc113956944"/>
      <w:bookmarkStart w:id="2139" w:name="_Toc116717500"/>
      <w:bookmarkStart w:id="2140" w:name="_Toc116813527"/>
      <w:bookmarkStart w:id="2141" w:name="_Toc122333179"/>
      <w:bookmarkStart w:id="2142" w:name="_Toc122862149"/>
      <w:bookmarkStart w:id="2143" w:name="_Toc122862745"/>
      <w:bookmarkStart w:id="2144" w:name="_Toc122921352"/>
      <w:bookmarkStart w:id="2145" w:name="_Toc122921612"/>
      <w:bookmarkStart w:id="2146" w:name="_Toc122947558"/>
      <w:bookmarkStart w:id="2147" w:name="_Toc124046396"/>
      <w:bookmarkStart w:id="2148" w:name="_Toc125869177"/>
      <w:bookmarkStart w:id="2149" w:name="_Toc170192649"/>
      <w:r>
        <w:rPr>
          <w:rStyle w:val="CharSchText"/>
        </w:rPr>
        <w:t>Exemptions from duty</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r>
              <w:rPr>
                <w:snapToGrid w:val="0"/>
                <w:sz w:val="20"/>
              </w:rPr>
              <w:t>8.</w:t>
            </w:r>
          </w:p>
        </w:tc>
        <w:tc>
          <w:tcPr>
            <w:tcW w:w="6484" w:type="dxa"/>
          </w:tcPr>
          <w:p>
            <w:pPr>
              <w:pStyle w:val="yTable"/>
              <w:keepNext/>
              <w:tabs>
                <w:tab w:val="left" w:pos="600"/>
              </w:tabs>
              <w:ind w:left="608" w:hanging="608"/>
              <w:rPr>
                <w:snapToGrid w:val="0"/>
                <w:sz w:val="20"/>
              </w:rPr>
            </w:pPr>
            <w:r>
              <w:rPr>
                <w:snapToGrid w:val="0"/>
                <w:sz w:val="20"/>
              </w:rPr>
              <w:t>POLICY OF INSURANCE:</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Any policy of reinsurance. (See section 95.)</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t>Any policy of insurance in respect of goods in the course of being transported, whether by rail, road, air or sea, and whether within Western Australia or elsewhere.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policy of insurance in respect of a marine hull used primarily for commercial purposes.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(3a)</w:t>
            </w:r>
            <w:r>
              <w:rPr>
                <w:snapToGrid w:val="0"/>
                <w:sz w:val="20"/>
              </w:rPr>
              <w:tab/>
              <w:t>Any policy of insurance effected by an exempt body (as defined in section 119) on or after 30 June 1989.</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(4)</w:t>
            </w:r>
            <w:r>
              <w:rPr>
                <w:snapToGrid w:val="0"/>
                <w:sz w:val="20"/>
              </w:rPr>
              <w:tab/>
              <w:t>Any policy of insurance of a class or description prescribed by regulations made under section 120.</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w:t>
      </w:r>
    </w:p>
    <w:p>
      <w:pPr>
        <w:pStyle w:val="nHeading2"/>
        <w:sectPr>
          <w:headerReference w:type="even" r:id="rId48"/>
          <w:headerReference w:type="default" r:id="rId49"/>
          <w:headerReference w:type="first" r:id="rId50"/>
          <w:pgSz w:w="11906" w:h="16838" w:code="9"/>
          <w:pgMar w:top="2381" w:right="2409" w:bottom="3543" w:left="2410" w:header="720" w:footer="3380" w:gutter="0"/>
          <w:cols w:space="720"/>
          <w:noEndnote/>
          <w:docGrid w:linePitch="326"/>
        </w:sectPr>
      </w:pPr>
    </w:p>
    <w:p>
      <w:pPr>
        <w:pStyle w:val="nHeading2"/>
      </w:pPr>
      <w:bookmarkStart w:id="2150" w:name="_Toc58902697"/>
      <w:bookmarkStart w:id="2151" w:name="_Toc76899749"/>
      <w:bookmarkStart w:id="2152" w:name="_Toc78090651"/>
      <w:bookmarkStart w:id="2153" w:name="_Toc88887019"/>
      <w:bookmarkStart w:id="2154" w:name="_Toc90443635"/>
      <w:bookmarkStart w:id="2155" w:name="_Toc90452986"/>
      <w:bookmarkStart w:id="2156" w:name="_Toc100029577"/>
      <w:bookmarkStart w:id="2157" w:name="_Toc100031650"/>
      <w:bookmarkStart w:id="2158" w:name="_Toc100458709"/>
      <w:bookmarkStart w:id="2159" w:name="_Toc101672125"/>
      <w:bookmarkStart w:id="2160" w:name="_Toc101672382"/>
      <w:bookmarkStart w:id="2161" w:name="_Toc102799408"/>
      <w:bookmarkStart w:id="2162" w:name="_Toc102982082"/>
      <w:bookmarkStart w:id="2163" w:name="_Toc103403395"/>
      <w:bookmarkStart w:id="2164" w:name="_Toc103403652"/>
      <w:bookmarkStart w:id="2165" w:name="_Toc103747651"/>
      <w:bookmarkStart w:id="2166" w:name="_Toc107055080"/>
      <w:bookmarkStart w:id="2167" w:name="_Toc113874529"/>
      <w:bookmarkStart w:id="2168" w:name="_Toc113956945"/>
      <w:bookmarkStart w:id="2169" w:name="_Toc116717501"/>
      <w:bookmarkStart w:id="2170" w:name="_Toc116813528"/>
      <w:bookmarkStart w:id="2171" w:name="_Toc122333180"/>
      <w:bookmarkStart w:id="2172" w:name="_Toc122862150"/>
      <w:bookmarkStart w:id="2173" w:name="_Toc122862746"/>
      <w:bookmarkStart w:id="2174" w:name="_Toc122921353"/>
      <w:bookmarkStart w:id="2175" w:name="_Toc122921613"/>
      <w:bookmarkStart w:id="2176" w:name="_Toc122947559"/>
      <w:bookmarkStart w:id="2177" w:name="_Toc124046397"/>
      <w:bookmarkStart w:id="2178" w:name="_Toc125869178"/>
      <w:bookmarkStart w:id="2179" w:name="_Toc170192650"/>
      <w:r>
        <w:t>Notes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pPr>
      <w:bookmarkStart w:id="2180" w:name="_Toc107055081"/>
      <w:bookmarkStart w:id="2181" w:name="_Toc125869179"/>
      <w:bookmarkStart w:id="2182" w:name="_Toc170192651"/>
      <w:r>
        <w:t>Compilation table</w:t>
      </w:r>
      <w:bookmarkEnd w:id="2180"/>
      <w:bookmarkEnd w:id="2181"/>
      <w:bookmarkEnd w:id="2182"/>
    </w:p>
    <w:tbl>
      <w:tblPr>
        <w:tblW w:w="0" w:type="auto"/>
        <w:tblInd w:w="48" w:type="dxa"/>
        <w:tblLayout w:type="fixed"/>
        <w:tblCellMar>
          <w:left w:w="56" w:type="dxa"/>
          <w:right w:w="56" w:type="dxa"/>
        </w:tblCellMar>
        <w:tblLook w:val="0000" w:firstRow="0" w:lastRow="0" w:firstColumn="0" w:lastColumn="0" w:noHBand="0" w:noVBand="0"/>
      </w:tblPr>
      <w:tblGrid>
        <w:gridCol w:w="8"/>
        <w:gridCol w:w="2268"/>
        <w:gridCol w:w="12"/>
        <w:gridCol w:w="93"/>
        <w:gridCol w:w="987"/>
        <w:gridCol w:w="34"/>
        <w:gridCol w:w="8"/>
        <w:gridCol w:w="1126"/>
        <w:gridCol w:w="8"/>
        <w:gridCol w:w="24"/>
        <w:gridCol w:w="2520"/>
        <w:gridCol w:w="8"/>
      </w:tblGrid>
      <w:tr>
        <w:trPr>
          <w:gridBefore w:val="1"/>
          <w:wBefore w:w="8"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68" w:type="dxa"/>
          </w:tcPr>
          <w:p>
            <w:pPr>
              <w:pStyle w:val="nTable"/>
              <w:spacing w:after="40"/>
              <w:ind w:right="113"/>
              <w:rPr>
                <w:sz w:val="19"/>
              </w:rPr>
            </w:pPr>
            <w:r>
              <w:rPr>
                <w:i/>
                <w:sz w:val="19"/>
              </w:rPr>
              <w:t>Stamp Act 1921</w:t>
            </w:r>
          </w:p>
        </w:tc>
        <w:tc>
          <w:tcPr>
            <w:tcW w:w="1134" w:type="dxa"/>
            <w:gridSpan w:val="5"/>
          </w:tcPr>
          <w:p>
            <w:pPr>
              <w:pStyle w:val="nTable"/>
              <w:spacing w:after="40"/>
              <w:rPr>
                <w:sz w:val="19"/>
              </w:rPr>
            </w:pPr>
            <w:r>
              <w:rPr>
                <w:sz w:val="19"/>
              </w:rPr>
              <w:t>10 of 1922</w:t>
            </w:r>
          </w:p>
        </w:tc>
        <w:tc>
          <w:tcPr>
            <w:tcW w:w="1134" w:type="dxa"/>
            <w:gridSpan w:val="2"/>
          </w:tcPr>
          <w:p>
            <w:pPr>
              <w:pStyle w:val="nTable"/>
              <w:spacing w:after="40"/>
              <w:rPr>
                <w:sz w:val="19"/>
              </w:rPr>
            </w:pPr>
            <w:r>
              <w:rPr>
                <w:sz w:val="19"/>
              </w:rPr>
              <w:t>31 Jan 1922</w:t>
            </w:r>
          </w:p>
        </w:tc>
        <w:tc>
          <w:tcPr>
            <w:tcW w:w="2552"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gridBefore w:val="1"/>
          <w:wBefore w:w="8" w:type="dxa"/>
          <w:cantSplit/>
        </w:trPr>
        <w:tc>
          <w:tcPr>
            <w:tcW w:w="2268" w:type="dxa"/>
          </w:tcPr>
          <w:p>
            <w:pPr>
              <w:pStyle w:val="nTable"/>
              <w:spacing w:after="40"/>
              <w:ind w:right="113"/>
              <w:rPr>
                <w:sz w:val="19"/>
              </w:rPr>
            </w:pPr>
            <w:r>
              <w:rPr>
                <w:i/>
                <w:sz w:val="19"/>
              </w:rPr>
              <w:t>Stamp Act Amendment Act 1923</w:t>
            </w:r>
          </w:p>
        </w:tc>
        <w:tc>
          <w:tcPr>
            <w:tcW w:w="1134" w:type="dxa"/>
            <w:gridSpan w:val="5"/>
          </w:tcPr>
          <w:p>
            <w:pPr>
              <w:pStyle w:val="nTable"/>
              <w:spacing w:after="40"/>
              <w:rPr>
                <w:sz w:val="19"/>
              </w:rPr>
            </w:pPr>
            <w:r>
              <w:rPr>
                <w:sz w:val="19"/>
              </w:rPr>
              <w:t>53 of 1923</w:t>
            </w:r>
          </w:p>
        </w:tc>
        <w:tc>
          <w:tcPr>
            <w:tcW w:w="1134" w:type="dxa"/>
            <w:gridSpan w:val="2"/>
          </w:tcPr>
          <w:p>
            <w:pPr>
              <w:pStyle w:val="nTable"/>
              <w:spacing w:after="40"/>
              <w:rPr>
                <w:sz w:val="19"/>
              </w:rPr>
            </w:pPr>
            <w:r>
              <w:rPr>
                <w:sz w:val="19"/>
              </w:rPr>
              <w:t>22 Dec 1923</w:t>
            </w:r>
          </w:p>
        </w:tc>
        <w:tc>
          <w:tcPr>
            <w:tcW w:w="2552" w:type="dxa"/>
            <w:gridSpan w:val="3"/>
          </w:tcPr>
          <w:p>
            <w:pPr>
              <w:pStyle w:val="nTable"/>
              <w:spacing w:after="40"/>
              <w:rPr>
                <w:sz w:val="19"/>
              </w:rPr>
            </w:pPr>
            <w:r>
              <w:rPr>
                <w:sz w:val="19"/>
              </w:rPr>
              <w:t>22 Dec 1923</w:t>
            </w:r>
          </w:p>
        </w:tc>
      </w:tr>
      <w:tr>
        <w:trPr>
          <w:gridBefore w:val="1"/>
          <w:wBefore w:w="8" w:type="dxa"/>
          <w:cantSplit/>
        </w:trPr>
        <w:tc>
          <w:tcPr>
            <w:tcW w:w="2268" w:type="dxa"/>
          </w:tcPr>
          <w:p>
            <w:pPr>
              <w:pStyle w:val="nTable"/>
              <w:spacing w:after="40"/>
              <w:ind w:right="113"/>
              <w:rPr>
                <w:sz w:val="19"/>
              </w:rPr>
            </w:pPr>
            <w:r>
              <w:rPr>
                <w:i/>
                <w:sz w:val="19"/>
              </w:rPr>
              <w:t>Stamp Act Amendment Act 1924</w:t>
            </w:r>
          </w:p>
        </w:tc>
        <w:tc>
          <w:tcPr>
            <w:tcW w:w="1134" w:type="dxa"/>
            <w:gridSpan w:val="5"/>
          </w:tcPr>
          <w:p>
            <w:pPr>
              <w:pStyle w:val="nTable"/>
              <w:spacing w:after="40"/>
              <w:rPr>
                <w:sz w:val="19"/>
              </w:rPr>
            </w:pPr>
            <w:r>
              <w:rPr>
                <w:sz w:val="19"/>
              </w:rPr>
              <w:t>23 of 1924</w:t>
            </w:r>
          </w:p>
        </w:tc>
        <w:tc>
          <w:tcPr>
            <w:tcW w:w="1134" w:type="dxa"/>
            <w:gridSpan w:val="2"/>
          </w:tcPr>
          <w:p>
            <w:pPr>
              <w:pStyle w:val="nTable"/>
              <w:spacing w:after="40"/>
              <w:rPr>
                <w:sz w:val="19"/>
              </w:rPr>
            </w:pPr>
            <w:r>
              <w:rPr>
                <w:sz w:val="19"/>
              </w:rPr>
              <w:t>31 Dec 1924</w:t>
            </w:r>
          </w:p>
        </w:tc>
        <w:tc>
          <w:tcPr>
            <w:tcW w:w="2552" w:type="dxa"/>
            <w:gridSpan w:val="3"/>
          </w:tcPr>
          <w:p>
            <w:pPr>
              <w:pStyle w:val="nTable"/>
              <w:spacing w:after="40"/>
              <w:rPr>
                <w:sz w:val="19"/>
              </w:rPr>
            </w:pPr>
            <w:r>
              <w:rPr>
                <w:sz w:val="19"/>
              </w:rPr>
              <w:t>31 Dec 1924</w:t>
            </w:r>
          </w:p>
        </w:tc>
      </w:tr>
      <w:tr>
        <w:trPr>
          <w:gridBefore w:val="1"/>
          <w:wBefore w:w="8" w:type="dxa"/>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5"/>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52" w:type="dxa"/>
            <w:gridSpan w:val="3"/>
          </w:tcPr>
          <w:p>
            <w:pPr>
              <w:pStyle w:val="nTable"/>
              <w:spacing w:after="40"/>
              <w:rPr>
                <w:sz w:val="19"/>
              </w:rPr>
            </w:pPr>
            <w:r>
              <w:rPr>
                <w:sz w:val="19"/>
              </w:rPr>
              <w:t>24 Sep 1925</w:t>
            </w:r>
          </w:p>
        </w:tc>
      </w:tr>
      <w:tr>
        <w:trPr>
          <w:gridBefore w:val="1"/>
          <w:wBefore w:w="8" w:type="dxa"/>
          <w:cantSplit/>
        </w:trPr>
        <w:tc>
          <w:tcPr>
            <w:tcW w:w="2268" w:type="dxa"/>
          </w:tcPr>
          <w:p>
            <w:pPr>
              <w:pStyle w:val="nTable"/>
              <w:spacing w:after="40"/>
              <w:ind w:right="113"/>
              <w:rPr>
                <w:sz w:val="19"/>
              </w:rPr>
            </w:pPr>
            <w:r>
              <w:rPr>
                <w:i/>
                <w:sz w:val="19"/>
              </w:rPr>
              <w:t>Stamp Act Amendment Act 1925</w:t>
            </w:r>
          </w:p>
        </w:tc>
        <w:tc>
          <w:tcPr>
            <w:tcW w:w="1134" w:type="dxa"/>
            <w:gridSpan w:val="5"/>
          </w:tcPr>
          <w:p>
            <w:pPr>
              <w:pStyle w:val="nTable"/>
              <w:spacing w:after="40"/>
              <w:rPr>
                <w:sz w:val="19"/>
              </w:rPr>
            </w:pPr>
            <w:r>
              <w:rPr>
                <w:sz w:val="19"/>
              </w:rPr>
              <w:t>47 of 1925</w:t>
            </w:r>
          </w:p>
        </w:tc>
        <w:tc>
          <w:tcPr>
            <w:tcW w:w="1134" w:type="dxa"/>
            <w:gridSpan w:val="2"/>
          </w:tcPr>
          <w:p>
            <w:pPr>
              <w:pStyle w:val="nTable"/>
              <w:spacing w:after="40"/>
              <w:rPr>
                <w:sz w:val="19"/>
              </w:rPr>
            </w:pPr>
            <w:r>
              <w:rPr>
                <w:sz w:val="19"/>
              </w:rPr>
              <w:t>31 Dec 1925</w:t>
            </w:r>
          </w:p>
        </w:tc>
        <w:tc>
          <w:tcPr>
            <w:tcW w:w="2552" w:type="dxa"/>
            <w:gridSpan w:val="3"/>
          </w:tcPr>
          <w:p>
            <w:pPr>
              <w:pStyle w:val="nTable"/>
              <w:spacing w:after="40"/>
              <w:rPr>
                <w:sz w:val="19"/>
              </w:rPr>
            </w:pPr>
            <w:r>
              <w:rPr>
                <w:sz w:val="19"/>
              </w:rPr>
              <w:t>31 Dec 1925</w:t>
            </w:r>
          </w:p>
        </w:tc>
      </w:tr>
      <w:tr>
        <w:trPr>
          <w:gridBefore w:val="1"/>
          <w:wBefore w:w="8" w:type="dxa"/>
          <w:cantSplit/>
        </w:trPr>
        <w:tc>
          <w:tcPr>
            <w:tcW w:w="2268" w:type="dxa"/>
          </w:tcPr>
          <w:p>
            <w:pPr>
              <w:pStyle w:val="nTable"/>
              <w:spacing w:after="40"/>
              <w:ind w:right="113"/>
              <w:rPr>
                <w:sz w:val="19"/>
              </w:rPr>
            </w:pPr>
            <w:r>
              <w:rPr>
                <w:i/>
                <w:sz w:val="19"/>
              </w:rPr>
              <w:t>Stamp Act Amendment Act 1926</w:t>
            </w:r>
          </w:p>
        </w:tc>
        <w:tc>
          <w:tcPr>
            <w:tcW w:w="1134" w:type="dxa"/>
            <w:gridSpan w:val="5"/>
          </w:tcPr>
          <w:p>
            <w:pPr>
              <w:pStyle w:val="nTable"/>
              <w:spacing w:after="40"/>
              <w:rPr>
                <w:sz w:val="19"/>
              </w:rPr>
            </w:pPr>
            <w:r>
              <w:rPr>
                <w:sz w:val="19"/>
              </w:rPr>
              <w:t>17 of 1926</w:t>
            </w:r>
          </w:p>
        </w:tc>
        <w:tc>
          <w:tcPr>
            <w:tcW w:w="1134" w:type="dxa"/>
            <w:gridSpan w:val="2"/>
          </w:tcPr>
          <w:p>
            <w:pPr>
              <w:pStyle w:val="nTable"/>
              <w:spacing w:after="40"/>
              <w:rPr>
                <w:sz w:val="19"/>
              </w:rPr>
            </w:pPr>
            <w:r>
              <w:rPr>
                <w:sz w:val="19"/>
              </w:rPr>
              <w:t>6 Nov 1926</w:t>
            </w:r>
          </w:p>
        </w:tc>
        <w:tc>
          <w:tcPr>
            <w:tcW w:w="2552" w:type="dxa"/>
            <w:gridSpan w:val="3"/>
          </w:tcPr>
          <w:p>
            <w:pPr>
              <w:pStyle w:val="nTable"/>
              <w:spacing w:after="40"/>
              <w:rPr>
                <w:sz w:val="19"/>
              </w:rPr>
            </w:pPr>
            <w:r>
              <w:rPr>
                <w:sz w:val="19"/>
              </w:rPr>
              <w:t>6 Nov 1926</w:t>
            </w:r>
          </w:p>
        </w:tc>
      </w:tr>
      <w:tr>
        <w:trPr>
          <w:gridBefore w:val="1"/>
          <w:wBefore w:w="8" w:type="dxa"/>
          <w:cantSplit/>
        </w:trPr>
        <w:tc>
          <w:tcPr>
            <w:tcW w:w="2268" w:type="dxa"/>
          </w:tcPr>
          <w:p>
            <w:pPr>
              <w:pStyle w:val="nTable"/>
              <w:spacing w:after="40"/>
              <w:ind w:right="113"/>
              <w:rPr>
                <w:sz w:val="19"/>
              </w:rPr>
            </w:pPr>
            <w:r>
              <w:rPr>
                <w:i/>
                <w:sz w:val="19"/>
              </w:rPr>
              <w:t>Stamp Act Amendment Act 1927</w:t>
            </w:r>
          </w:p>
        </w:tc>
        <w:tc>
          <w:tcPr>
            <w:tcW w:w="1134" w:type="dxa"/>
            <w:gridSpan w:val="5"/>
          </w:tcPr>
          <w:p>
            <w:pPr>
              <w:pStyle w:val="nTable"/>
              <w:spacing w:after="40"/>
              <w:rPr>
                <w:sz w:val="19"/>
              </w:rPr>
            </w:pPr>
            <w:r>
              <w:rPr>
                <w:sz w:val="19"/>
              </w:rPr>
              <w:t>10 of 1927</w:t>
            </w:r>
          </w:p>
        </w:tc>
        <w:tc>
          <w:tcPr>
            <w:tcW w:w="1134" w:type="dxa"/>
            <w:gridSpan w:val="2"/>
          </w:tcPr>
          <w:p>
            <w:pPr>
              <w:pStyle w:val="nTable"/>
              <w:spacing w:after="40"/>
              <w:rPr>
                <w:sz w:val="19"/>
              </w:rPr>
            </w:pPr>
            <w:r>
              <w:rPr>
                <w:sz w:val="19"/>
              </w:rPr>
              <w:t>6 Dec 1927</w:t>
            </w:r>
          </w:p>
        </w:tc>
        <w:tc>
          <w:tcPr>
            <w:tcW w:w="2552" w:type="dxa"/>
            <w:gridSpan w:val="3"/>
          </w:tcPr>
          <w:p>
            <w:pPr>
              <w:pStyle w:val="nTable"/>
              <w:spacing w:after="40"/>
              <w:rPr>
                <w:sz w:val="19"/>
              </w:rPr>
            </w:pPr>
            <w:r>
              <w:rPr>
                <w:sz w:val="19"/>
              </w:rPr>
              <w:t>6 Dec 1927</w:t>
            </w:r>
          </w:p>
        </w:tc>
      </w:tr>
      <w:tr>
        <w:trPr>
          <w:gridBefore w:val="1"/>
          <w:wBefore w:w="8" w:type="dxa"/>
          <w:cantSplit/>
        </w:trPr>
        <w:tc>
          <w:tcPr>
            <w:tcW w:w="2268" w:type="dxa"/>
          </w:tcPr>
          <w:p>
            <w:pPr>
              <w:pStyle w:val="nTable"/>
              <w:spacing w:after="40"/>
              <w:ind w:right="113"/>
              <w:rPr>
                <w:sz w:val="19"/>
              </w:rPr>
            </w:pPr>
            <w:r>
              <w:rPr>
                <w:i/>
                <w:sz w:val="19"/>
              </w:rPr>
              <w:t>Stamp Act Amendment Act 1928</w:t>
            </w:r>
          </w:p>
        </w:tc>
        <w:tc>
          <w:tcPr>
            <w:tcW w:w="1134" w:type="dxa"/>
            <w:gridSpan w:val="5"/>
          </w:tcPr>
          <w:p>
            <w:pPr>
              <w:pStyle w:val="nTable"/>
              <w:spacing w:after="40"/>
              <w:rPr>
                <w:sz w:val="19"/>
              </w:rPr>
            </w:pPr>
            <w:r>
              <w:rPr>
                <w:sz w:val="19"/>
              </w:rPr>
              <w:t>22 of 1928</w:t>
            </w:r>
          </w:p>
        </w:tc>
        <w:tc>
          <w:tcPr>
            <w:tcW w:w="1134" w:type="dxa"/>
            <w:gridSpan w:val="2"/>
          </w:tcPr>
          <w:p>
            <w:pPr>
              <w:pStyle w:val="nTable"/>
              <w:spacing w:after="40"/>
              <w:rPr>
                <w:sz w:val="19"/>
              </w:rPr>
            </w:pPr>
            <w:r>
              <w:rPr>
                <w:sz w:val="19"/>
              </w:rPr>
              <w:t>21 Dec 1928</w:t>
            </w:r>
          </w:p>
        </w:tc>
        <w:tc>
          <w:tcPr>
            <w:tcW w:w="2552" w:type="dxa"/>
            <w:gridSpan w:val="3"/>
          </w:tcPr>
          <w:p>
            <w:pPr>
              <w:pStyle w:val="nTable"/>
              <w:spacing w:after="40"/>
              <w:rPr>
                <w:sz w:val="19"/>
              </w:rPr>
            </w:pPr>
            <w:r>
              <w:rPr>
                <w:sz w:val="19"/>
              </w:rPr>
              <w:t>21 Dec 1928</w:t>
            </w:r>
          </w:p>
        </w:tc>
      </w:tr>
      <w:tr>
        <w:trPr>
          <w:gridBefore w:val="1"/>
          <w:wBefore w:w="8" w:type="dxa"/>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5"/>
          </w:tcPr>
          <w:p>
            <w:pPr>
              <w:pStyle w:val="nTable"/>
              <w:spacing w:after="40"/>
              <w:rPr>
                <w:sz w:val="19"/>
              </w:rPr>
            </w:pPr>
            <w:r>
              <w:rPr>
                <w:sz w:val="19"/>
              </w:rPr>
              <w:t>5 of 1929</w:t>
            </w:r>
          </w:p>
        </w:tc>
        <w:tc>
          <w:tcPr>
            <w:tcW w:w="1134" w:type="dxa"/>
            <w:gridSpan w:val="2"/>
          </w:tcPr>
          <w:p>
            <w:pPr>
              <w:pStyle w:val="nTable"/>
              <w:spacing w:after="40"/>
              <w:rPr>
                <w:sz w:val="19"/>
              </w:rPr>
            </w:pPr>
            <w:r>
              <w:rPr>
                <w:sz w:val="19"/>
              </w:rPr>
              <w:t>7 Oct 1929</w:t>
            </w:r>
          </w:p>
        </w:tc>
        <w:tc>
          <w:tcPr>
            <w:tcW w:w="2552" w:type="dxa"/>
            <w:gridSpan w:val="3"/>
          </w:tcPr>
          <w:p>
            <w:pPr>
              <w:pStyle w:val="nTable"/>
              <w:spacing w:after="40"/>
              <w:rPr>
                <w:sz w:val="19"/>
              </w:rPr>
            </w:pPr>
            <w:r>
              <w:rPr>
                <w:sz w:val="19"/>
              </w:rPr>
              <w:t>7 Oct 1929</w:t>
            </w:r>
          </w:p>
        </w:tc>
      </w:tr>
      <w:tr>
        <w:trPr>
          <w:gridBefore w:val="1"/>
          <w:wBefore w:w="8" w:type="dxa"/>
          <w:cantSplit/>
        </w:trPr>
        <w:tc>
          <w:tcPr>
            <w:tcW w:w="2268" w:type="dxa"/>
          </w:tcPr>
          <w:p>
            <w:pPr>
              <w:pStyle w:val="nTable"/>
              <w:spacing w:after="40"/>
              <w:ind w:right="113"/>
              <w:rPr>
                <w:sz w:val="19"/>
              </w:rPr>
            </w:pPr>
            <w:r>
              <w:rPr>
                <w:i/>
                <w:sz w:val="19"/>
              </w:rPr>
              <w:t>Stamp Act Amendment Act (No. 3) 1930</w:t>
            </w:r>
          </w:p>
        </w:tc>
        <w:tc>
          <w:tcPr>
            <w:tcW w:w="1134" w:type="dxa"/>
            <w:gridSpan w:val="5"/>
          </w:tcPr>
          <w:p>
            <w:pPr>
              <w:pStyle w:val="nTable"/>
              <w:spacing w:after="40"/>
              <w:rPr>
                <w:sz w:val="19"/>
              </w:rPr>
            </w:pPr>
            <w:r>
              <w:rPr>
                <w:sz w:val="19"/>
              </w:rPr>
              <w:t>11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(No. 1) 1930</w:t>
            </w:r>
          </w:p>
        </w:tc>
        <w:tc>
          <w:tcPr>
            <w:tcW w:w="1134" w:type="dxa"/>
            <w:gridSpan w:val="5"/>
          </w:tcPr>
          <w:p>
            <w:pPr>
              <w:pStyle w:val="nTable"/>
              <w:spacing w:after="40"/>
              <w:rPr>
                <w:sz w:val="19"/>
              </w:rPr>
            </w:pPr>
            <w:r>
              <w:rPr>
                <w:sz w:val="19"/>
              </w:rPr>
              <w:t>12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1931</w:t>
            </w:r>
          </w:p>
        </w:tc>
        <w:tc>
          <w:tcPr>
            <w:tcW w:w="1134" w:type="dxa"/>
            <w:gridSpan w:val="5"/>
          </w:tcPr>
          <w:p>
            <w:pPr>
              <w:pStyle w:val="nTable"/>
              <w:spacing w:after="40"/>
              <w:rPr>
                <w:sz w:val="19"/>
              </w:rPr>
            </w:pPr>
            <w:r>
              <w:rPr>
                <w:sz w:val="19"/>
              </w:rPr>
              <w:t>39 of 1931</w:t>
            </w:r>
          </w:p>
        </w:tc>
        <w:tc>
          <w:tcPr>
            <w:tcW w:w="1134" w:type="dxa"/>
            <w:gridSpan w:val="2"/>
          </w:tcPr>
          <w:p>
            <w:pPr>
              <w:pStyle w:val="nTable"/>
              <w:spacing w:after="40"/>
              <w:rPr>
                <w:sz w:val="19"/>
              </w:rPr>
            </w:pPr>
            <w:r>
              <w:rPr>
                <w:sz w:val="19"/>
              </w:rPr>
              <w:t>26 Nov 1931</w:t>
            </w:r>
          </w:p>
        </w:tc>
        <w:tc>
          <w:tcPr>
            <w:tcW w:w="2552"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1941</w:t>
            </w:r>
          </w:p>
        </w:tc>
        <w:tc>
          <w:tcPr>
            <w:tcW w:w="1134" w:type="dxa"/>
            <w:gridSpan w:val="5"/>
          </w:tcPr>
          <w:p>
            <w:pPr>
              <w:pStyle w:val="nTable"/>
              <w:spacing w:after="40"/>
              <w:rPr>
                <w:sz w:val="19"/>
              </w:rPr>
            </w:pPr>
            <w:r>
              <w:rPr>
                <w:sz w:val="19"/>
              </w:rPr>
              <w:t>35 of 1941</w:t>
            </w:r>
          </w:p>
        </w:tc>
        <w:tc>
          <w:tcPr>
            <w:tcW w:w="1134" w:type="dxa"/>
            <w:gridSpan w:val="2"/>
          </w:tcPr>
          <w:p>
            <w:pPr>
              <w:pStyle w:val="nTable"/>
              <w:spacing w:after="40"/>
              <w:rPr>
                <w:sz w:val="19"/>
              </w:rPr>
            </w:pPr>
            <w:r>
              <w:rPr>
                <w:sz w:val="19"/>
              </w:rPr>
              <w:t>19 Dec 1941</w:t>
            </w:r>
          </w:p>
        </w:tc>
        <w:tc>
          <w:tcPr>
            <w:tcW w:w="2552" w:type="dxa"/>
            <w:gridSpan w:val="3"/>
          </w:tcPr>
          <w:p>
            <w:pPr>
              <w:pStyle w:val="nTable"/>
              <w:spacing w:after="40"/>
              <w:rPr>
                <w:sz w:val="19"/>
              </w:rPr>
            </w:pPr>
            <w:r>
              <w:rPr>
                <w:sz w:val="19"/>
              </w:rPr>
              <w:t>19 Dec 1941</w:t>
            </w:r>
          </w:p>
        </w:tc>
      </w:tr>
      <w:tr>
        <w:trPr>
          <w:gridBefore w:val="1"/>
          <w:wBefore w:w="8" w:type="dxa"/>
          <w:cantSplit/>
        </w:trPr>
        <w:tc>
          <w:tcPr>
            <w:tcW w:w="2268" w:type="dxa"/>
          </w:tcPr>
          <w:p>
            <w:pPr>
              <w:pStyle w:val="nTable"/>
              <w:spacing w:after="40"/>
              <w:ind w:right="113"/>
              <w:rPr>
                <w:sz w:val="19"/>
              </w:rPr>
            </w:pPr>
            <w:r>
              <w:rPr>
                <w:i/>
                <w:sz w:val="19"/>
              </w:rPr>
              <w:t>Stamp Act Amendment Act 1942</w:t>
            </w:r>
          </w:p>
        </w:tc>
        <w:tc>
          <w:tcPr>
            <w:tcW w:w="1134" w:type="dxa"/>
            <w:gridSpan w:val="5"/>
          </w:tcPr>
          <w:p>
            <w:pPr>
              <w:pStyle w:val="nTable"/>
              <w:spacing w:after="40"/>
              <w:rPr>
                <w:sz w:val="19"/>
              </w:rPr>
            </w:pPr>
            <w:r>
              <w:rPr>
                <w:sz w:val="19"/>
              </w:rPr>
              <w:t>40 of 1942</w:t>
            </w:r>
          </w:p>
        </w:tc>
        <w:tc>
          <w:tcPr>
            <w:tcW w:w="1134" w:type="dxa"/>
            <w:gridSpan w:val="2"/>
          </w:tcPr>
          <w:p>
            <w:pPr>
              <w:pStyle w:val="nTable"/>
              <w:spacing w:after="40"/>
              <w:rPr>
                <w:sz w:val="19"/>
              </w:rPr>
            </w:pPr>
            <w:r>
              <w:rPr>
                <w:sz w:val="19"/>
              </w:rPr>
              <w:t>23 Dec 1942</w:t>
            </w:r>
          </w:p>
        </w:tc>
        <w:tc>
          <w:tcPr>
            <w:tcW w:w="2552" w:type="dxa"/>
            <w:gridSpan w:val="3"/>
          </w:tcPr>
          <w:p>
            <w:pPr>
              <w:pStyle w:val="nTable"/>
              <w:spacing w:after="40"/>
              <w:rPr>
                <w:sz w:val="19"/>
              </w:rPr>
            </w:pPr>
            <w:r>
              <w:rPr>
                <w:sz w:val="19"/>
              </w:rPr>
              <w:t>23 Dec 1942</w:t>
            </w:r>
          </w:p>
        </w:tc>
      </w:tr>
      <w:tr>
        <w:trPr>
          <w:gridBefore w:val="1"/>
          <w:wBefore w:w="8" w:type="dxa"/>
          <w:cantSplit/>
        </w:trPr>
        <w:tc>
          <w:tcPr>
            <w:tcW w:w="2268" w:type="dxa"/>
          </w:tcPr>
          <w:p>
            <w:pPr>
              <w:pStyle w:val="nTable"/>
              <w:spacing w:after="40"/>
              <w:ind w:right="113"/>
              <w:rPr>
                <w:sz w:val="19"/>
              </w:rPr>
            </w:pPr>
            <w:r>
              <w:rPr>
                <w:i/>
                <w:sz w:val="19"/>
              </w:rPr>
              <w:t>Stamp Act Amendment Act 1944</w:t>
            </w:r>
          </w:p>
        </w:tc>
        <w:tc>
          <w:tcPr>
            <w:tcW w:w="1134" w:type="dxa"/>
            <w:gridSpan w:val="5"/>
          </w:tcPr>
          <w:p>
            <w:pPr>
              <w:pStyle w:val="nTable"/>
              <w:spacing w:after="40"/>
              <w:rPr>
                <w:sz w:val="19"/>
              </w:rPr>
            </w:pPr>
            <w:r>
              <w:rPr>
                <w:sz w:val="19"/>
              </w:rPr>
              <w:t>20 of 1944</w:t>
            </w:r>
          </w:p>
        </w:tc>
        <w:tc>
          <w:tcPr>
            <w:tcW w:w="1134" w:type="dxa"/>
            <w:gridSpan w:val="2"/>
          </w:tcPr>
          <w:p>
            <w:pPr>
              <w:pStyle w:val="nTable"/>
              <w:spacing w:after="40"/>
              <w:rPr>
                <w:sz w:val="19"/>
              </w:rPr>
            </w:pPr>
            <w:r>
              <w:rPr>
                <w:sz w:val="19"/>
              </w:rPr>
              <w:t>23 Dec 1944</w:t>
            </w:r>
          </w:p>
        </w:tc>
        <w:tc>
          <w:tcPr>
            <w:tcW w:w="2552" w:type="dxa"/>
            <w:gridSpan w:val="3"/>
          </w:tcPr>
          <w:p>
            <w:pPr>
              <w:pStyle w:val="nTable"/>
              <w:spacing w:after="40"/>
              <w:rPr>
                <w:sz w:val="19"/>
              </w:rPr>
            </w:pPr>
            <w:r>
              <w:rPr>
                <w:sz w:val="19"/>
              </w:rPr>
              <w:t>23 Dec 1944</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1950</w:t>
            </w:r>
          </w:p>
        </w:tc>
        <w:tc>
          <w:tcPr>
            <w:tcW w:w="1134" w:type="dxa"/>
            <w:gridSpan w:val="5"/>
          </w:tcPr>
          <w:p>
            <w:pPr>
              <w:pStyle w:val="nTable"/>
              <w:spacing w:after="40"/>
              <w:rPr>
                <w:sz w:val="19"/>
              </w:rPr>
            </w:pPr>
            <w:r>
              <w:rPr>
                <w:sz w:val="19"/>
              </w:rPr>
              <w:t>11 of 1950</w:t>
            </w:r>
          </w:p>
        </w:tc>
        <w:tc>
          <w:tcPr>
            <w:tcW w:w="1134" w:type="dxa"/>
            <w:gridSpan w:val="2"/>
          </w:tcPr>
          <w:p>
            <w:pPr>
              <w:pStyle w:val="nTable"/>
              <w:spacing w:after="40"/>
              <w:rPr>
                <w:sz w:val="19"/>
              </w:rPr>
            </w:pPr>
            <w:r>
              <w:rPr>
                <w:sz w:val="19"/>
              </w:rPr>
              <w:t>17 Nov 1950</w:t>
            </w:r>
          </w:p>
        </w:tc>
        <w:tc>
          <w:tcPr>
            <w:tcW w:w="2552" w:type="dxa"/>
            <w:gridSpan w:val="3"/>
          </w:tcPr>
          <w:p>
            <w:pPr>
              <w:pStyle w:val="nTable"/>
              <w:spacing w:after="40"/>
              <w:rPr>
                <w:sz w:val="19"/>
              </w:rPr>
            </w:pPr>
            <w:r>
              <w:rPr>
                <w:sz w:val="19"/>
              </w:rPr>
              <w:t>17 Nov 1950</w:t>
            </w:r>
          </w:p>
        </w:tc>
      </w:tr>
      <w:tr>
        <w:trPr>
          <w:gridBefore w:val="1"/>
          <w:wBefore w:w="8" w:type="dxa"/>
          <w:cantSplit/>
        </w:trPr>
        <w:tc>
          <w:tcPr>
            <w:tcW w:w="2268" w:type="dxa"/>
          </w:tcPr>
          <w:p>
            <w:pPr>
              <w:pStyle w:val="nTable"/>
              <w:spacing w:after="40"/>
              <w:ind w:right="113"/>
              <w:rPr>
                <w:sz w:val="19"/>
              </w:rPr>
            </w:pPr>
            <w:r>
              <w:rPr>
                <w:i/>
                <w:sz w:val="19"/>
              </w:rPr>
              <w:t>Stamp Act Amendment Act 1954</w:t>
            </w:r>
          </w:p>
        </w:tc>
        <w:tc>
          <w:tcPr>
            <w:tcW w:w="1134" w:type="dxa"/>
            <w:gridSpan w:val="5"/>
          </w:tcPr>
          <w:p>
            <w:pPr>
              <w:pStyle w:val="nTable"/>
              <w:spacing w:after="40"/>
              <w:rPr>
                <w:sz w:val="19"/>
              </w:rPr>
            </w:pPr>
            <w:r>
              <w:rPr>
                <w:sz w:val="19"/>
              </w:rPr>
              <w:t>5 of 1954</w:t>
            </w:r>
          </w:p>
        </w:tc>
        <w:tc>
          <w:tcPr>
            <w:tcW w:w="1134" w:type="dxa"/>
            <w:gridSpan w:val="2"/>
          </w:tcPr>
          <w:p>
            <w:pPr>
              <w:pStyle w:val="nTable"/>
              <w:spacing w:after="40"/>
              <w:rPr>
                <w:sz w:val="19"/>
              </w:rPr>
            </w:pPr>
            <w:r>
              <w:rPr>
                <w:sz w:val="19"/>
              </w:rPr>
              <w:t>25 Aug 1954</w:t>
            </w:r>
          </w:p>
        </w:tc>
        <w:tc>
          <w:tcPr>
            <w:tcW w:w="2552" w:type="dxa"/>
            <w:gridSpan w:val="3"/>
          </w:tcPr>
          <w:p>
            <w:pPr>
              <w:pStyle w:val="nTable"/>
              <w:spacing w:after="40"/>
              <w:rPr>
                <w:sz w:val="19"/>
              </w:rPr>
            </w:pPr>
            <w:r>
              <w:rPr>
                <w:sz w:val="19"/>
              </w:rPr>
              <w:t>25 Aug 1954</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5"/>
          </w:tcPr>
          <w:p>
            <w:pPr>
              <w:pStyle w:val="nTable"/>
              <w:spacing w:after="40"/>
              <w:rPr>
                <w:sz w:val="19"/>
              </w:rPr>
            </w:pPr>
            <w:r>
              <w:rPr>
                <w:sz w:val="19"/>
              </w:rPr>
              <w:t>63 of 1954</w:t>
            </w:r>
          </w:p>
        </w:tc>
        <w:tc>
          <w:tcPr>
            <w:tcW w:w="1134" w:type="dxa"/>
            <w:gridSpan w:val="2"/>
          </w:tcPr>
          <w:p>
            <w:pPr>
              <w:pStyle w:val="nTable"/>
              <w:spacing w:after="40"/>
              <w:rPr>
                <w:sz w:val="19"/>
              </w:rPr>
            </w:pPr>
            <w:r>
              <w:rPr>
                <w:sz w:val="19"/>
              </w:rPr>
              <w:t>30 Dec 1954</w:t>
            </w:r>
          </w:p>
        </w:tc>
        <w:tc>
          <w:tcPr>
            <w:tcW w:w="2552"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gridBefore w:val="1"/>
          <w:wBefore w:w="8" w:type="dxa"/>
          <w:cantSplit/>
        </w:trPr>
        <w:tc>
          <w:tcPr>
            <w:tcW w:w="2268" w:type="dxa"/>
          </w:tcPr>
          <w:p>
            <w:pPr>
              <w:pStyle w:val="nTable"/>
              <w:spacing w:after="40"/>
              <w:ind w:right="113"/>
              <w:rPr>
                <w:sz w:val="19"/>
              </w:rPr>
            </w:pPr>
            <w:r>
              <w:rPr>
                <w:i/>
                <w:sz w:val="19"/>
              </w:rPr>
              <w:t>Stamp Act Amendment Act 1957</w:t>
            </w:r>
          </w:p>
        </w:tc>
        <w:tc>
          <w:tcPr>
            <w:tcW w:w="1134" w:type="dxa"/>
            <w:gridSpan w:val="5"/>
          </w:tcPr>
          <w:p>
            <w:pPr>
              <w:pStyle w:val="nTable"/>
              <w:spacing w:after="40"/>
              <w:rPr>
                <w:sz w:val="19"/>
              </w:rPr>
            </w:pPr>
            <w:r>
              <w:rPr>
                <w:sz w:val="19"/>
              </w:rPr>
              <w:t>70 of 1957</w:t>
            </w:r>
          </w:p>
        </w:tc>
        <w:tc>
          <w:tcPr>
            <w:tcW w:w="1134" w:type="dxa"/>
            <w:gridSpan w:val="2"/>
          </w:tcPr>
          <w:p>
            <w:pPr>
              <w:pStyle w:val="nTable"/>
              <w:spacing w:after="40"/>
              <w:rPr>
                <w:sz w:val="19"/>
              </w:rPr>
            </w:pPr>
            <w:r>
              <w:rPr>
                <w:sz w:val="19"/>
              </w:rPr>
              <w:t>6 Dec 1957</w:t>
            </w:r>
          </w:p>
        </w:tc>
        <w:tc>
          <w:tcPr>
            <w:tcW w:w="2552"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(No. 2) 1959</w:t>
            </w:r>
          </w:p>
        </w:tc>
        <w:tc>
          <w:tcPr>
            <w:tcW w:w="1134" w:type="dxa"/>
            <w:gridSpan w:val="5"/>
          </w:tcPr>
          <w:p>
            <w:pPr>
              <w:pStyle w:val="nTable"/>
              <w:spacing w:after="40"/>
              <w:rPr>
                <w:sz w:val="19"/>
              </w:rPr>
            </w:pPr>
            <w:r>
              <w:rPr>
                <w:sz w:val="19"/>
              </w:rPr>
              <w:t>64 of 1959</w:t>
            </w:r>
          </w:p>
        </w:tc>
        <w:tc>
          <w:tcPr>
            <w:tcW w:w="1134" w:type="dxa"/>
            <w:gridSpan w:val="2"/>
          </w:tcPr>
          <w:p>
            <w:pPr>
              <w:pStyle w:val="nTable"/>
              <w:spacing w:after="40"/>
              <w:rPr>
                <w:sz w:val="19"/>
              </w:rPr>
            </w:pPr>
            <w:r>
              <w:rPr>
                <w:sz w:val="19"/>
              </w:rPr>
              <w:t>10 Dec 1959</w:t>
            </w:r>
          </w:p>
        </w:tc>
        <w:tc>
          <w:tcPr>
            <w:tcW w:w="2552"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gridBefore w:val="1"/>
          <w:wBefore w:w="8" w:type="dxa"/>
          <w:cantSplit/>
        </w:trPr>
        <w:tc>
          <w:tcPr>
            <w:tcW w:w="2268" w:type="dxa"/>
          </w:tcPr>
          <w:p>
            <w:pPr>
              <w:pStyle w:val="nTable"/>
              <w:spacing w:after="40"/>
              <w:ind w:right="113"/>
              <w:rPr>
                <w:sz w:val="19"/>
              </w:rPr>
            </w:pPr>
            <w:r>
              <w:rPr>
                <w:i/>
                <w:sz w:val="19"/>
              </w:rPr>
              <w:t>Stamp Act Amendment Act 1959</w:t>
            </w:r>
          </w:p>
        </w:tc>
        <w:tc>
          <w:tcPr>
            <w:tcW w:w="1134" w:type="dxa"/>
            <w:gridSpan w:val="5"/>
          </w:tcPr>
          <w:p>
            <w:pPr>
              <w:pStyle w:val="nTable"/>
              <w:spacing w:after="40"/>
              <w:rPr>
                <w:sz w:val="19"/>
              </w:rPr>
            </w:pPr>
            <w:r>
              <w:rPr>
                <w:sz w:val="19"/>
              </w:rPr>
              <w:t>72 of 1959</w:t>
            </w:r>
          </w:p>
        </w:tc>
        <w:tc>
          <w:tcPr>
            <w:tcW w:w="1134" w:type="dxa"/>
            <w:gridSpan w:val="2"/>
          </w:tcPr>
          <w:p>
            <w:pPr>
              <w:pStyle w:val="nTable"/>
              <w:spacing w:after="40"/>
              <w:rPr>
                <w:sz w:val="19"/>
              </w:rPr>
            </w:pPr>
            <w:r>
              <w:rPr>
                <w:sz w:val="19"/>
              </w:rPr>
              <w:t>14 Dec 1959</w:t>
            </w:r>
          </w:p>
        </w:tc>
        <w:tc>
          <w:tcPr>
            <w:tcW w:w="2552"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gridBefore w:val="1"/>
          <w:wBefore w:w="8" w:type="dxa"/>
          <w:cantSplit/>
        </w:trPr>
        <w:tc>
          <w:tcPr>
            <w:tcW w:w="2268" w:type="dxa"/>
          </w:tcPr>
          <w:p>
            <w:pPr>
              <w:pStyle w:val="nTable"/>
              <w:spacing w:after="40"/>
              <w:ind w:right="113"/>
              <w:rPr>
                <w:sz w:val="19"/>
              </w:rPr>
            </w:pPr>
            <w:r>
              <w:rPr>
                <w:i/>
                <w:sz w:val="19"/>
              </w:rPr>
              <w:t>Stamp Act Amendment Act 1960</w:t>
            </w:r>
          </w:p>
        </w:tc>
        <w:tc>
          <w:tcPr>
            <w:tcW w:w="1134" w:type="dxa"/>
            <w:gridSpan w:val="5"/>
          </w:tcPr>
          <w:p>
            <w:pPr>
              <w:pStyle w:val="nTable"/>
              <w:spacing w:after="40"/>
              <w:rPr>
                <w:sz w:val="19"/>
              </w:rPr>
            </w:pPr>
            <w:r>
              <w:rPr>
                <w:sz w:val="19"/>
              </w:rPr>
              <w:t>22 of 1960</w:t>
            </w:r>
          </w:p>
        </w:tc>
        <w:tc>
          <w:tcPr>
            <w:tcW w:w="1134" w:type="dxa"/>
            <w:gridSpan w:val="2"/>
          </w:tcPr>
          <w:p>
            <w:pPr>
              <w:pStyle w:val="nTable"/>
              <w:spacing w:after="40"/>
              <w:rPr>
                <w:sz w:val="19"/>
              </w:rPr>
            </w:pPr>
            <w:r>
              <w:rPr>
                <w:sz w:val="19"/>
              </w:rPr>
              <w:t>11 Oct 1960</w:t>
            </w:r>
          </w:p>
        </w:tc>
        <w:tc>
          <w:tcPr>
            <w:tcW w:w="2552"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gridBefore w:val="1"/>
          <w:wBefore w:w="8" w:type="dxa"/>
          <w:cantSplit/>
        </w:trPr>
        <w:tc>
          <w:tcPr>
            <w:tcW w:w="2268" w:type="dxa"/>
          </w:tcPr>
          <w:p>
            <w:pPr>
              <w:pStyle w:val="nTable"/>
              <w:spacing w:after="40"/>
              <w:ind w:right="113"/>
              <w:rPr>
                <w:sz w:val="19"/>
              </w:rPr>
            </w:pPr>
            <w:r>
              <w:rPr>
                <w:i/>
                <w:sz w:val="19"/>
              </w:rPr>
              <w:t>Stamp Act Amendment Act (No. 2) 1960</w:t>
            </w:r>
          </w:p>
        </w:tc>
        <w:tc>
          <w:tcPr>
            <w:tcW w:w="1134" w:type="dxa"/>
            <w:gridSpan w:val="5"/>
          </w:tcPr>
          <w:p>
            <w:pPr>
              <w:pStyle w:val="nTable"/>
              <w:spacing w:after="40"/>
              <w:rPr>
                <w:sz w:val="19"/>
              </w:rPr>
            </w:pPr>
            <w:r>
              <w:rPr>
                <w:sz w:val="19"/>
              </w:rPr>
              <w:t>41 of 1960</w:t>
            </w:r>
          </w:p>
        </w:tc>
        <w:tc>
          <w:tcPr>
            <w:tcW w:w="1134" w:type="dxa"/>
            <w:gridSpan w:val="2"/>
          </w:tcPr>
          <w:p>
            <w:pPr>
              <w:pStyle w:val="nTable"/>
              <w:spacing w:after="40"/>
              <w:rPr>
                <w:sz w:val="19"/>
              </w:rPr>
            </w:pPr>
            <w:r>
              <w:rPr>
                <w:sz w:val="19"/>
              </w:rPr>
              <w:t>3 Nov 1960</w:t>
            </w:r>
          </w:p>
        </w:tc>
        <w:tc>
          <w:tcPr>
            <w:tcW w:w="2552"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gridBefore w:val="1"/>
          <w:wBefore w:w="8" w:type="dxa"/>
          <w:cantSplit/>
        </w:trPr>
        <w:tc>
          <w:tcPr>
            <w:tcW w:w="2268" w:type="dxa"/>
          </w:tcPr>
          <w:p>
            <w:pPr>
              <w:pStyle w:val="nTable"/>
              <w:spacing w:after="40"/>
              <w:ind w:right="113"/>
              <w:rPr>
                <w:sz w:val="19"/>
              </w:rPr>
            </w:pPr>
            <w:r>
              <w:rPr>
                <w:i/>
                <w:sz w:val="19"/>
              </w:rPr>
              <w:t>Stamp Act Amendment Act 1961</w:t>
            </w:r>
          </w:p>
        </w:tc>
        <w:tc>
          <w:tcPr>
            <w:tcW w:w="1134" w:type="dxa"/>
            <w:gridSpan w:val="5"/>
          </w:tcPr>
          <w:p>
            <w:pPr>
              <w:pStyle w:val="nTable"/>
              <w:spacing w:after="40"/>
              <w:rPr>
                <w:sz w:val="19"/>
              </w:rPr>
            </w:pPr>
            <w:r>
              <w:rPr>
                <w:sz w:val="19"/>
              </w:rPr>
              <w:t>21 of 1961</w:t>
            </w:r>
          </w:p>
        </w:tc>
        <w:tc>
          <w:tcPr>
            <w:tcW w:w="1134" w:type="dxa"/>
            <w:gridSpan w:val="2"/>
          </w:tcPr>
          <w:p>
            <w:pPr>
              <w:pStyle w:val="nTable"/>
              <w:spacing w:after="40"/>
              <w:rPr>
                <w:sz w:val="19"/>
              </w:rPr>
            </w:pPr>
            <w:r>
              <w:rPr>
                <w:sz w:val="19"/>
              </w:rPr>
              <w:t>30 Oct 1961</w:t>
            </w:r>
          </w:p>
        </w:tc>
        <w:tc>
          <w:tcPr>
            <w:tcW w:w="2552" w:type="dxa"/>
            <w:gridSpan w:val="3"/>
          </w:tcPr>
          <w:p>
            <w:pPr>
              <w:pStyle w:val="nTable"/>
              <w:spacing w:after="40"/>
              <w:rPr>
                <w:sz w:val="19"/>
              </w:rPr>
            </w:pPr>
            <w:r>
              <w:rPr>
                <w:sz w:val="19"/>
              </w:rPr>
              <w:t>30 Oct 1961</w:t>
            </w:r>
          </w:p>
        </w:tc>
      </w:tr>
      <w:tr>
        <w:trPr>
          <w:gridBefore w:val="1"/>
          <w:wBefore w:w="8" w:type="dxa"/>
          <w:cantSplit/>
        </w:trPr>
        <w:tc>
          <w:tcPr>
            <w:tcW w:w="2268" w:type="dxa"/>
          </w:tcPr>
          <w:p>
            <w:pPr>
              <w:pStyle w:val="nTable"/>
              <w:spacing w:after="40"/>
              <w:ind w:right="113"/>
              <w:rPr>
                <w:sz w:val="19"/>
              </w:rPr>
            </w:pPr>
            <w:r>
              <w:rPr>
                <w:i/>
                <w:sz w:val="19"/>
              </w:rPr>
              <w:t>Stamp Act Amendment Act 1962</w:t>
            </w:r>
          </w:p>
        </w:tc>
        <w:tc>
          <w:tcPr>
            <w:tcW w:w="1134" w:type="dxa"/>
            <w:gridSpan w:val="5"/>
          </w:tcPr>
          <w:p>
            <w:pPr>
              <w:pStyle w:val="nTable"/>
              <w:spacing w:after="40"/>
              <w:rPr>
                <w:sz w:val="19"/>
              </w:rPr>
            </w:pPr>
            <w:r>
              <w:rPr>
                <w:sz w:val="19"/>
              </w:rPr>
              <w:t>20 of 1962</w:t>
            </w:r>
          </w:p>
        </w:tc>
        <w:tc>
          <w:tcPr>
            <w:tcW w:w="1134" w:type="dxa"/>
            <w:gridSpan w:val="2"/>
          </w:tcPr>
          <w:p>
            <w:pPr>
              <w:pStyle w:val="nTable"/>
              <w:spacing w:after="40"/>
              <w:rPr>
                <w:sz w:val="19"/>
              </w:rPr>
            </w:pPr>
            <w:r>
              <w:rPr>
                <w:sz w:val="19"/>
              </w:rPr>
              <w:t>1 Oct 1962</w:t>
            </w:r>
          </w:p>
        </w:tc>
        <w:tc>
          <w:tcPr>
            <w:tcW w:w="2552" w:type="dxa"/>
            <w:gridSpan w:val="3"/>
          </w:tcPr>
          <w:p>
            <w:pPr>
              <w:pStyle w:val="nTable"/>
              <w:spacing w:after="40"/>
              <w:rPr>
                <w:sz w:val="19"/>
              </w:rPr>
            </w:pPr>
            <w:r>
              <w:rPr>
                <w:sz w:val="19"/>
              </w:rPr>
              <w:t>1 Oct 1962</w:t>
            </w:r>
          </w:p>
        </w:tc>
      </w:tr>
      <w:tr>
        <w:trPr>
          <w:gridBefore w:val="1"/>
          <w:wBefore w:w="8" w:type="dxa"/>
          <w:cantSplit/>
        </w:trPr>
        <w:tc>
          <w:tcPr>
            <w:tcW w:w="2268" w:type="dxa"/>
          </w:tcPr>
          <w:p>
            <w:pPr>
              <w:pStyle w:val="nTable"/>
              <w:spacing w:after="40"/>
              <w:ind w:right="113"/>
              <w:rPr>
                <w:sz w:val="19"/>
              </w:rPr>
            </w:pPr>
            <w:r>
              <w:rPr>
                <w:i/>
                <w:sz w:val="19"/>
              </w:rPr>
              <w:t>Stamp Act Amendment Act (No. 2) 1962</w:t>
            </w:r>
          </w:p>
        </w:tc>
        <w:tc>
          <w:tcPr>
            <w:tcW w:w="1134" w:type="dxa"/>
            <w:gridSpan w:val="5"/>
          </w:tcPr>
          <w:p>
            <w:pPr>
              <w:pStyle w:val="nTable"/>
              <w:spacing w:after="40"/>
              <w:rPr>
                <w:sz w:val="19"/>
              </w:rPr>
            </w:pPr>
            <w:r>
              <w:rPr>
                <w:sz w:val="19"/>
              </w:rPr>
              <w:t>60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1 Jan 1963 (see s. 2)</w:t>
            </w:r>
          </w:p>
        </w:tc>
      </w:tr>
      <w:tr>
        <w:trPr>
          <w:gridBefore w:val="1"/>
          <w:wBefore w:w="8" w:type="dxa"/>
          <w:cantSplit/>
        </w:trPr>
        <w:tc>
          <w:tcPr>
            <w:tcW w:w="2268" w:type="dxa"/>
          </w:tcPr>
          <w:p>
            <w:pPr>
              <w:pStyle w:val="nTable"/>
              <w:spacing w:after="40"/>
              <w:ind w:right="113"/>
              <w:rPr>
                <w:sz w:val="19"/>
              </w:rPr>
            </w:pPr>
            <w:r>
              <w:rPr>
                <w:i/>
                <w:sz w:val="19"/>
              </w:rPr>
              <w:t>Stamp Act Amendment Act (No. 3) 1962</w:t>
            </w:r>
          </w:p>
        </w:tc>
        <w:tc>
          <w:tcPr>
            <w:tcW w:w="1134" w:type="dxa"/>
            <w:gridSpan w:val="5"/>
          </w:tcPr>
          <w:p>
            <w:pPr>
              <w:pStyle w:val="nTable"/>
              <w:spacing w:after="40"/>
              <w:rPr>
                <w:sz w:val="19"/>
              </w:rPr>
            </w:pPr>
            <w:r>
              <w:rPr>
                <w:sz w:val="19"/>
              </w:rPr>
              <w:t>69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30 Nov 1962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1963</w:t>
            </w:r>
          </w:p>
        </w:tc>
        <w:tc>
          <w:tcPr>
            <w:tcW w:w="1134" w:type="dxa"/>
            <w:gridSpan w:val="5"/>
          </w:tcPr>
          <w:p>
            <w:pPr>
              <w:pStyle w:val="nTable"/>
              <w:spacing w:after="40"/>
              <w:rPr>
                <w:sz w:val="19"/>
              </w:rPr>
            </w:pPr>
            <w:r>
              <w:rPr>
                <w:sz w:val="19"/>
              </w:rPr>
              <w:t>7 of 1963</w:t>
            </w:r>
          </w:p>
        </w:tc>
        <w:tc>
          <w:tcPr>
            <w:tcW w:w="1134" w:type="dxa"/>
            <w:gridSpan w:val="2"/>
          </w:tcPr>
          <w:p>
            <w:pPr>
              <w:pStyle w:val="nTable"/>
              <w:spacing w:after="40"/>
              <w:rPr>
                <w:sz w:val="19"/>
              </w:rPr>
            </w:pPr>
            <w:r>
              <w:rPr>
                <w:sz w:val="19"/>
              </w:rPr>
              <w:t>15 Oct 1963</w:t>
            </w:r>
          </w:p>
        </w:tc>
        <w:tc>
          <w:tcPr>
            <w:tcW w:w="2552" w:type="dxa"/>
            <w:gridSpan w:val="3"/>
          </w:tcPr>
          <w:p>
            <w:pPr>
              <w:pStyle w:val="nTable"/>
              <w:spacing w:after="40"/>
              <w:rPr>
                <w:sz w:val="19"/>
              </w:rPr>
            </w:pPr>
            <w:r>
              <w:rPr>
                <w:sz w:val="19"/>
              </w:rPr>
              <w:t>15 Oct 1963</w:t>
            </w:r>
          </w:p>
        </w:tc>
      </w:tr>
      <w:tr>
        <w:trPr>
          <w:gridBefore w:val="1"/>
          <w:wBefore w:w="8" w:type="dxa"/>
          <w:cantSplit/>
        </w:trPr>
        <w:tc>
          <w:tcPr>
            <w:tcW w:w="2268" w:type="dxa"/>
          </w:tcPr>
          <w:p>
            <w:pPr>
              <w:pStyle w:val="nTable"/>
              <w:spacing w:after="40"/>
              <w:ind w:right="113"/>
              <w:rPr>
                <w:sz w:val="19"/>
              </w:rPr>
            </w:pPr>
            <w:r>
              <w:rPr>
                <w:i/>
                <w:sz w:val="19"/>
              </w:rPr>
              <w:t>Stamp Act Amendment Act (No. 2) 1963</w:t>
            </w:r>
          </w:p>
        </w:tc>
        <w:tc>
          <w:tcPr>
            <w:tcW w:w="1134" w:type="dxa"/>
            <w:gridSpan w:val="5"/>
          </w:tcPr>
          <w:p>
            <w:pPr>
              <w:pStyle w:val="nTable"/>
              <w:spacing w:after="40"/>
              <w:rPr>
                <w:sz w:val="19"/>
              </w:rPr>
            </w:pPr>
            <w:r>
              <w:rPr>
                <w:sz w:val="19"/>
              </w:rPr>
              <w:t>37 of 1963</w:t>
            </w:r>
          </w:p>
        </w:tc>
        <w:tc>
          <w:tcPr>
            <w:tcW w:w="1134" w:type="dxa"/>
            <w:gridSpan w:val="2"/>
          </w:tcPr>
          <w:p>
            <w:pPr>
              <w:pStyle w:val="nTable"/>
              <w:spacing w:after="40"/>
              <w:rPr>
                <w:sz w:val="19"/>
              </w:rPr>
            </w:pPr>
            <w:r>
              <w:rPr>
                <w:sz w:val="19"/>
              </w:rPr>
              <w:t>19 Nov 1963</w:t>
            </w:r>
          </w:p>
        </w:tc>
        <w:tc>
          <w:tcPr>
            <w:tcW w:w="2552"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gridBefore w:val="1"/>
          <w:wBefore w:w="8" w:type="dxa"/>
          <w:cantSplit/>
        </w:trPr>
        <w:tc>
          <w:tcPr>
            <w:tcW w:w="2268" w:type="dxa"/>
          </w:tcPr>
          <w:p>
            <w:pPr>
              <w:pStyle w:val="nTable"/>
              <w:spacing w:after="40"/>
              <w:ind w:right="113"/>
              <w:rPr>
                <w:sz w:val="19"/>
              </w:rPr>
            </w:pPr>
            <w:r>
              <w:rPr>
                <w:i/>
                <w:sz w:val="19"/>
              </w:rPr>
              <w:t>Stamp Act Amendment Act (No. 3) 1963</w:t>
            </w:r>
          </w:p>
        </w:tc>
        <w:tc>
          <w:tcPr>
            <w:tcW w:w="1134" w:type="dxa"/>
            <w:gridSpan w:val="5"/>
          </w:tcPr>
          <w:p>
            <w:pPr>
              <w:pStyle w:val="nTable"/>
              <w:spacing w:after="40"/>
              <w:rPr>
                <w:sz w:val="19"/>
              </w:rPr>
            </w:pPr>
            <w:r>
              <w:rPr>
                <w:sz w:val="19"/>
              </w:rPr>
              <w:t>57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17 Dec 1963</w:t>
            </w:r>
          </w:p>
        </w:tc>
      </w:tr>
      <w:tr>
        <w:trPr>
          <w:gridBefore w:val="1"/>
          <w:wBefore w:w="8" w:type="dxa"/>
          <w:cantSplit/>
        </w:trPr>
        <w:tc>
          <w:tcPr>
            <w:tcW w:w="2268" w:type="dxa"/>
          </w:tcPr>
          <w:p>
            <w:pPr>
              <w:pStyle w:val="nTable"/>
              <w:spacing w:after="40"/>
              <w:ind w:right="113"/>
              <w:rPr>
                <w:sz w:val="19"/>
              </w:rPr>
            </w:pPr>
            <w:r>
              <w:rPr>
                <w:i/>
                <w:sz w:val="19"/>
              </w:rPr>
              <w:t>Stamp Act Amendment Act (No. 4) 1963</w:t>
            </w:r>
          </w:p>
        </w:tc>
        <w:tc>
          <w:tcPr>
            <w:tcW w:w="1134" w:type="dxa"/>
            <w:gridSpan w:val="5"/>
          </w:tcPr>
          <w:p>
            <w:pPr>
              <w:pStyle w:val="nTable"/>
              <w:spacing w:after="40"/>
              <w:rPr>
                <w:sz w:val="19"/>
              </w:rPr>
            </w:pPr>
            <w:r>
              <w:rPr>
                <w:sz w:val="19"/>
              </w:rPr>
              <w:t>58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gridBefore w:val="1"/>
          <w:wBefore w:w="8" w:type="dxa"/>
          <w:cantSplit/>
        </w:trPr>
        <w:tc>
          <w:tcPr>
            <w:tcW w:w="2268" w:type="dxa"/>
          </w:tcPr>
          <w:p>
            <w:pPr>
              <w:pStyle w:val="nTable"/>
              <w:spacing w:after="40"/>
              <w:ind w:right="113"/>
              <w:rPr>
                <w:sz w:val="19"/>
              </w:rPr>
            </w:pPr>
            <w:r>
              <w:rPr>
                <w:i/>
                <w:sz w:val="19"/>
              </w:rPr>
              <w:t>Stamp Act Amendment Act 1965</w:t>
            </w:r>
          </w:p>
        </w:tc>
        <w:tc>
          <w:tcPr>
            <w:tcW w:w="1134" w:type="dxa"/>
            <w:gridSpan w:val="5"/>
          </w:tcPr>
          <w:p>
            <w:pPr>
              <w:pStyle w:val="nTable"/>
              <w:spacing w:after="40"/>
              <w:rPr>
                <w:sz w:val="19"/>
              </w:rPr>
            </w:pPr>
            <w:r>
              <w:rPr>
                <w:sz w:val="19"/>
              </w:rPr>
              <w:t>72 of 1965</w:t>
            </w:r>
          </w:p>
        </w:tc>
        <w:tc>
          <w:tcPr>
            <w:tcW w:w="1134" w:type="dxa"/>
            <w:gridSpan w:val="2"/>
          </w:tcPr>
          <w:p>
            <w:pPr>
              <w:pStyle w:val="nTable"/>
              <w:spacing w:after="40"/>
              <w:rPr>
                <w:sz w:val="19"/>
              </w:rPr>
            </w:pPr>
            <w:r>
              <w:rPr>
                <w:sz w:val="19"/>
              </w:rPr>
              <w:t>25 Nov 1965</w:t>
            </w:r>
          </w:p>
        </w:tc>
        <w:tc>
          <w:tcPr>
            <w:tcW w:w="2552"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gridBefore w:val="1"/>
          <w:wBefore w:w="8" w:type="dxa"/>
          <w:cantSplit/>
        </w:trPr>
        <w:tc>
          <w:tcPr>
            <w:tcW w:w="2268" w:type="dxa"/>
          </w:tcPr>
          <w:p>
            <w:pPr>
              <w:pStyle w:val="nTable"/>
              <w:spacing w:after="40"/>
              <w:ind w:right="113"/>
              <w:rPr>
                <w:sz w:val="19"/>
              </w:rPr>
            </w:pPr>
            <w:r>
              <w:rPr>
                <w:i/>
                <w:sz w:val="19"/>
              </w:rPr>
              <w:t>Decimal Currency Act 1965</w:t>
            </w:r>
          </w:p>
        </w:tc>
        <w:tc>
          <w:tcPr>
            <w:tcW w:w="1134" w:type="dxa"/>
            <w:gridSpan w:val="5"/>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3"/>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1966</w:t>
            </w:r>
          </w:p>
        </w:tc>
        <w:tc>
          <w:tcPr>
            <w:tcW w:w="1134" w:type="dxa"/>
            <w:gridSpan w:val="5"/>
          </w:tcPr>
          <w:p>
            <w:pPr>
              <w:pStyle w:val="nTable"/>
              <w:spacing w:after="40"/>
              <w:rPr>
                <w:sz w:val="19"/>
              </w:rPr>
            </w:pPr>
            <w:r>
              <w:rPr>
                <w:sz w:val="19"/>
              </w:rPr>
              <w:t>67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gridBefore w:val="1"/>
          <w:wBefore w:w="8" w:type="dxa"/>
          <w:cantSplit/>
        </w:trPr>
        <w:tc>
          <w:tcPr>
            <w:tcW w:w="2268" w:type="dxa"/>
          </w:tcPr>
          <w:p>
            <w:pPr>
              <w:pStyle w:val="nTable"/>
              <w:spacing w:after="40"/>
              <w:ind w:right="113"/>
              <w:rPr>
                <w:sz w:val="19"/>
              </w:rPr>
            </w:pPr>
            <w:r>
              <w:rPr>
                <w:i/>
                <w:sz w:val="19"/>
              </w:rPr>
              <w:t>Stamp Act Amendment Act (No. 2) 1966</w:t>
            </w:r>
          </w:p>
        </w:tc>
        <w:tc>
          <w:tcPr>
            <w:tcW w:w="1134" w:type="dxa"/>
            <w:gridSpan w:val="5"/>
          </w:tcPr>
          <w:p>
            <w:pPr>
              <w:pStyle w:val="nTable"/>
              <w:spacing w:after="40"/>
              <w:rPr>
                <w:sz w:val="19"/>
              </w:rPr>
            </w:pPr>
            <w:r>
              <w:rPr>
                <w:sz w:val="19"/>
              </w:rPr>
              <w:t>90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1 Jan 1967 (see s. 2)</w:t>
            </w:r>
          </w:p>
        </w:tc>
      </w:tr>
      <w:tr>
        <w:trPr>
          <w:gridBefore w:val="1"/>
          <w:wBefore w:w="8" w:type="dxa"/>
          <w:cantSplit/>
        </w:trPr>
        <w:tc>
          <w:tcPr>
            <w:tcW w:w="2268" w:type="dxa"/>
          </w:tcPr>
          <w:p>
            <w:pPr>
              <w:pStyle w:val="nTable"/>
              <w:spacing w:after="40"/>
              <w:ind w:right="113"/>
              <w:rPr>
                <w:sz w:val="19"/>
              </w:rPr>
            </w:pPr>
            <w:r>
              <w:rPr>
                <w:i/>
                <w:sz w:val="19"/>
              </w:rPr>
              <w:t>Stamp Act Amendment Act (No. 3) 1966</w:t>
            </w:r>
          </w:p>
        </w:tc>
        <w:tc>
          <w:tcPr>
            <w:tcW w:w="1134" w:type="dxa"/>
            <w:gridSpan w:val="5"/>
          </w:tcPr>
          <w:p>
            <w:pPr>
              <w:pStyle w:val="nTable"/>
              <w:spacing w:after="40"/>
              <w:rPr>
                <w:sz w:val="19"/>
              </w:rPr>
            </w:pPr>
            <w:r>
              <w:rPr>
                <w:sz w:val="19"/>
              </w:rPr>
              <w:t>93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gridBefore w:val="1"/>
          <w:wBefore w:w="8" w:type="dxa"/>
          <w:cantSplit/>
        </w:trPr>
        <w:tc>
          <w:tcPr>
            <w:tcW w:w="2268" w:type="dxa"/>
          </w:tcPr>
          <w:p>
            <w:pPr>
              <w:pStyle w:val="nTable"/>
              <w:spacing w:after="40"/>
              <w:ind w:right="113"/>
              <w:rPr>
                <w:sz w:val="19"/>
              </w:rPr>
            </w:pPr>
            <w:r>
              <w:rPr>
                <w:i/>
                <w:sz w:val="19"/>
              </w:rPr>
              <w:t>Stamp Act Amendment Act 1967</w:t>
            </w:r>
          </w:p>
        </w:tc>
        <w:tc>
          <w:tcPr>
            <w:tcW w:w="1134" w:type="dxa"/>
            <w:gridSpan w:val="5"/>
          </w:tcPr>
          <w:p>
            <w:pPr>
              <w:pStyle w:val="nTable"/>
              <w:spacing w:after="40"/>
              <w:rPr>
                <w:sz w:val="19"/>
              </w:rPr>
            </w:pPr>
            <w:r>
              <w:rPr>
                <w:sz w:val="19"/>
              </w:rPr>
              <w:t>50 of 1967</w:t>
            </w:r>
          </w:p>
        </w:tc>
        <w:tc>
          <w:tcPr>
            <w:tcW w:w="1134" w:type="dxa"/>
            <w:gridSpan w:val="2"/>
          </w:tcPr>
          <w:p>
            <w:pPr>
              <w:pStyle w:val="nTable"/>
              <w:spacing w:after="40"/>
              <w:rPr>
                <w:sz w:val="19"/>
              </w:rPr>
            </w:pPr>
            <w:r>
              <w:rPr>
                <w:sz w:val="19"/>
              </w:rPr>
              <w:t>24 Nov 1967</w:t>
            </w:r>
          </w:p>
        </w:tc>
        <w:tc>
          <w:tcPr>
            <w:tcW w:w="2552" w:type="dxa"/>
            <w:gridSpan w:val="3"/>
          </w:tcPr>
          <w:p>
            <w:pPr>
              <w:pStyle w:val="nTable"/>
              <w:spacing w:after="40"/>
              <w:rPr>
                <w:sz w:val="19"/>
              </w:rPr>
            </w:pPr>
            <w:r>
              <w:rPr>
                <w:sz w:val="19"/>
              </w:rPr>
              <w:t>1 Dec 1967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1968</w:t>
            </w:r>
          </w:p>
        </w:tc>
        <w:tc>
          <w:tcPr>
            <w:tcW w:w="1134" w:type="dxa"/>
            <w:gridSpan w:val="5"/>
          </w:tcPr>
          <w:p>
            <w:pPr>
              <w:pStyle w:val="nTable"/>
              <w:spacing w:after="40"/>
              <w:rPr>
                <w:sz w:val="19"/>
              </w:rPr>
            </w:pPr>
            <w:r>
              <w:rPr>
                <w:sz w:val="19"/>
              </w:rPr>
              <w:t>54 of 1968</w:t>
            </w:r>
          </w:p>
        </w:tc>
        <w:tc>
          <w:tcPr>
            <w:tcW w:w="1134" w:type="dxa"/>
            <w:gridSpan w:val="2"/>
          </w:tcPr>
          <w:p>
            <w:pPr>
              <w:pStyle w:val="nTable"/>
              <w:spacing w:after="40"/>
              <w:rPr>
                <w:sz w:val="19"/>
              </w:rPr>
            </w:pPr>
            <w:r>
              <w:rPr>
                <w:sz w:val="19"/>
              </w:rPr>
              <w:t>13 Nov 1968</w:t>
            </w:r>
          </w:p>
        </w:tc>
        <w:tc>
          <w:tcPr>
            <w:tcW w:w="2552"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gridBefore w:val="1"/>
          <w:wBefore w:w="8" w:type="dxa"/>
          <w:cantSplit/>
        </w:trPr>
        <w:tc>
          <w:tcPr>
            <w:tcW w:w="2268" w:type="dxa"/>
          </w:tcPr>
          <w:p>
            <w:pPr>
              <w:pStyle w:val="nTable"/>
              <w:spacing w:after="40"/>
              <w:ind w:right="113"/>
              <w:rPr>
                <w:sz w:val="19"/>
              </w:rPr>
            </w:pPr>
            <w:r>
              <w:rPr>
                <w:i/>
                <w:sz w:val="19"/>
              </w:rPr>
              <w:t>Stamp Act Amendment Act 1969</w:t>
            </w:r>
          </w:p>
        </w:tc>
        <w:tc>
          <w:tcPr>
            <w:tcW w:w="1134" w:type="dxa"/>
            <w:gridSpan w:val="5"/>
          </w:tcPr>
          <w:p>
            <w:pPr>
              <w:pStyle w:val="nTable"/>
              <w:spacing w:after="40"/>
              <w:rPr>
                <w:sz w:val="19"/>
              </w:rPr>
            </w:pPr>
            <w:r>
              <w:rPr>
                <w:sz w:val="19"/>
              </w:rPr>
              <w:t>113 of 1969</w:t>
            </w:r>
          </w:p>
        </w:tc>
        <w:tc>
          <w:tcPr>
            <w:tcW w:w="1134" w:type="dxa"/>
            <w:gridSpan w:val="2"/>
          </w:tcPr>
          <w:p>
            <w:pPr>
              <w:pStyle w:val="nTable"/>
              <w:spacing w:after="40"/>
              <w:rPr>
                <w:sz w:val="19"/>
              </w:rPr>
            </w:pPr>
            <w:r>
              <w:rPr>
                <w:sz w:val="19"/>
              </w:rPr>
              <w:t>28 Nov 1969</w:t>
            </w:r>
          </w:p>
        </w:tc>
        <w:tc>
          <w:tcPr>
            <w:tcW w:w="2552"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gridBefore w:val="1"/>
          <w:wBefore w:w="8" w:type="dxa"/>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5"/>
          </w:tcPr>
          <w:p>
            <w:pPr>
              <w:pStyle w:val="nTable"/>
              <w:spacing w:after="40"/>
              <w:rPr>
                <w:sz w:val="19"/>
              </w:rPr>
            </w:pPr>
            <w:r>
              <w:rPr>
                <w:sz w:val="19"/>
              </w:rPr>
              <w:t>21 of 1970</w:t>
            </w:r>
          </w:p>
        </w:tc>
        <w:tc>
          <w:tcPr>
            <w:tcW w:w="1134" w:type="dxa"/>
            <w:gridSpan w:val="2"/>
          </w:tcPr>
          <w:p>
            <w:pPr>
              <w:pStyle w:val="nTable"/>
              <w:spacing w:after="40"/>
              <w:rPr>
                <w:sz w:val="19"/>
              </w:rPr>
            </w:pPr>
            <w:r>
              <w:rPr>
                <w:sz w:val="19"/>
              </w:rPr>
              <w:t>8 May 1970</w:t>
            </w:r>
          </w:p>
        </w:tc>
        <w:tc>
          <w:tcPr>
            <w:tcW w:w="2552"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gridBefore w:val="1"/>
          <w:wBefore w:w="8" w:type="dxa"/>
          <w:cantSplit/>
        </w:trPr>
        <w:tc>
          <w:tcPr>
            <w:tcW w:w="2268" w:type="dxa"/>
          </w:tcPr>
          <w:p>
            <w:pPr>
              <w:pStyle w:val="nTable"/>
              <w:spacing w:after="40"/>
              <w:ind w:right="113"/>
              <w:rPr>
                <w:sz w:val="19"/>
              </w:rPr>
            </w:pPr>
            <w:r>
              <w:rPr>
                <w:i/>
                <w:sz w:val="19"/>
              </w:rPr>
              <w:t>Stamp Act Amendment Act 1970</w:t>
            </w:r>
          </w:p>
        </w:tc>
        <w:tc>
          <w:tcPr>
            <w:tcW w:w="1134" w:type="dxa"/>
            <w:gridSpan w:val="5"/>
          </w:tcPr>
          <w:p>
            <w:pPr>
              <w:pStyle w:val="nTable"/>
              <w:spacing w:after="40"/>
              <w:rPr>
                <w:sz w:val="19"/>
              </w:rPr>
            </w:pPr>
            <w:r>
              <w:rPr>
                <w:sz w:val="19"/>
              </w:rPr>
              <w:t>102 of 1970</w:t>
            </w:r>
          </w:p>
        </w:tc>
        <w:tc>
          <w:tcPr>
            <w:tcW w:w="1134" w:type="dxa"/>
            <w:gridSpan w:val="2"/>
          </w:tcPr>
          <w:p>
            <w:pPr>
              <w:pStyle w:val="nTable"/>
              <w:spacing w:after="40"/>
              <w:rPr>
                <w:sz w:val="19"/>
              </w:rPr>
            </w:pPr>
            <w:r>
              <w:rPr>
                <w:sz w:val="19"/>
              </w:rPr>
              <w:t>8 Dec 1970</w:t>
            </w:r>
          </w:p>
        </w:tc>
        <w:tc>
          <w:tcPr>
            <w:tcW w:w="2552"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gridBefore w:val="1"/>
          <w:wBefore w:w="8" w:type="dxa"/>
          <w:cantSplit/>
        </w:trPr>
        <w:tc>
          <w:tcPr>
            <w:tcW w:w="2268" w:type="dxa"/>
          </w:tcPr>
          <w:p>
            <w:pPr>
              <w:pStyle w:val="nTable"/>
              <w:spacing w:after="40"/>
              <w:ind w:right="113"/>
              <w:rPr>
                <w:sz w:val="19"/>
              </w:rPr>
            </w:pPr>
            <w:r>
              <w:rPr>
                <w:i/>
                <w:sz w:val="19"/>
              </w:rPr>
              <w:t>Stamp Act Amendment Act 1971</w:t>
            </w:r>
          </w:p>
        </w:tc>
        <w:tc>
          <w:tcPr>
            <w:tcW w:w="1134" w:type="dxa"/>
            <w:gridSpan w:val="5"/>
          </w:tcPr>
          <w:p>
            <w:pPr>
              <w:pStyle w:val="nTable"/>
              <w:spacing w:after="40"/>
              <w:rPr>
                <w:sz w:val="19"/>
              </w:rPr>
            </w:pPr>
            <w:r>
              <w:rPr>
                <w:sz w:val="19"/>
              </w:rPr>
              <w:t>3 of 1971</w:t>
            </w:r>
          </w:p>
        </w:tc>
        <w:tc>
          <w:tcPr>
            <w:tcW w:w="1134" w:type="dxa"/>
            <w:gridSpan w:val="2"/>
          </w:tcPr>
          <w:p>
            <w:pPr>
              <w:pStyle w:val="nTable"/>
              <w:spacing w:after="40"/>
              <w:rPr>
                <w:sz w:val="19"/>
              </w:rPr>
            </w:pPr>
            <w:r>
              <w:rPr>
                <w:sz w:val="19"/>
              </w:rPr>
              <w:t>13 Sep 1971</w:t>
            </w:r>
          </w:p>
        </w:tc>
        <w:tc>
          <w:tcPr>
            <w:tcW w:w="2552" w:type="dxa"/>
            <w:gridSpan w:val="3"/>
          </w:tcPr>
          <w:p>
            <w:pPr>
              <w:pStyle w:val="nTable"/>
              <w:spacing w:after="40"/>
              <w:rPr>
                <w:sz w:val="19"/>
              </w:rPr>
            </w:pPr>
            <w:r>
              <w:rPr>
                <w:sz w:val="19"/>
              </w:rPr>
              <w:t>13 Sep 1971</w:t>
            </w:r>
          </w:p>
        </w:tc>
      </w:tr>
      <w:tr>
        <w:trPr>
          <w:gridBefore w:val="1"/>
          <w:wBefore w:w="8" w:type="dxa"/>
          <w:cantSplit/>
        </w:trPr>
        <w:tc>
          <w:tcPr>
            <w:tcW w:w="2268" w:type="dxa"/>
          </w:tcPr>
          <w:p>
            <w:pPr>
              <w:pStyle w:val="nTable"/>
              <w:spacing w:after="40"/>
              <w:ind w:right="113"/>
              <w:rPr>
                <w:sz w:val="19"/>
              </w:rPr>
            </w:pPr>
            <w:r>
              <w:rPr>
                <w:i/>
                <w:sz w:val="19"/>
              </w:rPr>
              <w:t>Stamp Act Amendment Act (No. 2) 1971</w:t>
            </w:r>
          </w:p>
        </w:tc>
        <w:tc>
          <w:tcPr>
            <w:tcW w:w="1134" w:type="dxa"/>
            <w:gridSpan w:val="5"/>
          </w:tcPr>
          <w:p>
            <w:pPr>
              <w:pStyle w:val="nTable"/>
              <w:spacing w:after="40"/>
              <w:rPr>
                <w:sz w:val="19"/>
              </w:rPr>
            </w:pPr>
            <w:r>
              <w:rPr>
                <w:sz w:val="19"/>
              </w:rPr>
              <w:t>29 of 1971</w:t>
            </w:r>
          </w:p>
        </w:tc>
        <w:tc>
          <w:tcPr>
            <w:tcW w:w="1134" w:type="dxa"/>
            <w:gridSpan w:val="2"/>
          </w:tcPr>
          <w:p>
            <w:pPr>
              <w:pStyle w:val="nTable"/>
              <w:spacing w:after="40"/>
              <w:rPr>
                <w:sz w:val="19"/>
              </w:rPr>
            </w:pPr>
            <w:r>
              <w:rPr>
                <w:sz w:val="19"/>
              </w:rPr>
              <w:t>1 Dec 1971</w:t>
            </w:r>
          </w:p>
        </w:tc>
        <w:tc>
          <w:tcPr>
            <w:tcW w:w="2552"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gridBefore w:val="1"/>
          <w:wBefore w:w="8" w:type="dxa"/>
          <w:cantSplit/>
        </w:trPr>
        <w:tc>
          <w:tcPr>
            <w:tcW w:w="2268" w:type="dxa"/>
          </w:tcPr>
          <w:p>
            <w:pPr>
              <w:pStyle w:val="nTable"/>
              <w:spacing w:after="40"/>
              <w:ind w:right="113"/>
              <w:rPr>
                <w:sz w:val="19"/>
              </w:rPr>
            </w:pPr>
            <w:r>
              <w:rPr>
                <w:i/>
                <w:sz w:val="19"/>
              </w:rPr>
              <w:t>Stamp Act Amendment Act 1972</w:t>
            </w:r>
          </w:p>
        </w:tc>
        <w:tc>
          <w:tcPr>
            <w:tcW w:w="1134" w:type="dxa"/>
            <w:gridSpan w:val="5"/>
          </w:tcPr>
          <w:p>
            <w:pPr>
              <w:pStyle w:val="nTable"/>
              <w:spacing w:after="40"/>
              <w:rPr>
                <w:sz w:val="19"/>
              </w:rPr>
            </w:pPr>
            <w:r>
              <w:rPr>
                <w:sz w:val="19"/>
              </w:rPr>
              <w:t>32 of 1972</w:t>
            </w:r>
          </w:p>
        </w:tc>
        <w:tc>
          <w:tcPr>
            <w:tcW w:w="1134" w:type="dxa"/>
            <w:gridSpan w:val="2"/>
          </w:tcPr>
          <w:p>
            <w:pPr>
              <w:pStyle w:val="nTable"/>
              <w:spacing w:after="40"/>
              <w:rPr>
                <w:sz w:val="19"/>
              </w:rPr>
            </w:pPr>
            <w:r>
              <w:rPr>
                <w:sz w:val="19"/>
              </w:rPr>
              <w:t>16 Jun 1972</w:t>
            </w:r>
          </w:p>
        </w:tc>
        <w:tc>
          <w:tcPr>
            <w:tcW w:w="2552"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gridBefore w:val="1"/>
          <w:wBefore w:w="8" w:type="dxa"/>
          <w:cantSplit/>
        </w:trPr>
        <w:tc>
          <w:tcPr>
            <w:tcW w:w="2268" w:type="dxa"/>
          </w:tcPr>
          <w:p>
            <w:pPr>
              <w:pStyle w:val="nTable"/>
              <w:spacing w:after="40"/>
              <w:ind w:right="113"/>
              <w:rPr>
                <w:sz w:val="19"/>
              </w:rPr>
            </w:pPr>
            <w:r>
              <w:rPr>
                <w:i/>
                <w:sz w:val="19"/>
              </w:rPr>
              <w:t>Metric Conversion Act 1972</w:t>
            </w:r>
          </w:p>
        </w:tc>
        <w:tc>
          <w:tcPr>
            <w:tcW w:w="1134" w:type="dxa"/>
            <w:gridSpan w:val="5"/>
          </w:tcPr>
          <w:p>
            <w:pPr>
              <w:pStyle w:val="nTable"/>
              <w:spacing w:after="40"/>
              <w:rPr>
                <w:sz w:val="19"/>
              </w:rPr>
            </w:pPr>
            <w:r>
              <w:rPr>
                <w:sz w:val="19"/>
              </w:rPr>
              <w:t>94 of 1972 (as amended by No. 19 of 1973 s. 4)</w:t>
            </w:r>
          </w:p>
        </w:tc>
        <w:tc>
          <w:tcPr>
            <w:tcW w:w="1134" w:type="dxa"/>
            <w:gridSpan w:val="2"/>
          </w:tcPr>
          <w:p>
            <w:pPr>
              <w:pStyle w:val="nTable"/>
              <w:spacing w:after="40"/>
              <w:rPr>
                <w:sz w:val="19"/>
              </w:rPr>
            </w:pPr>
            <w:r>
              <w:rPr>
                <w:sz w:val="19"/>
              </w:rPr>
              <w:t>4 Dec 1972</w:t>
            </w:r>
          </w:p>
        </w:tc>
        <w:tc>
          <w:tcPr>
            <w:tcW w:w="2552" w:type="dxa"/>
            <w:gridSpan w:val="3"/>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gridBefore w:val="1"/>
          <w:wBefore w:w="8" w:type="dxa"/>
          <w:cantSplit/>
        </w:trPr>
        <w:tc>
          <w:tcPr>
            <w:tcW w:w="2268" w:type="dxa"/>
          </w:tcPr>
          <w:p>
            <w:pPr>
              <w:pStyle w:val="nTable"/>
              <w:spacing w:after="40"/>
              <w:ind w:right="113"/>
              <w:rPr>
                <w:sz w:val="19"/>
              </w:rPr>
            </w:pPr>
            <w:r>
              <w:rPr>
                <w:i/>
                <w:sz w:val="19"/>
              </w:rPr>
              <w:t>Stamp Act Amendment Act 1974</w:t>
            </w:r>
          </w:p>
        </w:tc>
        <w:tc>
          <w:tcPr>
            <w:tcW w:w="1134" w:type="dxa"/>
            <w:gridSpan w:val="5"/>
          </w:tcPr>
          <w:p>
            <w:pPr>
              <w:pStyle w:val="nTable"/>
              <w:spacing w:after="40"/>
              <w:rPr>
                <w:sz w:val="19"/>
              </w:rPr>
            </w:pPr>
            <w:r>
              <w:rPr>
                <w:sz w:val="19"/>
              </w:rPr>
              <w:t>9 of 1974</w:t>
            </w:r>
          </w:p>
        </w:tc>
        <w:tc>
          <w:tcPr>
            <w:tcW w:w="1134" w:type="dxa"/>
            <w:gridSpan w:val="2"/>
          </w:tcPr>
          <w:p>
            <w:pPr>
              <w:pStyle w:val="nTable"/>
              <w:spacing w:after="40"/>
              <w:rPr>
                <w:sz w:val="19"/>
              </w:rPr>
            </w:pPr>
            <w:r>
              <w:rPr>
                <w:sz w:val="19"/>
              </w:rPr>
              <w:t xml:space="preserve">27 Sep 1974 </w:t>
            </w:r>
          </w:p>
        </w:tc>
        <w:tc>
          <w:tcPr>
            <w:tcW w:w="2552"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gridBefore w:val="1"/>
          <w:wBefore w:w="8" w:type="dxa"/>
          <w:cantSplit/>
        </w:trPr>
        <w:tc>
          <w:tcPr>
            <w:tcW w:w="2268" w:type="dxa"/>
          </w:tcPr>
          <w:p>
            <w:pPr>
              <w:pStyle w:val="nTable"/>
              <w:spacing w:after="40"/>
              <w:ind w:right="113"/>
              <w:rPr>
                <w:sz w:val="19"/>
              </w:rPr>
            </w:pPr>
            <w:r>
              <w:rPr>
                <w:i/>
                <w:sz w:val="19"/>
              </w:rPr>
              <w:t>Stamp Act Amendment Act (No. 2) 1974</w:t>
            </w:r>
          </w:p>
        </w:tc>
        <w:tc>
          <w:tcPr>
            <w:tcW w:w="1134" w:type="dxa"/>
            <w:gridSpan w:val="5"/>
          </w:tcPr>
          <w:p>
            <w:pPr>
              <w:pStyle w:val="nTable"/>
              <w:spacing w:after="40"/>
              <w:rPr>
                <w:sz w:val="19"/>
              </w:rPr>
            </w:pPr>
            <w:r>
              <w:rPr>
                <w:sz w:val="19"/>
              </w:rPr>
              <w:t>46 of 1974</w:t>
            </w:r>
          </w:p>
        </w:tc>
        <w:tc>
          <w:tcPr>
            <w:tcW w:w="1134" w:type="dxa"/>
            <w:gridSpan w:val="2"/>
          </w:tcPr>
          <w:p>
            <w:pPr>
              <w:pStyle w:val="nTable"/>
              <w:spacing w:after="40"/>
              <w:rPr>
                <w:sz w:val="19"/>
              </w:rPr>
            </w:pPr>
            <w:r>
              <w:rPr>
                <w:sz w:val="19"/>
              </w:rPr>
              <w:t>18 Nov 1974</w:t>
            </w:r>
          </w:p>
        </w:tc>
        <w:tc>
          <w:tcPr>
            <w:tcW w:w="2552"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1976</w:t>
            </w:r>
          </w:p>
        </w:tc>
        <w:tc>
          <w:tcPr>
            <w:tcW w:w="1134" w:type="dxa"/>
            <w:gridSpan w:val="5"/>
          </w:tcPr>
          <w:p>
            <w:pPr>
              <w:pStyle w:val="nTable"/>
              <w:spacing w:after="40"/>
              <w:rPr>
                <w:sz w:val="19"/>
              </w:rPr>
            </w:pPr>
            <w:r>
              <w:rPr>
                <w:sz w:val="19"/>
              </w:rPr>
              <w:t>96 of 1976</w:t>
            </w:r>
          </w:p>
        </w:tc>
        <w:tc>
          <w:tcPr>
            <w:tcW w:w="1134" w:type="dxa"/>
            <w:gridSpan w:val="2"/>
          </w:tcPr>
          <w:p>
            <w:pPr>
              <w:pStyle w:val="nTable"/>
              <w:spacing w:after="40"/>
              <w:rPr>
                <w:sz w:val="19"/>
              </w:rPr>
            </w:pPr>
            <w:r>
              <w:rPr>
                <w:sz w:val="19"/>
              </w:rPr>
              <w:t>12 Nov 1976</w:t>
            </w:r>
          </w:p>
        </w:tc>
        <w:tc>
          <w:tcPr>
            <w:tcW w:w="2552" w:type="dxa"/>
            <w:gridSpan w:val="3"/>
          </w:tcPr>
          <w:p>
            <w:pPr>
              <w:pStyle w:val="nTable"/>
              <w:spacing w:after="40"/>
              <w:rPr>
                <w:sz w:val="19"/>
              </w:rPr>
            </w:pPr>
            <w:r>
              <w:rPr>
                <w:sz w:val="19"/>
              </w:rPr>
              <w:t>1 Jan 1977 (see s. 2)</w:t>
            </w:r>
          </w:p>
        </w:tc>
      </w:tr>
      <w:tr>
        <w:trPr>
          <w:gridBefore w:val="1"/>
          <w:wBefore w:w="8" w:type="dxa"/>
          <w:cantSplit/>
        </w:trPr>
        <w:tc>
          <w:tcPr>
            <w:tcW w:w="2268" w:type="dxa"/>
          </w:tcPr>
          <w:p>
            <w:pPr>
              <w:pStyle w:val="nTable"/>
              <w:spacing w:after="40"/>
              <w:ind w:right="113"/>
              <w:rPr>
                <w:sz w:val="19"/>
              </w:rPr>
            </w:pPr>
            <w:r>
              <w:rPr>
                <w:i/>
                <w:sz w:val="19"/>
              </w:rPr>
              <w:t>Stamp Act Amendment Act 1977</w:t>
            </w:r>
          </w:p>
        </w:tc>
        <w:tc>
          <w:tcPr>
            <w:tcW w:w="1134" w:type="dxa"/>
            <w:gridSpan w:val="5"/>
          </w:tcPr>
          <w:p>
            <w:pPr>
              <w:pStyle w:val="nTable"/>
              <w:spacing w:after="40"/>
              <w:rPr>
                <w:sz w:val="19"/>
              </w:rPr>
            </w:pPr>
            <w:r>
              <w:rPr>
                <w:sz w:val="19"/>
              </w:rPr>
              <w:t>63 of 1977</w:t>
            </w:r>
          </w:p>
        </w:tc>
        <w:tc>
          <w:tcPr>
            <w:tcW w:w="1134" w:type="dxa"/>
            <w:gridSpan w:val="2"/>
          </w:tcPr>
          <w:p>
            <w:pPr>
              <w:pStyle w:val="nTable"/>
              <w:spacing w:after="40"/>
              <w:rPr>
                <w:sz w:val="19"/>
              </w:rPr>
            </w:pPr>
            <w:r>
              <w:rPr>
                <w:sz w:val="19"/>
              </w:rPr>
              <w:t>23 Nov 1977</w:t>
            </w:r>
          </w:p>
        </w:tc>
        <w:tc>
          <w:tcPr>
            <w:tcW w:w="2552" w:type="dxa"/>
            <w:gridSpan w:val="3"/>
          </w:tcPr>
          <w:p>
            <w:pPr>
              <w:pStyle w:val="nTable"/>
              <w:spacing w:after="40"/>
              <w:rPr>
                <w:sz w:val="19"/>
              </w:rPr>
            </w:pPr>
            <w:r>
              <w:rPr>
                <w:sz w:val="19"/>
              </w:rPr>
              <w:t>23 Nov 1977</w:t>
            </w:r>
          </w:p>
        </w:tc>
      </w:tr>
      <w:tr>
        <w:trPr>
          <w:gridBefore w:val="1"/>
          <w:wBefore w:w="8" w:type="dxa"/>
          <w:cantSplit/>
        </w:trPr>
        <w:tc>
          <w:tcPr>
            <w:tcW w:w="2268" w:type="dxa"/>
          </w:tcPr>
          <w:p>
            <w:pPr>
              <w:pStyle w:val="nTable"/>
              <w:spacing w:after="40"/>
              <w:ind w:right="113"/>
              <w:rPr>
                <w:sz w:val="19"/>
              </w:rPr>
            </w:pPr>
            <w:r>
              <w:rPr>
                <w:i/>
                <w:sz w:val="19"/>
              </w:rPr>
              <w:t>Stamp Act Amendment Act 1979</w:t>
            </w:r>
          </w:p>
        </w:tc>
        <w:tc>
          <w:tcPr>
            <w:tcW w:w="1134" w:type="dxa"/>
            <w:gridSpan w:val="5"/>
          </w:tcPr>
          <w:p>
            <w:pPr>
              <w:pStyle w:val="nTable"/>
              <w:spacing w:after="40"/>
              <w:rPr>
                <w:sz w:val="19"/>
              </w:rPr>
            </w:pPr>
            <w:r>
              <w:rPr>
                <w:sz w:val="19"/>
              </w:rPr>
              <w:t>37 of 1979</w:t>
            </w:r>
          </w:p>
        </w:tc>
        <w:tc>
          <w:tcPr>
            <w:tcW w:w="1134" w:type="dxa"/>
            <w:gridSpan w:val="2"/>
          </w:tcPr>
          <w:p>
            <w:pPr>
              <w:pStyle w:val="nTable"/>
              <w:spacing w:after="40"/>
              <w:rPr>
                <w:sz w:val="19"/>
              </w:rPr>
            </w:pPr>
            <w:r>
              <w:rPr>
                <w:sz w:val="19"/>
              </w:rPr>
              <w:t>18 Oct 1979</w:t>
            </w:r>
          </w:p>
        </w:tc>
        <w:tc>
          <w:tcPr>
            <w:tcW w:w="2552"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gridBefore w:val="1"/>
          <w:wBefore w:w="8" w:type="dxa"/>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5"/>
          </w:tcPr>
          <w:p>
            <w:pPr>
              <w:pStyle w:val="nTable"/>
              <w:spacing w:after="40"/>
              <w:rPr>
                <w:sz w:val="19"/>
              </w:rPr>
            </w:pPr>
            <w:r>
              <w:rPr>
                <w:sz w:val="19"/>
              </w:rPr>
              <w:t>47 of 1979</w:t>
            </w:r>
          </w:p>
        </w:tc>
        <w:tc>
          <w:tcPr>
            <w:tcW w:w="1134" w:type="dxa"/>
            <w:gridSpan w:val="2"/>
          </w:tcPr>
          <w:p>
            <w:pPr>
              <w:pStyle w:val="nTable"/>
              <w:spacing w:after="40"/>
              <w:rPr>
                <w:sz w:val="19"/>
              </w:rPr>
            </w:pPr>
            <w:r>
              <w:rPr>
                <w:sz w:val="19"/>
              </w:rPr>
              <w:t>7 Nov 1979</w:t>
            </w:r>
          </w:p>
        </w:tc>
        <w:tc>
          <w:tcPr>
            <w:tcW w:w="2552" w:type="dxa"/>
            <w:gridSpan w:val="3"/>
          </w:tcPr>
          <w:p>
            <w:pPr>
              <w:pStyle w:val="nTable"/>
              <w:spacing w:after="40"/>
              <w:rPr>
                <w:sz w:val="19"/>
              </w:rPr>
            </w:pPr>
            <w:r>
              <w:rPr>
                <w:sz w:val="19"/>
              </w:rPr>
              <w:t>1 Jul 1980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gridBefore w:val="1"/>
          <w:wBefore w:w="8" w:type="dxa"/>
          <w:cantSplit/>
        </w:trPr>
        <w:tc>
          <w:tcPr>
            <w:tcW w:w="2268" w:type="dxa"/>
          </w:tcPr>
          <w:p>
            <w:pPr>
              <w:pStyle w:val="nTable"/>
              <w:spacing w:after="40"/>
              <w:ind w:right="113"/>
              <w:rPr>
                <w:sz w:val="19"/>
              </w:rPr>
            </w:pPr>
            <w:r>
              <w:rPr>
                <w:i/>
                <w:sz w:val="19"/>
              </w:rPr>
              <w:t>Stamp Amendment Act 1980</w:t>
            </w:r>
          </w:p>
        </w:tc>
        <w:tc>
          <w:tcPr>
            <w:tcW w:w="1134" w:type="dxa"/>
            <w:gridSpan w:val="5"/>
          </w:tcPr>
          <w:p>
            <w:pPr>
              <w:pStyle w:val="nTable"/>
              <w:spacing w:after="40"/>
              <w:rPr>
                <w:sz w:val="19"/>
              </w:rPr>
            </w:pPr>
            <w:r>
              <w:rPr>
                <w:sz w:val="19"/>
              </w:rPr>
              <w:t>63 of 1980</w:t>
            </w:r>
          </w:p>
        </w:tc>
        <w:tc>
          <w:tcPr>
            <w:tcW w:w="1134" w:type="dxa"/>
            <w:gridSpan w:val="2"/>
          </w:tcPr>
          <w:p>
            <w:pPr>
              <w:pStyle w:val="nTable"/>
              <w:spacing w:after="40"/>
              <w:rPr>
                <w:sz w:val="19"/>
              </w:rPr>
            </w:pPr>
            <w:r>
              <w:rPr>
                <w:sz w:val="19"/>
              </w:rPr>
              <w:t>26 Nov 1980</w:t>
            </w:r>
          </w:p>
        </w:tc>
        <w:tc>
          <w:tcPr>
            <w:tcW w:w="2552" w:type="dxa"/>
            <w:gridSpan w:val="3"/>
          </w:tcPr>
          <w:p>
            <w:pPr>
              <w:pStyle w:val="nTable"/>
              <w:spacing w:after="40"/>
              <w:rPr>
                <w:sz w:val="19"/>
              </w:rPr>
            </w:pPr>
            <w:r>
              <w:rPr>
                <w:sz w:val="19"/>
              </w:rPr>
              <w:t>4 Nov 1980 (see s. 1(4))</w:t>
            </w:r>
          </w:p>
        </w:tc>
      </w:tr>
      <w:tr>
        <w:trPr>
          <w:gridBefore w:val="1"/>
          <w:wBefore w:w="8" w:type="dxa"/>
          <w:cantSplit/>
        </w:trPr>
        <w:tc>
          <w:tcPr>
            <w:tcW w:w="2268" w:type="dxa"/>
          </w:tcPr>
          <w:p>
            <w:pPr>
              <w:pStyle w:val="nTable"/>
              <w:spacing w:after="40"/>
              <w:ind w:right="113"/>
              <w:rPr>
                <w:sz w:val="19"/>
              </w:rPr>
            </w:pPr>
            <w:r>
              <w:rPr>
                <w:i/>
                <w:sz w:val="19"/>
              </w:rPr>
              <w:t>Stamp Amendment Act 1981 </w:t>
            </w:r>
            <w:r>
              <w:rPr>
                <w:sz w:val="19"/>
                <w:vertAlign w:val="superscript"/>
              </w:rPr>
              <w:t>15</w:t>
            </w:r>
          </w:p>
        </w:tc>
        <w:tc>
          <w:tcPr>
            <w:tcW w:w="1134" w:type="dxa"/>
            <w:gridSpan w:val="5"/>
          </w:tcPr>
          <w:p>
            <w:pPr>
              <w:pStyle w:val="nTable"/>
              <w:spacing w:after="40"/>
              <w:rPr>
                <w:sz w:val="19"/>
              </w:rPr>
            </w:pPr>
            <w:r>
              <w:rPr>
                <w:sz w:val="19"/>
              </w:rPr>
              <w:t>81 of 1981</w:t>
            </w:r>
          </w:p>
        </w:tc>
        <w:tc>
          <w:tcPr>
            <w:tcW w:w="1134" w:type="dxa"/>
            <w:gridSpan w:val="2"/>
          </w:tcPr>
          <w:p>
            <w:pPr>
              <w:pStyle w:val="nTable"/>
              <w:spacing w:after="40"/>
              <w:rPr>
                <w:sz w:val="19"/>
              </w:rPr>
            </w:pPr>
            <w:r>
              <w:rPr>
                <w:sz w:val="19"/>
              </w:rPr>
              <w:t>9 Nov 1981</w:t>
            </w:r>
          </w:p>
        </w:tc>
        <w:tc>
          <w:tcPr>
            <w:tcW w:w="2552" w:type="dxa"/>
            <w:gridSpan w:val="3"/>
          </w:tcPr>
          <w:p>
            <w:pPr>
              <w:pStyle w:val="nTable"/>
              <w:spacing w:after="40"/>
              <w:rPr>
                <w:sz w:val="19"/>
              </w:rPr>
            </w:pPr>
            <w:r>
              <w:rPr>
                <w:sz w:val="19"/>
              </w:rPr>
              <w:t>Act other than s. 3 and 8: 1 Dec 1981 (see s. 2(1));</w:t>
            </w:r>
            <w:r>
              <w:rPr>
                <w:sz w:val="19"/>
              </w:rPr>
              <w:br/>
              <w:t>s. 3 and 8: 1 Jan 1982 (see s. 2(2))</w:t>
            </w:r>
          </w:p>
        </w:tc>
      </w:tr>
      <w:tr>
        <w:trPr>
          <w:gridBefore w:val="1"/>
          <w:wBefore w:w="8" w:type="dxa"/>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5"/>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552" w:type="dxa"/>
            <w:gridSpan w:val="3"/>
          </w:tcPr>
          <w:p>
            <w:pPr>
              <w:pStyle w:val="nTable"/>
              <w:spacing w:after="40"/>
              <w:rPr>
                <w:sz w:val="19"/>
              </w:rPr>
            </w:pPr>
            <w:r>
              <w:rPr>
                <w:sz w:val="19"/>
              </w:rPr>
              <w:t>2 Feb 1982 (see s. 2)</w:t>
            </w:r>
          </w:p>
        </w:tc>
      </w:tr>
      <w:tr>
        <w:trPr>
          <w:gridBefore w:val="1"/>
          <w:wBefore w:w="8" w:type="dxa"/>
          <w:cantSplit/>
        </w:trPr>
        <w:tc>
          <w:tcPr>
            <w:tcW w:w="2268" w:type="dxa"/>
          </w:tcPr>
          <w:p>
            <w:pPr>
              <w:pStyle w:val="nTable"/>
              <w:spacing w:after="40"/>
              <w:ind w:right="113"/>
              <w:rPr>
                <w:sz w:val="19"/>
              </w:rPr>
            </w:pPr>
            <w:r>
              <w:rPr>
                <w:i/>
                <w:sz w:val="19"/>
              </w:rPr>
              <w:t>Stamp Amendment Act 1982</w:t>
            </w:r>
          </w:p>
        </w:tc>
        <w:tc>
          <w:tcPr>
            <w:tcW w:w="1134" w:type="dxa"/>
            <w:gridSpan w:val="5"/>
          </w:tcPr>
          <w:p>
            <w:pPr>
              <w:pStyle w:val="nTable"/>
              <w:spacing w:after="40"/>
              <w:rPr>
                <w:sz w:val="19"/>
              </w:rPr>
            </w:pPr>
            <w:r>
              <w:rPr>
                <w:sz w:val="19"/>
              </w:rPr>
              <w:t>1 of 1982</w:t>
            </w:r>
          </w:p>
        </w:tc>
        <w:tc>
          <w:tcPr>
            <w:tcW w:w="1134" w:type="dxa"/>
            <w:gridSpan w:val="2"/>
          </w:tcPr>
          <w:p>
            <w:pPr>
              <w:pStyle w:val="nTable"/>
              <w:spacing w:after="40"/>
              <w:rPr>
                <w:sz w:val="19"/>
              </w:rPr>
            </w:pPr>
            <w:r>
              <w:rPr>
                <w:sz w:val="19"/>
              </w:rPr>
              <w:t>8 Apr 1982</w:t>
            </w:r>
          </w:p>
        </w:tc>
        <w:tc>
          <w:tcPr>
            <w:tcW w:w="2552" w:type="dxa"/>
            <w:gridSpan w:val="3"/>
          </w:tcPr>
          <w:p>
            <w:pPr>
              <w:pStyle w:val="nTable"/>
              <w:spacing w:after="40"/>
              <w:rPr>
                <w:sz w:val="19"/>
              </w:rPr>
            </w:pPr>
            <w:r>
              <w:rPr>
                <w:sz w:val="19"/>
              </w:rPr>
              <w:t>8 Apr 1982</w:t>
            </w:r>
          </w:p>
        </w:tc>
      </w:tr>
      <w:tr>
        <w:trPr>
          <w:gridBefore w:val="1"/>
          <w:wBefore w:w="8" w:type="dxa"/>
          <w:cantSplit/>
        </w:trPr>
        <w:tc>
          <w:tcPr>
            <w:tcW w:w="2268" w:type="dxa"/>
          </w:tcPr>
          <w:p>
            <w:pPr>
              <w:pStyle w:val="nTable"/>
              <w:spacing w:after="40"/>
              <w:ind w:right="113"/>
              <w:rPr>
                <w:sz w:val="19"/>
              </w:rPr>
            </w:pPr>
            <w:r>
              <w:rPr>
                <w:i/>
                <w:sz w:val="19"/>
              </w:rPr>
              <w:t xml:space="preserve">Companies (Consequential Amendments) Act 1982 </w:t>
            </w:r>
            <w:r>
              <w:rPr>
                <w:sz w:val="19"/>
              </w:rPr>
              <w:t xml:space="preserve">s. 28 </w:t>
            </w:r>
          </w:p>
        </w:tc>
        <w:tc>
          <w:tcPr>
            <w:tcW w:w="1134" w:type="dxa"/>
            <w:gridSpan w:val="5"/>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gridBefore w:val="1"/>
          <w:wBefore w:w="8" w:type="dxa"/>
          <w:cantSplit/>
        </w:trPr>
        <w:tc>
          <w:tcPr>
            <w:tcW w:w="2268" w:type="dxa"/>
          </w:tcPr>
          <w:p>
            <w:pPr>
              <w:pStyle w:val="nTable"/>
              <w:spacing w:after="40"/>
              <w:ind w:right="113"/>
              <w:rPr>
                <w:sz w:val="19"/>
              </w:rPr>
            </w:pPr>
            <w:r>
              <w:rPr>
                <w:i/>
                <w:sz w:val="19"/>
              </w:rPr>
              <w:t>Stamp Amendment Act (No. 2) 1982</w:t>
            </w:r>
          </w:p>
        </w:tc>
        <w:tc>
          <w:tcPr>
            <w:tcW w:w="1134" w:type="dxa"/>
            <w:gridSpan w:val="5"/>
          </w:tcPr>
          <w:p>
            <w:pPr>
              <w:pStyle w:val="nTable"/>
              <w:spacing w:after="40"/>
              <w:rPr>
                <w:sz w:val="19"/>
              </w:rPr>
            </w:pPr>
            <w:r>
              <w:rPr>
                <w:sz w:val="19"/>
              </w:rPr>
              <w:t>15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Act other than s. 4: 8 Apr 1982 (see s. 2(1));</w:t>
            </w:r>
            <w:r>
              <w:rPr>
                <w:sz w:val="19"/>
              </w:rPr>
              <w:br/>
              <w:t>s. 4: 14 May 1982 (see s. 2(2))</w:t>
            </w:r>
          </w:p>
        </w:tc>
      </w:tr>
      <w:tr>
        <w:trPr>
          <w:gridBefore w:val="1"/>
          <w:wBefore w:w="8" w:type="dxa"/>
          <w:cantSplit/>
        </w:trPr>
        <w:tc>
          <w:tcPr>
            <w:tcW w:w="2268" w:type="dxa"/>
          </w:tcPr>
          <w:p>
            <w:pPr>
              <w:pStyle w:val="nTable"/>
              <w:spacing w:after="40"/>
              <w:ind w:right="113"/>
              <w:rPr>
                <w:sz w:val="19"/>
              </w:rPr>
            </w:pPr>
            <w:r>
              <w:rPr>
                <w:i/>
                <w:sz w:val="19"/>
              </w:rPr>
              <w:t>Stamp Amendment Act (No. 3) 1982</w:t>
            </w:r>
          </w:p>
        </w:tc>
        <w:tc>
          <w:tcPr>
            <w:tcW w:w="1134" w:type="dxa"/>
            <w:gridSpan w:val="5"/>
          </w:tcPr>
          <w:p>
            <w:pPr>
              <w:pStyle w:val="nTable"/>
              <w:spacing w:after="40"/>
              <w:rPr>
                <w:sz w:val="19"/>
              </w:rPr>
            </w:pPr>
            <w:r>
              <w:rPr>
                <w:sz w:val="19"/>
              </w:rPr>
              <w:t>45 of 1982</w:t>
            </w:r>
          </w:p>
        </w:tc>
        <w:tc>
          <w:tcPr>
            <w:tcW w:w="1134" w:type="dxa"/>
            <w:gridSpan w:val="2"/>
          </w:tcPr>
          <w:p>
            <w:pPr>
              <w:pStyle w:val="nTable"/>
              <w:spacing w:after="40"/>
              <w:rPr>
                <w:sz w:val="19"/>
              </w:rPr>
            </w:pPr>
            <w:r>
              <w:rPr>
                <w:sz w:val="19"/>
              </w:rPr>
              <w:t>26 Aug 1982</w:t>
            </w:r>
          </w:p>
        </w:tc>
        <w:tc>
          <w:tcPr>
            <w:tcW w:w="2552" w:type="dxa"/>
            <w:gridSpan w:val="3"/>
          </w:tcPr>
          <w:p>
            <w:pPr>
              <w:pStyle w:val="nTable"/>
              <w:spacing w:after="40"/>
              <w:rPr>
                <w:sz w:val="19"/>
              </w:rPr>
            </w:pPr>
            <w:r>
              <w:rPr>
                <w:sz w:val="19"/>
              </w:rPr>
              <w:t>24 Dec 1981 (see s. 2)</w:t>
            </w:r>
          </w:p>
        </w:tc>
      </w:tr>
      <w:tr>
        <w:trPr>
          <w:gridBefore w:val="1"/>
          <w:wBefore w:w="8" w:type="dxa"/>
          <w:cantSplit/>
        </w:trPr>
        <w:tc>
          <w:tcPr>
            <w:tcW w:w="2268" w:type="dxa"/>
          </w:tcPr>
          <w:p>
            <w:pPr>
              <w:pStyle w:val="nTable"/>
              <w:spacing w:after="40"/>
              <w:ind w:right="113"/>
              <w:rPr>
                <w:sz w:val="19"/>
              </w:rPr>
            </w:pPr>
            <w:r>
              <w:rPr>
                <w:i/>
                <w:sz w:val="19"/>
              </w:rPr>
              <w:t>Stamp Amendment Act (No. 4) 1982</w:t>
            </w:r>
          </w:p>
        </w:tc>
        <w:tc>
          <w:tcPr>
            <w:tcW w:w="1134" w:type="dxa"/>
            <w:gridSpan w:val="5"/>
          </w:tcPr>
          <w:p>
            <w:pPr>
              <w:pStyle w:val="nTable"/>
              <w:spacing w:after="40"/>
              <w:rPr>
                <w:sz w:val="19"/>
              </w:rPr>
            </w:pPr>
            <w:r>
              <w:rPr>
                <w:sz w:val="19"/>
              </w:rPr>
              <w:t>93 of 1982</w:t>
            </w:r>
          </w:p>
        </w:tc>
        <w:tc>
          <w:tcPr>
            <w:tcW w:w="1134" w:type="dxa"/>
            <w:gridSpan w:val="2"/>
          </w:tcPr>
          <w:p>
            <w:pPr>
              <w:pStyle w:val="nTable"/>
              <w:spacing w:after="40"/>
              <w:rPr>
                <w:sz w:val="19"/>
              </w:rPr>
            </w:pPr>
            <w:r>
              <w:rPr>
                <w:sz w:val="19"/>
              </w:rPr>
              <w:t>22 Nov 1982</w:t>
            </w:r>
          </w:p>
        </w:tc>
        <w:tc>
          <w:tcPr>
            <w:tcW w:w="2552"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gridBefore w:val="1"/>
          <w:wBefore w:w="8" w:type="dxa"/>
          <w:cantSplit/>
        </w:trPr>
        <w:tc>
          <w:tcPr>
            <w:tcW w:w="2268" w:type="dxa"/>
          </w:tcPr>
          <w:p>
            <w:pPr>
              <w:pStyle w:val="nTable"/>
              <w:spacing w:after="40"/>
              <w:ind w:right="113"/>
              <w:rPr>
                <w:sz w:val="19"/>
              </w:rPr>
            </w:pPr>
            <w:r>
              <w:rPr>
                <w:i/>
                <w:sz w:val="19"/>
              </w:rPr>
              <w:t>Stamp Amendment Act (No. 5) 1982</w:t>
            </w:r>
          </w:p>
        </w:tc>
        <w:tc>
          <w:tcPr>
            <w:tcW w:w="1134" w:type="dxa"/>
            <w:gridSpan w:val="5"/>
          </w:tcPr>
          <w:p>
            <w:pPr>
              <w:pStyle w:val="nTable"/>
              <w:spacing w:after="40"/>
              <w:rPr>
                <w:sz w:val="19"/>
              </w:rPr>
            </w:pPr>
            <w:r>
              <w:rPr>
                <w:sz w:val="19"/>
              </w:rPr>
              <w:t>99 of 1982</w:t>
            </w:r>
          </w:p>
        </w:tc>
        <w:tc>
          <w:tcPr>
            <w:tcW w:w="1134" w:type="dxa"/>
            <w:gridSpan w:val="2"/>
          </w:tcPr>
          <w:p>
            <w:pPr>
              <w:pStyle w:val="nTable"/>
              <w:spacing w:after="40"/>
              <w:rPr>
                <w:sz w:val="19"/>
              </w:rPr>
            </w:pPr>
            <w:r>
              <w:rPr>
                <w:sz w:val="19"/>
              </w:rPr>
              <w:t>24 Nov 1982</w:t>
            </w:r>
          </w:p>
        </w:tc>
        <w:tc>
          <w:tcPr>
            <w:tcW w:w="2552" w:type="dxa"/>
            <w:gridSpan w:val="3"/>
          </w:tcPr>
          <w:p>
            <w:pPr>
              <w:pStyle w:val="nTable"/>
              <w:spacing w:after="40"/>
              <w:rPr>
                <w:sz w:val="19"/>
              </w:rPr>
            </w:pPr>
            <w:r>
              <w:rPr>
                <w:sz w:val="19"/>
              </w:rPr>
              <w:t>1 Jan 1983 (see s. 2)</w:t>
            </w:r>
          </w:p>
        </w:tc>
      </w:tr>
      <w:tr>
        <w:trPr>
          <w:gridBefore w:val="1"/>
          <w:wBefore w:w="8" w:type="dxa"/>
          <w:cantSplit/>
        </w:trPr>
        <w:tc>
          <w:tcPr>
            <w:tcW w:w="2268" w:type="dxa"/>
          </w:tcPr>
          <w:p>
            <w:pPr>
              <w:pStyle w:val="nTable"/>
              <w:spacing w:after="40"/>
              <w:ind w:right="113"/>
              <w:rPr>
                <w:sz w:val="19"/>
              </w:rPr>
            </w:pPr>
            <w:r>
              <w:rPr>
                <w:i/>
                <w:sz w:val="19"/>
              </w:rPr>
              <w:t>Stamp Amendment Act (No. 6) 1982</w:t>
            </w:r>
          </w:p>
        </w:tc>
        <w:tc>
          <w:tcPr>
            <w:tcW w:w="1134" w:type="dxa"/>
            <w:gridSpan w:val="5"/>
          </w:tcPr>
          <w:p>
            <w:pPr>
              <w:pStyle w:val="nTable"/>
              <w:spacing w:after="40"/>
              <w:rPr>
                <w:sz w:val="19"/>
              </w:rPr>
            </w:pPr>
            <w:r>
              <w:rPr>
                <w:sz w:val="19"/>
              </w:rPr>
              <w:t>112 of 1982</w:t>
            </w:r>
          </w:p>
        </w:tc>
        <w:tc>
          <w:tcPr>
            <w:tcW w:w="1134" w:type="dxa"/>
            <w:gridSpan w:val="2"/>
          </w:tcPr>
          <w:p>
            <w:pPr>
              <w:pStyle w:val="nTable"/>
              <w:spacing w:after="40"/>
              <w:rPr>
                <w:sz w:val="19"/>
              </w:rPr>
            </w:pPr>
            <w:r>
              <w:rPr>
                <w:sz w:val="19"/>
              </w:rPr>
              <w:t>8 Dec 1982</w:t>
            </w:r>
          </w:p>
        </w:tc>
        <w:tc>
          <w:tcPr>
            <w:tcW w:w="2552" w:type="dxa"/>
            <w:gridSpan w:val="3"/>
          </w:tcPr>
          <w:p>
            <w:pPr>
              <w:pStyle w:val="nTable"/>
              <w:spacing w:after="40"/>
              <w:rPr>
                <w:sz w:val="19"/>
              </w:rPr>
            </w:pPr>
            <w:r>
              <w:rPr>
                <w:sz w:val="19"/>
              </w:rPr>
              <w:t>26 Oct 1982 (see s. 2)</w:t>
            </w:r>
          </w:p>
        </w:tc>
      </w:tr>
      <w:tr>
        <w:trPr>
          <w:gridBefore w:val="1"/>
          <w:wBefore w:w="8" w:type="dxa"/>
          <w:cantSplit/>
        </w:trPr>
        <w:tc>
          <w:tcPr>
            <w:tcW w:w="2268" w:type="dxa"/>
          </w:tcPr>
          <w:p>
            <w:pPr>
              <w:pStyle w:val="nTable"/>
              <w:spacing w:after="40"/>
              <w:ind w:right="113"/>
              <w:rPr>
                <w:sz w:val="19"/>
              </w:rPr>
            </w:pPr>
            <w:r>
              <w:rPr>
                <w:i/>
                <w:sz w:val="19"/>
              </w:rPr>
              <w:t>Stamp Amendment Act 1983</w:t>
            </w:r>
          </w:p>
        </w:tc>
        <w:tc>
          <w:tcPr>
            <w:tcW w:w="1134" w:type="dxa"/>
            <w:gridSpan w:val="5"/>
          </w:tcPr>
          <w:p>
            <w:pPr>
              <w:pStyle w:val="nTable"/>
              <w:spacing w:after="40"/>
              <w:rPr>
                <w:sz w:val="19"/>
              </w:rPr>
            </w:pPr>
            <w:r>
              <w:rPr>
                <w:sz w:val="19"/>
              </w:rPr>
              <w:t>14 of 1983</w:t>
            </w:r>
          </w:p>
        </w:tc>
        <w:tc>
          <w:tcPr>
            <w:tcW w:w="1134" w:type="dxa"/>
            <w:gridSpan w:val="2"/>
          </w:tcPr>
          <w:p>
            <w:pPr>
              <w:pStyle w:val="nTable"/>
              <w:spacing w:after="40"/>
              <w:rPr>
                <w:sz w:val="19"/>
              </w:rPr>
            </w:pPr>
            <w:r>
              <w:rPr>
                <w:sz w:val="19"/>
              </w:rPr>
              <w:t>31 Oct 1983</w:t>
            </w:r>
          </w:p>
        </w:tc>
        <w:tc>
          <w:tcPr>
            <w:tcW w:w="2552"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gridBefore w:val="1"/>
          <w:wBefore w:w="8" w:type="dxa"/>
          <w:cantSplit/>
        </w:trPr>
        <w:tc>
          <w:tcPr>
            <w:tcW w:w="2268" w:type="dxa"/>
          </w:tcPr>
          <w:p>
            <w:pPr>
              <w:pStyle w:val="nTable"/>
              <w:spacing w:after="40"/>
              <w:ind w:right="113"/>
              <w:rPr>
                <w:sz w:val="19"/>
              </w:rPr>
            </w:pPr>
            <w:r>
              <w:rPr>
                <w:i/>
                <w:sz w:val="19"/>
              </w:rPr>
              <w:t>Stamp Amendment Act (No. 2) 1983</w:t>
            </w:r>
          </w:p>
        </w:tc>
        <w:tc>
          <w:tcPr>
            <w:tcW w:w="1134" w:type="dxa"/>
            <w:gridSpan w:val="5"/>
          </w:tcPr>
          <w:p>
            <w:pPr>
              <w:pStyle w:val="nTable"/>
              <w:spacing w:after="40"/>
              <w:rPr>
                <w:sz w:val="19"/>
              </w:rPr>
            </w:pPr>
            <w:r>
              <w:rPr>
                <w:sz w:val="19"/>
              </w:rPr>
              <w:t>61 of 1983</w:t>
            </w:r>
          </w:p>
        </w:tc>
        <w:tc>
          <w:tcPr>
            <w:tcW w:w="1134" w:type="dxa"/>
            <w:gridSpan w:val="2"/>
          </w:tcPr>
          <w:p>
            <w:pPr>
              <w:pStyle w:val="nTable"/>
              <w:spacing w:after="40"/>
              <w:rPr>
                <w:sz w:val="19"/>
              </w:rPr>
            </w:pPr>
            <w:r>
              <w:rPr>
                <w:sz w:val="19"/>
              </w:rPr>
              <w:t>13 Dec 1983</w:t>
            </w:r>
          </w:p>
        </w:tc>
        <w:tc>
          <w:tcPr>
            <w:tcW w:w="2552" w:type="dxa"/>
            <w:gridSpan w:val="3"/>
          </w:tcPr>
          <w:p>
            <w:pPr>
              <w:pStyle w:val="nTable"/>
              <w:spacing w:after="40"/>
              <w:rPr>
                <w:sz w:val="19"/>
              </w:rPr>
            </w:pPr>
            <w:r>
              <w:rPr>
                <w:sz w:val="19"/>
              </w:rPr>
              <w:t>s. 1</w:t>
            </w:r>
            <w:r>
              <w:rPr>
                <w:sz w:val="19"/>
              </w:rPr>
              <w:noBreakHyphen/>
              <w:t>4: 13 Dec 1983 (see s. 2(1));</w:t>
            </w:r>
            <w:r>
              <w:rPr>
                <w:sz w:val="19"/>
              </w:rPr>
              <w:br/>
              <w:t>balance: 1 Jan 1984 (see s. 2(2))</w:t>
            </w:r>
          </w:p>
        </w:tc>
      </w:tr>
      <w:tr>
        <w:trPr>
          <w:gridBefore w:val="1"/>
          <w:wBefore w:w="8" w:type="dxa"/>
          <w:cantSplit/>
        </w:trPr>
        <w:tc>
          <w:tcPr>
            <w:tcW w:w="2268" w:type="dxa"/>
          </w:tcPr>
          <w:p>
            <w:pPr>
              <w:pStyle w:val="nTable"/>
              <w:spacing w:after="40"/>
              <w:ind w:right="113"/>
              <w:rPr>
                <w:sz w:val="19"/>
              </w:rPr>
            </w:pPr>
            <w:r>
              <w:rPr>
                <w:i/>
                <w:sz w:val="19"/>
              </w:rPr>
              <w:t>Stamp Amendment Act 1984</w:t>
            </w:r>
          </w:p>
        </w:tc>
        <w:tc>
          <w:tcPr>
            <w:tcW w:w="1134" w:type="dxa"/>
            <w:gridSpan w:val="5"/>
          </w:tcPr>
          <w:p>
            <w:pPr>
              <w:pStyle w:val="nTable"/>
              <w:spacing w:after="40"/>
              <w:rPr>
                <w:sz w:val="19"/>
              </w:rPr>
            </w:pPr>
            <w:r>
              <w:rPr>
                <w:sz w:val="19"/>
              </w:rPr>
              <w:t>81 of 1984</w:t>
            </w:r>
          </w:p>
        </w:tc>
        <w:tc>
          <w:tcPr>
            <w:tcW w:w="1134" w:type="dxa"/>
            <w:gridSpan w:val="2"/>
          </w:tcPr>
          <w:p>
            <w:pPr>
              <w:pStyle w:val="nTable"/>
              <w:spacing w:after="40"/>
              <w:rPr>
                <w:sz w:val="19"/>
              </w:rPr>
            </w:pPr>
            <w:r>
              <w:rPr>
                <w:sz w:val="19"/>
              </w:rPr>
              <w:t>7 Dec 1984</w:t>
            </w:r>
          </w:p>
        </w:tc>
        <w:tc>
          <w:tcPr>
            <w:tcW w:w="2552" w:type="dxa"/>
            <w:gridSpan w:val="3"/>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gridBefore w:val="1"/>
          <w:wBefore w:w="8" w:type="dxa"/>
          <w:cantSplit/>
        </w:trPr>
        <w:tc>
          <w:tcPr>
            <w:tcW w:w="2268" w:type="dxa"/>
          </w:tcPr>
          <w:p>
            <w:pPr>
              <w:pStyle w:val="nTable"/>
              <w:spacing w:after="40"/>
              <w:ind w:right="113"/>
              <w:rPr>
                <w:sz w:val="19"/>
              </w:rPr>
            </w:pPr>
            <w:r>
              <w:rPr>
                <w:i/>
                <w:sz w:val="19"/>
              </w:rPr>
              <w:t>Stamp Amendment Act (No. 2) 1984</w:t>
            </w:r>
          </w:p>
        </w:tc>
        <w:tc>
          <w:tcPr>
            <w:tcW w:w="1134" w:type="dxa"/>
            <w:gridSpan w:val="5"/>
          </w:tcPr>
          <w:p>
            <w:pPr>
              <w:pStyle w:val="nTable"/>
              <w:spacing w:after="40"/>
              <w:rPr>
                <w:sz w:val="19"/>
              </w:rPr>
            </w:pPr>
            <w:r>
              <w:rPr>
                <w:sz w:val="19"/>
              </w:rPr>
              <w:t>109 of 1984</w:t>
            </w:r>
          </w:p>
        </w:tc>
        <w:tc>
          <w:tcPr>
            <w:tcW w:w="1134" w:type="dxa"/>
            <w:gridSpan w:val="2"/>
          </w:tcPr>
          <w:p>
            <w:pPr>
              <w:pStyle w:val="nTable"/>
              <w:spacing w:after="40"/>
              <w:rPr>
                <w:sz w:val="19"/>
              </w:rPr>
            </w:pPr>
            <w:r>
              <w:rPr>
                <w:sz w:val="19"/>
              </w:rPr>
              <w:t>19 Dec 1984</w:t>
            </w:r>
          </w:p>
        </w:tc>
        <w:tc>
          <w:tcPr>
            <w:tcW w:w="2552" w:type="dxa"/>
            <w:gridSpan w:val="3"/>
          </w:tcPr>
          <w:p>
            <w:pPr>
              <w:pStyle w:val="nTable"/>
              <w:spacing w:after="40"/>
              <w:rPr>
                <w:sz w:val="19"/>
              </w:rPr>
            </w:pPr>
            <w:r>
              <w:rPr>
                <w:sz w:val="19"/>
              </w:rPr>
              <w:t>1 Jan 1985 (see s. 2)</w:t>
            </w:r>
          </w:p>
        </w:tc>
      </w:tr>
      <w:tr>
        <w:trPr>
          <w:gridBefore w:val="1"/>
          <w:wBefore w:w="8" w:type="dxa"/>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5"/>
          </w:tcPr>
          <w:p>
            <w:pPr>
              <w:pStyle w:val="nTable"/>
              <w:spacing w:after="40"/>
              <w:rPr>
                <w:sz w:val="19"/>
              </w:rPr>
            </w:pPr>
            <w:r>
              <w:rPr>
                <w:sz w:val="19"/>
              </w:rPr>
              <w:t>19 of 1985</w:t>
            </w:r>
          </w:p>
        </w:tc>
        <w:tc>
          <w:tcPr>
            <w:tcW w:w="1134" w:type="dxa"/>
            <w:gridSpan w:val="2"/>
          </w:tcPr>
          <w:p>
            <w:pPr>
              <w:pStyle w:val="nTable"/>
              <w:spacing w:after="40"/>
              <w:rPr>
                <w:sz w:val="19"/>
              </w:rPr>
            </w:pPr>
            <w:r>
              <w:rPr>
                <w:sz w:val="19"/>
              </w:rPr>
              <w:t>19 Apr 1985</w:t>
            </w:r>
          </w:p>
        </w:tc>
        <w:tc>
          <w:tcPr>
            <w:tcW w:w="2552" w:type="dxa"/>
            <w:gridSpan w:val="3"/>
          </w:tcPr>
          <w:p>
            <w:pPr>
              <w:pStyle w:val="nTable"/>
              <w:spacing w:after="40"/>
              <w:rPr>
                <w:sz w:val="19"/>
              </w:rPr>
            </w:pPr>
            <w:r>
              <w:rPr>
                <w:sz w:val="19"/>
              </w:rPr>
              <w:t>19 Apr 1985 (see s. 2(1))</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1985</w:t>
            </w:r>
          </w:p>
        </w:tc>
        <w:tc>
          <w:tcPr>
            <w:tcW w:w="1134" w:type="dxa"/>
            <w:gridSpan w:val="5"/>
          </w:tcPr>
          <w:p>
            <w:pPr>
              <w:pStyle w:val="nTable"/>
              <w:spacing w:after="40"/>
              <w:rPr>
                <w:sz w:val="19"/>
              </w:rPr>
            </w:pPr>
            <w:r>
              <w:rPr>
                <w:sz w:val="19"/>
              </w:rPr>
              <w:t>84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rPr>
            </w:pPr>
            <w:r>
              <w:rPr>
                <w:i/>
                <w:sz w:val="19"/>
              </w:rPr>
              <w:t>Stamp Amendment Act (No. 2) 1985</w:t>
            </w:r>
          </w:p>
        </w:tc>
        <w:tc>
          <w:tcPr>
            <w:tcW w:w="1134" w:type="dxa"/>
            <w:gridSpan w:val="5"/>
          </w:tcPr>
          <w:p>
            <w:pPr>
              <w:pStyle w:val="nTable"/>
              <w:spacing w:after="40"/>
              <w:rPr>
                <w:sz w:val="19"/>
              </w:rPr>
            </w:pPr>
            <w:r>
              <w:rPr>
                <w:sz w:val="19"/>
              </w:rPr>
              <w:t>85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vertAlign w:val="superscript"/>
              </w:rPr>
            </w:pPr>
            <w:r>
              <w:rPr>
                <w:i/>
                <w:sz w:val="19"/>
              </w:rPr>
              <w:t>Stamp Amendment Act 1986</w:t>
            </w:r>
            <w:r>
              <w:rPr>
                <w:sz w:val="19"/>
                <w:vertAlign w:val="superscript"/>
              </w:rPr>
              <w:t> 16</w:t>
            </w:r>
          </w:p>
        </w:tc>
        <w:tc>
          <w:tcPr>
            <w:tcW w:w="1134" w:type="dxa"/>
            <w:gridSpan w:val="5"/>
          </w:tcPr>
          <w:p>
            <w:pPr>
              <w:pStyle w:val="nTable"/>
              <w:spacing w:after="40"/>
              <w:rPr>
                <w:sz w:val="19"/>
              </w:rPr>
            </w:pPr>
            <w:r>
              <w:rPr>
                <w:sz w:val="19"/>
              </w:rPr>
              <w:t>98 of 1986</w:t>
            </w:r>
          </w:p>
        </w:tc>
        <w:tc>
          <w:tcPr>
            <w:tcW w:w="1134" w:type="dxa"/>
            <w:gridSpan w:val="2"/>
          </w:tcPr>
          <w:p>
            <w:pPr>
              <w:pStyle w:val="nTable"/>
              <w:spacing w:after="40"/>
              <w:rPr>
                <w:sz w:val="19"/>
              </w:rPr>
            </w:pPr>
            <w:r>
              <w:rPr>
                <w:sz w:val="19"/>
              </w:rPr>
              <w:t>11 Dec 1986</w:t>
            </w:r>
          </w:p>
        </w:tc>
        <w:tc>
          <w:tcPr>
            <w:tcW w:w="2552" w:type="dxa"/>
            <w:gridSpan w:val="3"/>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gridBefore w:val="1"/>
          <w:wBefore w:w="8" w:type="dxa"/>
          <w:cantSplit/>
        </w:trPr>
        <w:tc>
          <w:tcPr>
            <w:tcW w:w="2268" w:type="dxa"/>
          </w:tcPr>
          <w:p>
            <w:pPr>
              <w:pStyle w:val="nTable"/>
              <w:spacing w:after="40"/>
              <w:ind w:right="113"/>
              <w:rPr>
                <w:sz w:val="19"/>
              </w:rPr>
            </w:pPr>
            <w:r>
              <w:rPr>
                <w:i/>
                <w:sz w:val="19"/>
              </w:rPr>
              <w:t>Stamp Amendment Act 1987 </w:t>
            </w:r>
            <w:r>
              <w:rPr>
                <w:sz w:val="19"/>
                <w:vertAlign w:val="superscript"/>
              </w:rPr>
              <w:t>17</w:t>
            </w:r>
          </w:p>
        </w:tc>
        <w:tc>
          <w:tcPr>
            <w:tcW w:w="1134" w:type="dxa"/>
            <w:gridSpan w:val="5"/>
          </w:tcPr>
          <w:p>
            <w:pPr>
              <w:pStyle w:val="nTable"/>
              <w:spacing w:after="40"/>
              <w:rPr>
                <w:sz w:val="19"/>
              </w:rPr>
            </w:pPr>
            <w:r>
              <w:rPr>
                <w:sz w:val="19"/>
              </w:rPr>
              <w:t>33 of 1987</w:t>
            </w:r>
          </w:p>
        </w:tc>
        <w:tc>
          <w:tcPr>
            <w:tcW w:w="1134" w:type="dxa"/>
            <w:gridSpan w:val="2"/>
          </w:tcPr>
          <w:p>
            <w:pPr>
              <w:pStyle w:val="nTable"/>
              <w:spacing w:after="40"/>
              <w:rPr>
                <w:sz w:val="19"/>
              </w:rPr>
            </w:pPr>
            <w:r>
              <w:rPr>
                <w:sz w:val="19"/>
              </w:rPr>
              <w:t>30 Jun 1987</w:t>
            </w:r>
          </w:p>
        </w:tc>
        <w:tc>
          <w:tcPr>
            <w:tcW w:w="2552"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gridBefore w:val="1"/>
          <w:wBefore w:w="8" w:type="dxa"/>
          <w:cantSplit/>
        </w:trPr>
        <w:tc>
          <w:tcPr>
            <w:tcW w:w="2268" w:type="dxa"/>
          </w:tcPr>
          <w:p>
            <w:pPr>
              <w:pStyle w:val="nTable"/>
              <w:keepNext/>
              <w:spacing w:after="40"/>
              <w:ind w:right="113"/>
              <w:rPr>
                <w:sz w:val="19"/>
              </w:rPr>
            </w:pPr>
            <w:r>
              <w:rPr>
                <w:i/>
                <w:sz w:val="19"/>
              </w:rPr>
              <w:t>Stamp Amendment Act (No. 2) 1987</w:t>
            </w:r>
            <w:r>
              <w:rPr>
                <w:sz w:val="19"/>
                <w:vertAlign w:val="superscript"/>
              </w:rPr>
              <w:t xml:space="preserve"> 18</w:t>
            </w:r>
          </w:p>
        </w:tc>
        <w:tc>
          <w:tcPr>
            <w:tcW w:w="1134" w:type="dxa"/>
            <w:gridSpan w:val="5"/>
          </w:tcPr>
          <w:p>
            <w:pPr>
              <w:pStyle w:val="nTable"/>
              <w:keepNext/>
              <w:spacing w:after="40"/>
              <w:rPr>
                <w:sz w:val="19"/>
              </w:rPr>
            </w:pPr>
            <w:r>
              <w:rPr>
                <w:sz w:val="19"/>
              </w:rPr>
              <w:t>100 of 1987</w:t>
            </w:r>
          </w:p>
        </w:tc>
        <w:tc>
          <w:tcPr>
            <w:tcW w:w="1134" w:type="dxa"/>
            <w:gridSpan w:val="2"/>
          </w:tcPr>
          <w:p>
            <w:pPr>
              <w:pStyle w:val="nTable"/>
              <w:keepNext/>
              <w:spacing w:after="40"/>
              <w:rPr>
                <w:sz w:val="19"/>
              </w:rPr>
            </w:pPr>
            <w:r>
              <w:rPr>
                <w:sz w:val="19"/>
              </w:rPr>
              <w:t>18 Dec 1987</w:t>
            </w:r>
          </w:p>
        </w:tc>
        <w:tc>
          <w:tcPr>
            <w:tcW w:w="2552" w:type="dxa"/>
            <w:gridSpan w:val="3"/>
          </w:tcPr>
          <w:p>
            <w:pPr>
              <w:pStyle w:val="nTable"/>
              <w:keepNext/>
              <w:spacing w:after="40"/>
              <w:rPr>
                <w:sz w:val="19"/>
              </w:rPr>
            </w:pPr>
            <w:r>
              <w:rPr>
                <w:sz w:val="19"/>
              </w:rPr>
              <w:t>1 Jan 1988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(No. 2) 1989</w:t>
            </w:r>
          </w:p>
        </w:tc>
        <w:tc>
          <w:tcPr>
            <w:tcW w:w="1134" w:type="dxa"/>
            <w:gridSpan w:val="5"/>
          </w:tcPr>
          <w:p>
            <w:pPr>
              <w:pStyle w:val="nTable"/>
              <w:spacing w:after="40"/>
              <w:rPr>
                <w:sz w:val="19"/>
              </w:rPr>
            </w:pPr>
            <w:r>
              <w:rPr>
                <w:sz w:val="19"/>
              </w:rPr>
              <w:t>3 of 1989</w:t>
            </w:r>
          </w:p>
        </w:tc>
        <w:tc>
          <w:tcPr>
            <w:tcW w:w="1134" w:type="dxa"/>
            <w:gridSpan w:val="2"/>
          </w:tcPr>
          <w:p>
            <w:pPr>
              <w:pStyle w:val="nTable"/>
              <w:spacing w:after="40"/>
              <w:rPr>
                <w:sz w:val="19"/>
              </w:rPr>
            </w:pPr>
            <w:r>
              <w:rPr>
                <w:sz w:val="19"/>
              </w:rPr>
              <w:t>20 Apr 1989</w:t>
            </w:r>
          </w:p>
        </w:tc>
        <w:tc>
          <w:tcPr>
            <w:tcW w:w="2552" w:type="dxa"/>
            <w:gridSpan w:val="3"/>
          </w:tcPr>
          <w:p>
            <w:pPr>
              <w:pStyle w:val="nTable"/>
              <w:spacing w:after="40"/>
              <w:rPr>
                <w:sz w:val="19"/>
              </w:rPr>
            </w:pPr>
            <w:r>
              <w:rPr>
                <w:sz w:val="19"/>
              </w:rPr>
              <w:t>20 Apr 1989 (see s. 2)</w:t>
            </w:r>
          </w:p>
        </w:tc>
      </w:tr>
      <w:tr>
        <w:trPr>
          <w:gridBefore w:val="1"/>
          <w:wBefore w:w="8" w:type="dxa"/>
          <w:cantSplit/>
        </w:trPr>
        <w:tc>
          <w:tcPr>
            <w:tcW w:w="2268" w:type="dxa"/>
          </w:tcPr>
          <w:p>
            <w:pPr>
              <w:pStyle w:val="nTable"/>
              <w:spacing w:after="40"/>
              <w:ind w:right="113"/>
              <w:rPr>
                <w:sz w:val="19"/>
              </w:rPr>
            </w:pPr>
            <w:r>
              <w:rPr>
                <w:i/>
                <w:sz w:val="19"/>
              </w:rPr>
              <w:t>Stamp Amendment Act (No. 4) 1989</w:t>
            </w:r>
          </w:p>
        </w:tc>
        <w:tc>
          <w:tcPr>
            <w:tcW w:w="1134" w:type="dxa"/>
            <w:gridSpan w:val="5"/>
          </w:tcPr>
          <w:p>
            <w:pPr>
              <w:pStyle w:val="nTable"/>
              <w:spacing w:after="40"/>
              <w:rPr>
                <w:sz w:val="19"/>
              </w:rPr>
            </w:pPr>
            <w:r>
              <w:rPr>
                <w:sz w:val="19"/>
              </w:rPr>
              <w:t>16 of 1989</w:t>
            </w:r>
            <w:r>
              <w:rPr>
                <w:sz w:val="19"/>
              </w:rPr>
              <w:br/>
              <w:t>(as amended by No. 41 of 1989 s. 28)</w:t>
            </w:r>
          </w:p>
        </w:tc>
        <w:tc>
          <w:tcPr>
            <w:tcW w:w="1134" w:type="dxa"/>
            <w:gridSpan w:val="2"/>
          </w:tcPr>
          <w:p>
            <w:pPr>
              <w:pStyle w:val="nTable"/>
              <w:spacing w:after="40"/>
              <w:rPr>
                <w:sz w:val="19"/>
              </w:rPr>
            </w:pPr>
            <w:r>
              <w:rPr>
                <w:sz w:val="19"/>
              </w:rPr>
              <w:t>16 Nov 1989</w:t>
            </w:r>
          </w:p>
        </w:tc>
        <w:tc>
          <w:tcPr>
            <w:tcW w:w="2552"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5"/>
          </w:tcPr>
          <w:p>
            <w:pPr>
              <w:pStyle w:val="nTable"/>
              <w:spacing w:after="40"/>
              <w:rPr>
                <w:sz w:val="19"/>
              </w:rPr>
            </w:pPr>
            <w:r>
              <w:rPr>
                <w:sz w:val="19"/>
              </w:rPr>
              <w:t>18 of 1989</w:t>
            </w:r>
          </w:p>
        </w:tc>
        <w:tc>
          <w:tcPr>
            <w:tcW w:w="1134" w:type="dxa"/>
            <w:gridSpan w:val="2"/>
          </w:tcPr>
          <w:p>
            <w:pPr>
              <w:pStyle w:val="nTable"/>
              <w:spacing w:after="40"/>
              <w:rPr>
                <w:sz w:val="19"/>
              </w:rPr>
            </w:pPr>
            <w:r>
              <w:rPr>
                <w:sz w:val="19"/>
              </w:rPr>
              <w:t>1 Dec 1989</w:t>
            </w:r>
          </w:p>
        </w:tc>
        <w:tc>
          <w:tcPr>
            <w:tcW w:w="2552"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gridBefore w:val="1"/>
          <w:wBefore w:w="8" w:type="dxa"/>
          <w:cantSplit/>
        </w:trPr>
        <w:tc>
          <w:tcPr>
            <w:tcW w:w="2268" w:type="dxa"/>
          </w:tcPr>
          <w:p>
            <w:pPr>
              <w:pStyle w:val="nTable"/>
              <w:spacing w:after="40"/>
              <w:ind w:right="113"/>
              <w:rPr>
                <w:sz w:val="19"/>
              </w:rPr>
            </w:pPr>
            <w:r>
              <w:rPr>
                <w:i/>
                <w:sz w:val="19"/>
              </w:rPr>
              <w:t>Stamp Amendment Act (No. 3) 1989</w:t>
            </w:r>
          </w:p>
        </w:tc>
        <w:tc>
          <w:tcPr>
            <w:tcW w:w="1134" w:type="dxa"/>
            <w:gridSpan w:val="5"/>
          </w:tcPr>
          <w:p>
            <w:pPr>
              <w:pStyle w:val="nTable"/>
              <w:spacing w:after="40"/>
              <w:rPr>
                <w:sz w:val="19"/>
              </w:rPr>
            </w:pPr>
            <w:r>
              <w:rPr>
                <w:sz w:val="19"/>
              </w:rPr>
              <w:t>41 of 1989</w:t>
            </w:r>
          </w:p>
        </w:tc>
        <w:tc>
          <w:tcPr>
            <w:tcW w:w="1134" w:type="dxa"/>
            <w:gridSpan w:val="2"/>
          </w:tcPr>
          <w:p>
            <w:pPr>
              <w:pStyle w:val="nTable"/>
              <w:spacing w:after="40"/>
              <w:rPr>
                <w:sz w:val="19"/>
              </w:rPr>
            </w:pPr>
            <w:r>
              <w:rPr>
                <w:sz w:val="19"/>
              </w:rPr>
              <w:t>21 Dec 1989</w:t>
            </w:r>
          </w:p>
        </w:tc>
        <w:tc>
          <w:tcPr>
            <w:tcW w:w="2552" w:type="dxa"/>
            <w:gridSpan w:val="3"/>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Stamp Amendment Act 1990</w:t>
            </w:r>
          </w:p>
        </w:tc>
        <w:tc>
          <w:tcPr>
            <w:tcW w:w="1134" w:type="dxa"/>
            <w:gridSpan w:val="5"/>
          </w:tcPr>
          <w:p>
            <w:pPr>
              <w:pStyle w:val="nTable"/>
              <w:spacing w:after="40"/>
              <w:rPr>
                <w:sz w:val="19"/>
              </w:rPr>
            </w:pPr>
            <w:r>
              <w:rPr>
                <w:sz w:val="19"/>
              </w:rPr>
              <w:t>20 of 1990</w:t>
            </w:r>
          </w:p>
        </w:tc>
        <w:tc>
          <w:tcPr>
            <w:tcW w:w="1134" w:type="dxa"/>
            <w:gridSpan w:val="2"/>
          </w:tcPr>
          <w:p>
            <w:pPr>
              <w:pStyle w:val="nTable"/>
              <w:spacing w:after="40"/>
              <w:rPr>
                <w:sz w:val="19"/>
              </w:rPr>
            </w:pPr>
            <w:r>
              <w:rPr>
                <w:sz w:val="19"/>
              </w:rPr>
              <w:t>24 Jul 1990</w:t>
            </w:r>
          </w:p>
        </w:tc>
        <w:tc>
          <w:tcPr>
            <w:tcW w:w="2552" w:type="dxa"/>
            <w:gridSpan w:val="3"/>
          </w:tcPr>
          <w:p>
            <w:pPr>
              <w:pStyle w:val="nTable"/>
              <w:spacing w:after="40"/>
              <w:rPr>
                <w:sz w:val="19"/>
              </w:rPr>
            </w:pPr>
            <w:r>
              <w:rPr>
                <w:sz w:val="19"/>
              </w:rPr>
              <w:t>24 Jul 1990 (see s. 2)</w:t>
            </w:r>
          </w:p>
        </w:tc>
      </w:tr>
      <w:tr>
        <w:trPr>
          <w:gridBefore w:val="1"/>
          <w:wBefore w:w="8" w:type="dxa"/>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5"/>
          </w:tcPr>
          <w:p>
            <w:pPr>
              <w:pStyle w:val="nTable"/>
              <w:spacing w:after="40"/>
              <w:rPr>
                <w:sz w:val="19"/>
              </w:rPr>
            </w:pPr>
            <w:r>
              <w:rPr>
                <w:sz w:val="19"/>
              </w:rPr>
              <w:t>58 of 1990</w:t>
            </w:r>
          </w:p>
        </w:tc>
        <w:tc>
          <w:tcPr>
            <w:tcW w:w="1134" w:type="dxa"/>
            <w:gridSpan w:val="2"/>
          </w:tcPr>
          <w:p>
            <w:pPr>
              <w:pStyle w:val="nTable"/>
              <w:spacing w:after="40"/>
              <w:rPr>
                <w:sz w:val="19"/>
              </w:rPr>
            </w:pPr>
            <w:r>
              <w:rPr>
                <w:sz w:val="19"/>
              </w:rPr>
              <w:t>17 Dec 1990</w:t>
            </w:r>
          </w:p>
        </w:tc>
        <w:tc>
          <w:tcPr>
            <w:tcW w:w="2552" w:type="dxa"/>
            <w:gridSpan w:val="3"/>
          </w:tcPr>
          <w:p>
            <w:pPr>
              <w:pStyle w:val="nTable"/>
              <w:spacing w:after="40"/>
              <w:rPr>
                <w:sz w:val="19"/>
              </w:rPr>
            </w:pPr>
            <w:r>
              <w:rPr>
                <w:sz w:val="19"/>
              </w:rPr>
              <w:t>1 Aug 1989 (see s. 2)</w:t>
            </w:r>
          </w:p>
        </w:tc>
      </w:tr>
      <w:tr>
        <w:trPr>
          <w:gridBefore w:val="1"/>
          <w:wBefore w:w="8" w:type="dxa"/>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5"/>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2"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8" w:type="dxa"/>
          <w:cantSplit/>
        </w:trPr>
        <w:tc>
          <w:tcPr>
            <w:tcW w:w="2268" w:type="dxa"/>
          </w:tcPr>
          <w:p>
            <w:pPr>
              <w:pStyle w:val="nTable"/>
              <w:spacing w:after="40"/>
              <w:ind w:right="113"/>
              <w:rPr>
                <w:sz w:val="19"/>
              </w:rPr>
            </w:pPr>
            <w:r>
              <w:rPr>
                <w:i/>
                <w:sz w:val="19"/>
              </w:rPr>
              <w:t>Stamp Amendment Act 1991 </w:t>
            </w:r>
            <w:r>
              <w:rPr>
                <w:sz w:val="19"/>
                <w:vertAlign w:val="superscript"/>
              </w:rPr>
              <w:t>19</w:t>
            </w:r>
          </w:p>
        </w:tc>
        <w:tc>
          <w:tcPr>
            <w:tcW w:w="1134" w:type="dxa"/>
            <w:gridSpan w:val="5"/>
          </w:tcPr>
          <w:p>
            <w:pPr>
              <w:pStyle w:val="nTable"/>
              <w:spacing w:after="40"/>
              <w:rPr>
                <w:sz w:val="19"/>
              </w:rPr>
            </w:pPr>
            <w:r>
              <w:rPr>
                <w:sz w:val="19"/>
              </w:rPr>
              <w:t>52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 xml:space="preserve">s. 4 and 6: 29 Aug 1991 (see s. 2(2)); </w:t>
            </w:r>
            <w:r>
              <w:rPr>
                <w:sz w:val="19"/>
              </w:rPr>
              <w:br/>
              <w:t>balance: 17 Dec 1991 (see s. 2(1))</w:t>
            </w:r>
          </w:p>
        </w:tc>
      </w:tr>
      <w:tr>
        <w:trPr>
          <w:gridBefore w:val="1"/>
          <w:wBefore w:w="8" w:type="dxa"/>
          <w:cantSplit/>
        </w:trPr>
        <w:tc>
          <w:tcPr>
            <w:tcW w:w="2268" w:type="dxa"/>
          </w:tcPr>
          <w:p>
            <w:pPr>
              <w:pStyle w:val="nTable"/>
              <w:spacing w:after="40"/>
              <w:ind w:right="113"/>
              <w:rPr>
                <w:sz w:val="19"/>
              </w:rPr>
            </w:pPr>
            <w:r>
              <w:rPr>
                <w:i/>
                <w:sz w:val="19"/>
              </w:rPr>
              <w:t>Stamp Amendment Act (No. 2) 1991</w:t>
            </w:r>
          </w:p>
        </w:tc>
        <w:tc>
          <w:tcPr>
            <w:tcW w:w="1134" w:type="dxa"/>
            <w:gridSpan w:val="5"/>
          </w:tcPr>
          <w:p>
            <w:pPr>
              <w:pStyle w:val="nTable"/>
              <w:spacing w:after="40"/>
              <w:rPr>
                <w:sz w:val="19"/>
              </w:rPr>
            </w:pPr>
            <w:r>
              <w:rPr>
                <w:sz w:val="19"/>
              </w:rPr>
              <w:t>53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17 Dec 1991 (see s. 2)</w:t>
            </w:r>
          </w:p>
        </w:tc>
      </w:tr>
      <w:tr>
        <w:trPr>
          <w:gridBefore w:val="1"/>
          <w:wBefore w:w="8" w:type="dxa"/>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5"/>
          </w:tcPr>
          <w:p>
            <w:pPr>
              <w:pStyle w:val="nTable"/>
              <w:keepNext/>
              <w:keepLines/>
              <w:spacing w:after="40"/>
              <w:rPr>
                <w:sz w:val="19"/>
              </w:rPr>
            </w:pPr>
            <w:r>
              <w:rPr>
                <w:sz w:val="19"/>
              </w:rPr>
              <w:t>49 of 1992</w:t>
            </w:r>
          </w:p>
        </w:tc>
        <w:tc>
          <w:tcPr>
            <w:tcW w:w="1134" w:type="dxa"/>
            <w:gridSpan w:val="2"/>
          </w:tcPr>
          <w:p>
            <w:pPr>
              <w:pStyle w:val="nTable"/>
              <w:keepNext/>
              <w:keepLines/>
              <w:spacing w:after="40"/>
              <w:rPr>
                <w:sz w:val="19"/>
              </w:rPr>
            </w:pPr>
            <w:r>
              <w:rPr>
                <w:sz w:val="19"/>
              </w:rPr>
              <w:t>9 Dec 1992</w:t>
            </w:r>
          </w:p>
        </w:tc>
        <w:tc>
          <w:tcPr>
            <w:tcW w:w="2552"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gridBefore w:val="1"/>
          <w:wBefore w:w="8" w:type="dxa"/>
          <w:cantSplit/>
        </w:trPr>
        <w:tc>
          <w:tcPr>
            <w:tcW w:w="2268" w:type="dxa"/>
          </w:tcPr>
          <w:p>
            <w:pPr>
              <w:pStyle w:val="nTable"/>
              <w:spacing w:after="40"/>
              <w:ind w:right="113"/>
              <w:rPr>
                <w:sz w:val="19"/>
              </w:rPr>
            </w:pPr>
            <w:r>
              <w:rPr>
                <w:i/>
                <w:sz w:val="19"/>
              </w:rPr>
              <w:t>Stamp Amendment Act 1993</w:t>
            </w:r>
          </w:p>
        </w:tc>
        <w:tc>
          <w:tcPr>
            <w:tcW w:w="1134" w:type="dxa"/>
            <w:gridSpan w:val="5"/>
          </w:tcPr>
          <w:p>
            <w:pPr>
              <w:pStyle w:val="nTable"/>
              <w:spacing w:after="40"/>
              <w:rPr>
                <w:sz w:val="19"/>
              </w:rPr>
            </w:pPr>
            <w:r>
              <w:rPr>
                <w:sz w:val="19"/>
              </w:rPr>
              <w:t>42 of 1993</w:t>
            </w:r>
          </w:p>
        </w:tc>
        <w:tc>
          <w:tcPr>
            <w:tcW w:w="1134" w:type="dxa"/>
            <w:gridSpan w:val="2"/>
          </w:tcPr>
          <w:p>
            <w:pPr>
              <w:pStyle w:val="nTable"/>
              <w:spacing w:after="40"/>
              <w:rPr>
                <w:sz w:val="19"/>
              </w:rPr>
            </w:pPr>
            <w:r>
              <w:rPr>
                <w:sz w:val="19"/>
              </w:rPr>
              <w:t>20 Dec 1993</w:t>
            </w:r>
          </w:p>
        </w:tc>
        <w:tc>
          <w:tcPr>
            <w:tcW w:w="2552"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gridBefore w:val="1"/>
          <w:wBefore w:w="8" w:type="dxa"/>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5"/>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2"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gridBefore w:val="1"/>
          <w:wBefore w:w="8" w:type="dxa"/>
          <w:cantSplit/>
        </w:trPr>
        <w:tc>
          <w:tcPr>
            <w:tcW w:w="2268" w:type="dxa"/>
          </w:tcPr>
          <w:p>
            <w:pPr>
              <w:pStyle w:val="nTable"/>
              <w:spacing w:after="40"/>
              <w:ind w:right="113"/>
              <w:rPr>
                <w:sz w:val="19"/>
              </w:rPr>
            </w:pPr>
            <w:r>
              <w:rPr>
                <w:i/>
                <w:sz w:val="19"/>
              </w:rPr>
              <w:t>Stamp Amendment Act 1994</w:t>
            </w:r>
          </w:p>
        </w:tc>
        <w:tc>
          <w:tcPr>
            <w:tcW w:w="1134" w:type="dxa"/>
            <w:gridSpan w:val="5"/>
          </w:tcPr>
          <w:p>
            <w:pPr>
              <w:pStyle w:val="nTable"/>
              <w:spacing w:after="40"/>
              <w:rPr>
                <w:sz w:val="19"/>
              </w:rPr>
            </w:pPr>
            <w:r>
              <w:rPr>
                <w:sz w:val="19"/>
              </w:rPr>
              <w:t>39 of 1994</w:t>
            </w:r>
          </w:p>
        </w:tc>
        <w:tc>
          <w:tcPr>
            <w:tcW w:w="1134" w:type="dxa"/>
            <w:gridSpan w:val="2"/>
          </w:tcPr>
          <w:p>
            <w:pPr>
              <w:pStyle w:val="nTable"/>
              <w:spacing w:after="40"/>
              <w:rPr>
                <w:sz w:val="19"/>
              </w:rPr>
            </w:pPr>
            <w:r>
              <w:rPr>
                <w:sz w:val="19"/>
              </w:rPr>
              <w:t>26 Aug 1994</w:t>
            </w:r>
          </w:p>
        </w:tc>
        <w:tc>
          <w:tcPr>
            <w:tcW w:w="2552" w:type="dxa"/>
            <w:gridSpan w:val="3"/>
          </w:tcPr>
          <w:p>
            <w:pPr>
              <w:pStyle w:val="nTable"/>
              <w:spacing w:after="40"/>
              <w:rPr>
                <w:sz w:val="19"/>
              </w:rPr>
            </w:pPr>
            <w:r>
              <w:rPr>
                <w:sz w:val="19"/>
              </w:rPr>
              <w:t>1 Sep 1994 (see s. 2)</w:t>
            </w:r>
          </w:p>
        </w:tc>
      </w:tr>
      <w:tr>
        <w:trPr>
          <w:gridBefore w:val="1"/>
          <w:wBefore w:w="8" w:type="dxa"/>
          <w:cantSplit/>
        </w:trPr>
        <w:tc>
          <w:tcPr>
            <w:tcW w:w="2268" w:type="dxa"/>
          </w:tcPr>
          <w:p>
            <w:pPr>
              <w:pStyle w:val="nTable"/>
              <w:spacing w:after="40"/>
              <w:ind w:right="113"/>
              <w:rPr>
                <w:sz w:val="19"/>
              </w:rPr>
            </w:pPr>
            <w:r>
              <w:rPr>
                <w:i/>
                <w:sz w:val="19"/>
              </w:rPr>
              <w:t>Stamp Amendment Act (No. 2) 1994 </w:t>
            </w:r>
            <w:r>
              <w:rPr>
                <w:sz w:val="19"/>
                <w:vertAlign w:val="superscript"/>
              </w:rPr>
              <w:t>5, 20</w:t>
            </w:r>
          </w:p>
        </w:tc>
        <w:tc>
          <w:tcPr>
            <w:tcW w:w="1134" w:type="dxa"/>
            <w:gridSpan w:val="5"/>
          </w:tcPr>
          <w:p>
            <w:pPr>
              <w:pStyle w:val="nTable"/>
              <w:spacing w:after="40"/>
              <w:rPr>
                <w:sz w:val="19"/>
              </w:rPr>
            </w:pPr>
            <w:r>
              <w:rPr>
                <w:sz w:val="19"/>
              </w:rPr>
              <w:t>79 of 1994</w:t>
            </w:r>
          </w:p>
        </w:tc>
        <w:tc>
          <w:tcPr>
            <w:tcW w:w="1134" w:type="dxa"/>
            <w:gridSpan w:val="2"/>
          </w:tcPr>
          <w:p>
            <w:pPr>
              <w:pStyle w:val="nTable"/>
              <w:spacing w:after="40"/>
              <w:rPr>
                <w:sz w:val="19"/>
              </w:rPr>
            </w:pPr>
            <w:r>
              <w:rPr>
                <w:sz w:val="19"/>
              </w:rPr>
              <w:t>22 Dec 1994</w:t>
            </w:r>
          </w:p>
        </w:tc>
        <w:tc>
          <w:tcPr>
            <w:tcW w:w="2552" w:type="dxa"/>
            <w:gridSpan w:val="3"/>
          </w:tcPr>
          <w:p>
            <w:pPr>
              <w:pStyle w:val="nTable"/>
              <w:spacing w:after="40"/>
              <w:rPr>
                <w:sz w:val="19"/>
              </w:rPr>
            </w:pPr>
            <w:r>
              <w:rPr>
                <w:sz w:val="19"/>
              </w:rPr>
              <w:t>22 Dec 1994 (see s. 2)</w:t>
            </w:r>
          </w:p>
        </w:tc>
      </w:tr>
      <w:tr>
        <w:trPr>
          <w:gridBefore w:val="1"/>
          <w:wBefore w:w="8" w:type="dxa"/>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5"/>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2"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5"/>
          </w:tcPr>
          <w:p>
            <w:pPr>
              <w:pStyle w:val="nTable"/>
              <w:spacing w:after="40"/>
              <w:rPr>
                <w:sz w:val="19"/>
              </w:rPr>
            </w:pPr>
            <w:r>
              <w:rPr>
                <w:sz w:val="19"/>
              </w:rPr>
              <w:t>21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Before w:val="1"/>
          <w:wBefore w:w="8" w:type="dxa"/>
          <w:cantSplit/>
        </w:trPr>
        <w:tc>
          <w:tcPr>
            <w:tcW w:w="2268" w:type="dxa"/>
          </w:tcPr>
          <w:p>
            <w:pPr>
              <w:pStyle w:val="nTable"/>
              <w:spacing w:after="40"/>
              <w:ind w:right="113"/>
              <w:rPr>
                <w:sz w:val="19"/>
              </w:rPr>
            </w:pPr>
            <w:r>
              <w:rPr>
                <w:i/>
                <w:sz w:val="19"/>
              </w:rPr>
              <w:t>Stamp Amendment (Marketable Securities Duty) Act 1995</w:t>
            </w:r>
            <w:r>
              <w:rPr>
                <w:sz w:val="19"/>
                <w:vertAlign w:val="superscript"/>
              </w:rPr>
              <w:t> 21</w:t>
            </w:r>
          </w:p>
        </w:tc>
        <w:tc>
          <w:tcPr>
            <w:tcW w:w="1134" w:type="dxa"/>
            <w:gridSpan w:val="5"/>
          </w:tcPr>
          <w:p>
            <w:pPr>
              <w:pStyle w:val="nTable"/>
              <w:spacing w:after="40"/>
              <w:rPr>
                <w:sz w:val="19"/>
              </w:rPr>
            </w:pPr>
            <w:r>
              <w:rPr>
                <w:sz w:val="19"/>
              </w:rPr>
              <w:t>22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1 Jul 1995 (see s. 2)</w:t>
            </w:r>
          </w:p>
        </w:tc>
      </w:tr>
      <w:tr>
        <w:trPr>
          <w:gridBefore w:val="1"/>
          <w:wBefore w:w="8" w:type="dxa"/>
          <w:cantSplit/>
        </w:trPr>
        <w:tc>
          <w:tcPr>
            <w:tcW w:w="2268" w:type="dxa"/>
          </w:tcPr>
          <w:p>
            <w:pPr>
              <w:pStyle w:val="nTable"/>
              <w:spacing w:after="40"/>
              <w:ind w:right="113"/>
              <w:rPr>
                <w:sz w:val="19"/>
              </w:rPr>
            </w:pPr>
            <w:r>
              <w:rPr>
                <w:i/>
                <w:sz w:val="19"/>
              </w:rPr>
              <w:t>Stamp Amendment Act 1995</w:t>
            </w:r>
            <w:r>
              <w:rPr>
                <w:sz w:val="19"/>
                <w:vertAlign w:val="superscript"/>
              </w:rPr>
              <w:t> 22, 23</w:t>
            </w:r>
          </w:p>
        </w:tc>
        <w:tc>
          <w:tcPr>
            <w:tcW w:w="1134" w:type="dxa"/>
            <w:gridSpan w:val="5"/>
          </w:tcPr>
          <w:p>
            <w:pPr>
              <w:pStyle w:val="nTable"/>
              <w:spacing w:after="40"/>
              <w:rPr>
                <w:sz w:val="19"/>
              </w:rPr>
            </w:pPr>
            <w:r>
              <w:rPr>
                <w:sz w:val="19"/>
              </w:rPr>
              <w:t>41 of 1995</w:t>
            </w:r>
          </w:p>
        </w:tc>
        <w:tc>
          <w:tcPr>
            <w:tcW w:w="1134" w:type="dxa"/>
            <w:gridSpan w:val="2"/>
          </w:tcPr>
          <w:p>
            <w:pPr>
              <w:pStyle w:val="nTable"/>
              <w:spacing w:after="40"/>
              <w:rPr>
                <w:sz w:val="19"/>
              </w:rPr>
            </w:pPr>
            <w:r>
              <w:rPr>
                <w:sz w:val="19"/>
              </w:rPr>
              <w:t>24 Oct 1995</w:t>
            </w:r>
          </w:p>
        </w:tc>
        <w:tc>
          <w:tcPr>
            <w:tcW w:w="2552" w:type="dxa"/>
            <w:gridSpan w:val="3"/>
          </w:tcPr>
          <w:p>
            <w:pPr>
              <w:pStyle w:val="nTable"/>
              <w:spacing w:after="40"/>
              <w:rPr>
                <w:sz w:val="19"/>
              </w:rPr>
            </w:pPr>
            <w:r>
              <w:rPr>
                <w:sz w:val="19"/>
              </w:rPr>
              <w:t>24 Oct 1995 (see s. 2)</w:t>
            </w:r>
          </w:p>
        </w:tc>
      </w:tr>
      <w:tr>
        <w:trPr>
          <w:gridBefore w:val="1"/>
          <w:wBefore w:w="8" w:type="dxa"/>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5"/>
          </w:tcPr>
          <w:p>
            <w:pPr>
              <w:pStyle w:val="nTable"/>
              <w:spacing w:after="40"/>
              <w:rPr>
                <w:sz w:val="19"/>
              </w:rPr>
            </w:pPr>
            <w:r>
              <w:rPr>
                <w:sz w:val="19"/>
              </w:rPr>
              <w:t>57 of 1995</w:t>
            </w:r>
          </w:p>
        </w:tc>
        <w:tc>
          <w:tcPr>
            <w:tcW w:w="1134" w:type="dxa"/>
            <w:gridSpan w:val="2"/>
          </w:tcPr>
          <w:p>
            <w:pPr>
              <w:pStyle w:val="nTable"/>
              <w:spacing w:after="40"/>
              <w:rPr>
                <w:sz w:val="19"/>
              </w:rPr>
            </w:pPr>
            <w:r>
              <w:rPr>
                <w:sz w:val="19"/>
              </w:rPr>
              <w:t>20 Dec 1995</w:t>
            </w:r>
          </w:p>
        </w:tc>
        <w:tc>
          <w:tcPr>
            <w:tcW w:w="2552" w:type="dxa"/>
            <w:gridSpan w:val="3"/>
          </w:tcPr>
          <w:p>
            <w:pPr>
              <w:pStyle w:val="nTable"/>
              <w:spacing w:after="40"/>
              <w:rPr>
                <w:sz w:val="19"/>
              </w:rPr>
            </w:pPr>
            <w:r>
              <w:rPr>
                <w:sz w:val="19"/>
              </w:rPr>
              <w:t>20 Dec 1995 (see s. 2)</w:t>
            </w:r>
          </w:p>
        </w:tc>
      </w:tr>
      <w:tr>
        <w:trPr>
          <w:gridBefore w:val="1"/>
          <w:wBefore w:w="8" w:type="dxa"/>
          <w:cantSplit/>
        </w:trPr>
        <w:tc>
          <w:tcPr>
            <w:tcW w:w="7088" w:type="dxa"/>
            <w:gridSpan w:val="11"/>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5"/>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4" w:type="dxa"/>
            <w:gridSpan w:val="5"/>
          </w:tcPr>
          <w:p>
            <w:pPr>
              <w:pStyle w:val="nTable"/>
              <w:spacing w:after="40"/>
              <w:rPr>
                <w:sz w:val="19"/>
              </w:rPr>
            </w:pPr>
            <w:r>
              <w:rPr>
                <w:sz w:val="19"/>
              </w:rPr>
              <w:t>20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28 Jun 1996 (see s. 2(1))</w:t>
            </w:r>
          </w:p>
        </w:tc>
      </w:tr>
      <w:tr>
        <w:trPr>
          <w:gridBefore w:val="1"/>
          <w:wBefore w:w="8" w:type="dxa"/>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5"/>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5"/>
          </w:tcPr>
          <w:p>
            <w:pPr>
              <w:pStyle w:val="nTable"/>
              <w:spacing w:after="40"/>
              <w:rPr>
                <w:sz w:val="19"/>
              </w:rPr>
            </w:pPr>
            <w:r>
              <w:rPr>
                <w:sz w:val="19"/>
              </w:rPr>
              <w:t>48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gridBefore w:val="1"/>
          <w:wBefore w:w="8" w:type="dxa"/>
          <w:cantSplit/>
        </w:trPr>
        <w:tc>
          <w:tcPr>
            <w:tcW w:w="2268" w:type="dxa"/>
          </w:tcPr>
          <w:p>
            <w:pPr>
              <w:pStyle w:val="nTable"/>
              <w:spacing w:after="40"/>
              <w:ind w:right="113"/>
              <w:rPr>
                <w:sz w:val="19"/>
              </w:rPr>
            </w:pPr>
            <w:r>
              <w:rPr>
                <w:i/>
                <w:sz w:val="19"/>
              </w:rPr>
              <w:t>Stamp Amendment Act 1996 </w:t>
            </w:r>
            <w:r>
              <w:rPr>
                <w:sz w:val="19"/>
                <w:vertAlign w:val="superscript"/>
              </w:rPr>
              <w:t>25</w:t>
            </w:r>
          </w:p>
        </w:tc>
        <w:tc>
          <w:tcPr>
            <w:tcW w:w="1134" w:type="dxa"/>
            <w:gridSpan w:val="5"/>
          </w:tcPr>
          <w:p>
            <w:pPr>
              <w:pStyle w:val="nTable"/>
              <w:spacing w:after="40"/>
              <w:rPr>
                <w:sz w:val="19"/>
              </w:rPr>
            </w:pPr>
            <w:r>
              <w:rPr>
                <w:sz w:val="19"/>
              </w:rPr>
              <w:t>57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20 Nov 1995 (see s. 2)</w:t>
            </w:r>
          </w:p>
        </w:tc>
      </w:tr>
      <w:tr>
        <w:trPr>
          <w:gridBefore w:val="1"/>
          <w:wBefore w:w="8" w:type="dxa"/>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5"/>
          </w:tcPr>
          <w:p>
            <w:pPr>
              <w:pStyle w:val="nTable"/>
              <w:spacing w:after="40"/>
              <w:rPr>
                <w:sz w:val="19"/>
              </w:rPr>
            </w:pPr>
            <w:r>
              <w:rPr>
                <w:sz w:val="19"/>
              </w:rPr>
              <w:t>61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5"/>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gridBefore w:val="1"/>
          <w:wBefore w:w="8" w:type="dxa"/>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5"/>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4" w:type="dxa"/>
            <w:gridSpan w:val="5"/>
          </w:tcPr>
          <w:p>
            <w:pPr>
              <w:pStyle w:val="nTable"/>
              <w:spacing w:after="40"/>
              <w:rPr>
                <w:sz w:val="19"/>
              </w:rPr>
            </w:pPr>
            <w:r>
              <w:rPr>
                <w:sz w:val="19"/>
              </w:rPr>
              <w:t>13 of 1997</w:t>
            </w:r>
          </w:p>
        </w:tc>
        <w:tc>
          <w:tcPr>
            <w:tcW w:w="1134" w:type="dxa"/>
            <w:gridSpan w:val="2"/>
          </w:tcPr>
          <w:p>
            <w:pPr>
              <w:pStyle w:val="nTable"/>
              <w:spacing w:after="40"/>
              <w:rPr>
                <w:sz w:val="19"/>
              </w:rPr>
            </w:pPr>
            <w:r>
              <w:rPr>
                <w:sz w:val="19"/>
              </w:rPr>
              <w:t>25 Jun 1997</w:t>
            </w:r>
          </w:p>
        </w:tc>
        <w:tc>
          <w:tcPr>
            <w:tcW w:w="2552" w:type="dxa"/>
            <w:gridSpan w:val="3"/>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gridBefore w:val="1"/>
          <w:wBefore w:w="8" w:type="dxa"/>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5"/>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5"/>
          </w:tcPr>
          <w:p>
            <w:pPr>
              <w:pStyle w:val="nTable"/>
              <w:spacing w:after="40"/>
              <w:rPr>
                <w:sz w:val="19"/>
              </w:rPr>
            </w:pPr>
            <w:r>
              <w:rPr>
                <w:sz w:val="19"/>
              </w:rPr>
              <w:t>41 of 1997</w:t>
            </w:r>
          </w:p>
        </w:tc>
        <w:tc>
          <w:tcPr>
            <w:tcW w:w="1134" w:type="dxa"/>
            <w:gridSpan w:val="2"/>
          </w:tcPr>
          <w:p>
            <w:pPr>
              <w:pStyle w:val="nTable"/>
              <w:spacing w:after="40"/>
              <w:rPr>
                <w:sz w:val="19"/>
              </w:rPr>
            </w:pPr>
            <w:r>
              <w:rPr>
                <w:sz w:val="19"/>
              </w:rPr>
              <w:t>9 Dec 1997</w:t>
            </w:r>
          </w:p>
        </w:tc>
        <w:tc>
          <w:tcPr>
            <w:tcW w:w="2552" w:type="dxa"/>
            <w:gridSpan w:val="3"/>
          </w:tcPr>
          <w:p>
            <w:pPr>
              <w:pStyle w:val="nTable"/>
              <w:spacing w:after="40"/>
              <w:rPr>
                <w:sz w:val="19"/>
              </w:rPr>
            </w:pPr>
            <w:r>
              <w:rPr>
                <w:sz w:val="19"/>
              </w:rPr>
              <w:t>26 Sep 1998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5"/>
          </w:tcPr>
          <w:p>
            <w:pPr>
              <w:pStyle w:val="nTable"/>
              <w:spacing w:after="40"/>
              <w:rPr>
                <w:sz w:val="19"/>
              </w:rPr>
            </w:pPr>
            <w:r>
              <w:rPr>
                <w:sz w:val="19"/>
              </w:rPr>
              <w:t>51 of 1997</w:t>
            </w:r>
          </w:p>
        </w:tc>
        <w:tc>
          <w:tcPr>
            <w:tcW w:w="1134" w:type="dxa"/>
            <w:gridSpan w:val="2"/>
          </w:tcPr>
          <w:p>
            <w:pPr>
              <w:pStyle w:val="nTable"/>
              <w:spacing w:after="40"/>
              <w:rPr>
                <w:sz w:val="19"/>
              </w:rPr>
            </w:pPr>
            <w:r>
              <w:rPr>
                <w:sz w:val="19"/>
              </w:rPr>
              <w:t>12 Dec 1997</w:t>
            </w:r>
          </w:p>
        </w:tc>
        <w:tc>
          <w:tcPr>
            <w:tcW w:w="2552" w:type="dxa"/>
            <w:gridSpan w:val="3"/>
          </w:tcPr>
          <w:p>
            <w:pPr>
              <w:pStyle w:val="nTable"/>
              <w:spacing w:after="40"/>
              <w:rPr>
                <w:sz w:val="19"/>
              </w:rPr>
            </w:pPr>
            <w:r>
              <w:rPr>
                <w:sz w:val="19"/>
              </w:rPr>
              <w:t>12 Dec 1997 (see s. 2)</w:t>
            </w:r>
          </w:p>
        </w:tc>
      </w:tr>
      <w:tr>
        <w:trPr>
          <w:gridBefore w:val="1"/>
          <w:wBefore w:w="8" w:type="dxa"/>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5"/>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4" w:type="dxa"/>
            <w:gridSpan w:val="5"/>
          </w:tcPr>
          <w:p>
            <w:pPr>
              <w:pStyle w:val="nTable"/>
              <w:spacing w:after="40"/>
              <w:rPr>
                <w:sz w:val="19"/>
              </w:rPr>
            </w:pPr>
            <w:r>
              <w:rPr>
                <w:sz w:val="19"/>
              </w:rPr>
              <w:t>18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1 Jul 1998 (see s. 2(2) and also take note of s. 2(4) and (5))</w:t>
            </w:r>
          </w:p>
        </w:tc>
      </w:tr>
      <w:tr>
        <w:trPr>
          <w:gridBefore w:val="1"/>
          <w:wBefore w:w="8" w:type="dxa"/>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5"/>
          </w:tcPr>
          <w:p>
            <w:pPr>
              <w:pStyle w:val="nTable"/>
              <w:spacing w:after="40"/>
              <w:rPr>
                <w:sz w:val="19"/>
              </w:rPr>
            </w:pPr>
            <w:r>
              <w:rPr>
                <w:sz w:val="19"/>
              </w:rPr>
              <w:t>22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5"/>
          </w:tcPr>
          <w:p>
            <w:pPr>
              <w:pStyle w:val="nTable"/>
              <w:spacing w:after="40"/>
              <w:rPr>
                <w:sz w:val="19"/>
              </w:rPr>
            </w:pPr>
            <w:r>
              <w:rPr>
                <w:sz w:val="19"/>
              </w:rPr>
              <w:t>58 of 1998</w:t>
            </w:r>
          </w:p>
        </w:tc>
        <w:tc>
          <w:tcPr>
            <w:tcW w:w="1134" w:type="dxa"/>
            <w:gridSpan w:val="2"/>
          </w:tcPr>
          <w:p>
            <w:pPr>
              <w:pStyle w:val="nTable"/>
              <w:spacing w:after="40"/>
              <w:rPr>
                <w:sz w:val="19"/>
              </w:rPr>
            </w:pPr>
            <w:r>
              <w:rPr>
                <w:sz w:val="19"/>
              </w:rPr>
              <w:t>18 Dec 1998</w:t>
            </w:r>
          </w:p>
        </w:tc>
        <w:tc>
          <w:tcPr>
            <w:tcW w:w="2552" w:type="dxa"/>
            <w:gridSpan w:val="3"/>
          </w:tcPr>
          <w:p>
            <w:pPr>
              <w:pStyle w:val="nTable"/>
              <w:spacing w:after="40"/>
              <w:rPr>
                <w:sz w:val="19"/>
              </w:rPr>
            </w:pPr>
            <w:r>
              <w:rPr>
                <w:sz w:val="19"/>
              </w:rPr>
              <w:t>s. 8: 30 Mar 1998 (see s. 2(2));</w:t>
            </w:r>
            <w:r>
              <w:rPr>
                <w:sz w:val="19"/>
              </w:rPr>
              <w:br/>
              <w:t>balance: 18 Dec 1998 (see s. 2(1))</w:t>
            </w:r>
          </w:p>
        </w:tc>
      </w:tr>
      <w:tr>
        <w:trPr>
          <w:gridBefore w:val="1"/>
          <w:wBefore w:w="8" w:type="dxa"/>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5"/>
          </w:tcPr>
          <w:p>
            <w:pPr>
              <w:pStyle w:val="nTable"/>
              <w:spacing w:after="40"/>
              <w:rPr>
                <w:sz w:val="19"/>
              </w:rPr>
            </w:pPr>
            <w:r>
              <w:rPr>
                <w:sz w:val="19"/>
              </w:rPr>
              <w:t>2 of 1999</w:t>
            </w:r>
          </w:p>
        </w:tc>
        <w:tc>
          <w:tcPr>
            <w:tcW w:w="1134" w:type="dxa"/>
            <w:gridSpan w:val="2"/>
          </w:tcPr>
          <w:p>
            <w:pPr>
              <w:pStyle w:val="nTable"/>
              <w:spacing w:after="40"/>
              <w:rPr>
                <w:sz w:val="19"/>
              </w:rPr>
            </w:pPr>
            <w:r>
              <w:rPr>
                <w:sz w:val="19"/>
              </w:rPr>
              <w:t>25 Mar 1999</w:t>
            </w:r>
          </w:p>
        </w:tc>
        <w:tc>
          <w:tcPr>
            <w:tcW w:w="2552"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5"/>
          </w:tcPr>
          <w:p>
            <w:pPr>
              <w:pStyle w:val="nTable"/>
              <w:keepNext/>
              <w:keepLines/>
              <w:spacing w:after="40"/>
              <w:rPr>
                <w:sz w:val="19"/>
              </w:rPr>
            </w:pPr>
            <w:r>
              <w:rPr>
                <w:sz w:val="19"/>
              </w:rPr>
              <w:t>24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gridBefore w:val="1"/>
          <w:wBefore w:w="8" w:type="dxa"/>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4" w:type="dxa"/>
            <w:gridSpan w:val="5"/>
          </w:tcPr>
          <w:p>
            <w:pPr>
              <w:pStyle w:val="nTable"/>
              <w:keepNext/>
              <w:keepLines/>
              <w:spacing w:after="40"/>
              <w:rPr>
                <w:sz w:val="19"/>
              </w:rPr>
            </w:pPr>
            <w:r>
              <w:rPr>
                <w:sz w:val="19"/>
              </w:rPr>
              <w:t>25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1 Jul 1999 (see s. 2(4))</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5"/>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4" w:type="dxa"/>
            <w:gridSpan w:val="5"/>
          </w:tcPr>
          <w:p>
            <w:pPr>
              <w:pStyle w:val="nTable"/>
              <w:spacing w:after="40"/>
              <w:rPr>
                <w:sz w:val="19"/>
              </w:rPr>
            </w:pPr>
            <w:r>
              <w:rPr>
                <w:sz w:val="19"/>
              </w:rPr>
              <w:t>53 of 1999</w:t>
            </w:r>
          </w:p>
        </w:tc>
        <w:tc>
          <w:tcPr>
            <w:tcW w:w="1134" w:type="dxa"/>
            <w:gridSpan w:val="2"/>
          </w:tcPr>
          <w:p>
            <w:pPr>
              <w:pStyle w:val="nTable"/>
              <w:spacing w:after="40"/>
              <w:rPr>
                <w:sz w:val="19"/>
              </w:rPr>
            </w:pPr>
            <w:r>
              <w:rPr>
                <w:sz w:val="19"/>
              </w:rPr>
              <w:t>13 Dec 1999</w:t>
            </w:r>
          </w:p>
        </w:tc>
        <w:tc>
          <w:tcPr>
            <w:tcW w:w="2552" w:type="dxa"/>
            <w:gridSpan w:val="3"/>
          </w:tcPr>
          <w:p>
            <w:pPr>
              <w:pStyle w:val="nTable"/>
              <w:spacing w:after="40"/>
              <w:rPr>
                <w:sz w:val="19"/>
              </w:rPr>
            </w:pPr>
            <w:r>
              <w:rPr>
                <w:sz w:val="19"/>
              </w:rPr>
              <w:t>Div. 1 and 3: 13 Dec 1999 (see s. 2(1));</w:t>
            </w:r>
            <w:r>
              <w:rPr>
                <w:sz w:val="19"/>
              </w:rPr>
              <w:br/>
              <w:t xml:space="preserve">Div 2: 1 Jul 2001 (see s. 2(2)) </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4" w:type="dxa"/>
            <w:gridSpan w:val="5"/>
          </w:tcPr>
          <w:p>
            <w:pPr>
              <w:pStyle w:val="nTable"/>
              <w:spacing w:after="40"/>
              <w:rPr>
                <w:sz w:val="19"/>
              </w:rPr>
            </w:pPr>
            <w:r>
              <w:rPr>
                <w:sz w:val="19"/>
              </w:rPr>
              <w:t>6 of 2000</w:t>
            </w:r>
            <w:r>
              <w:rPr>
                <w:sz w:val="19"/>
              </w:rPr>
              <w:br/>
              <w:t>(as amended by No. 45 of 2002 s. 6)</w:t>
            </w:r>
          </w:p>
        </w:tc>
        <w:tc>
          <w:tcPr>
            <w:tcW w:w="1134" w:type="dxa"/>
            <w:gridSpan w:val="2"/>
          </w:tcPr>
          <w:p>
            <w:pPr>
              <w:pStyle w:val="nTable"/>
              <w:spacing w:after="40"/>
              <w:rPr>
                <w:sz w:val="19"/>
              </w:rPr>
            </w:pPr>
            <w:r>
              <w:rPr>
                <w:sz w:val="19"/>
              </w:rPr>
              <w:t>11 Apr 2000</w:t>
            </w:r>
          </w:p>
        </w:tc>
        <w:tc>
          <w:tcPr>
            <w:tcW w:w="2552"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gridBefore w:val="1"/>
          <w:wBefore w:w="8" w:type="dxa"/>
          <w:cantSplit/>
        </w:trPr>
        <w:tc>
          <w:tcPr>
            <w:tcW w:w="2268" w:type="dxa"/>
          </w:tcPr>
          <w:p>
            <w:pPr>
              <w:pStyle w:val="nTable"/>
              <w:spacing w:after="40"/>
              <w:ind w:right="113"/>
              <w:rPr>
                <w:i/>
                <w:sz w:val="19"/>
              </w:rPr>
            </w:pPr>
            <w:r>
              <w:rPr>
                <w:i/>
                <w:sz w:val="19"/>
              </w:rPr>
              <w:t>Stamp Amendment Act 2000</w:t>
            </w:r>
          </w:p>
        </w:tc>
        <w:tc>
          <w:tcPr>
            <w:tcW w:w="1134" w:type="dxa"/>
            <w:gridSpan w:val="5"/>
          </w:tcPr>
          <w:p>
            <w:pPr>
              <w:pStyle w:val="nTable"/>
              <w:spacing w:after="40"/>
              <w:rPr>
                <w:sz w:val="19"/>
              </w:rPr>
            </w:pPr>
            <w:r>
              <w:rPr>
                <w:sz w:val="19"/>
              </w:rPr>
              <w:t>28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4" w:type="dxa"/>
            <w:gridSpan w:val="5"/>
          </w:tcPr>
          <w:p>
            <w:pPr>
              <w:pStyle w:val="nTable"/>
              <w:spacing w:after="40"/>
              <w:rPr>
                <w:sz w:val="19"/>
              </w:rPr>
            </w:pPr>
            <w:r>
              <w:rPr>
                <w:sz w:val="19"/>
              </w:rPr>
              <w:t>29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2(1))</w:t>
            </w:r>
          </w:p>
        </w:tc>
      </w:tr>
      <w:tr>
        <w:trPr>
          <w:gridBefore w:val="1"/>
          <w:wBefore w:w="8" w:type="dxa"/>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4" w:type="dxa"/>
            <w:gridSpan w:val="5"/>
          </w:tcPr>
          <w:p>
            <w:pPr>
              <w:pStyle w:val="nTable"/>
              <w:spacing w:after="40"/>
              <w:rPr>
                <w:sz w:val="19"/>
              </w:rPr>
            </w:pPr>
            <w:r>
              <w:rPr>
                <w:sz w:val="19"/>
              </w:rPr>
              <w:t>60 of 2000</w:t>
            </w:r>
          </w:p>
        </w:tc>
        <w:tc>
          <w:tcPr>
            <w:tcW w:w="1134" w:type="dxa"/>
            <w:gridSpan w:val="2"/>
          </w:tcPr>
          <w:p>
            <w:pPr>
              <w:pStyle w:val="nTable"/>
              <w:spacing w:after="40"/>
              <w:rPr>
                <w:sz w:val="19"/>
              </w:rPr>
            </w:pPr>
            <w:r>
              <w:rPr>
                <w:sz w:val="19"/>
              </w:rPr>
              <w:t>4 Dec 2000</w:t>
            </w:r>
          </w:p>
        </w:tc>
        <w:tc>
          <w:tcPr>
            <w:tcW w:w="2552" w:type="dxa"/>
            <w:gridSpan w:val="3"/>
          </w:tcPr>
          <w:p>
            <w:pPr>
              <w:pStyle w:val="nTable"/>
              <w:spacing w:after="40"/>
              <w:rPr>
                <w:sz w:val="19"/>
              </w:rPr>
            </w:pPr>
            <w:r>
              <w:rPr>
                <w:sz w:val="19"/>
              </w:rPr>
              <w:t>10 Aug 2000 (see s. 2)</w:t>
            </w:r>
          </w:p>
        </w:tc>
      </w:tr>
      <w:tr>
        <w:trPr>
          <w:gridBefore w:val="1"/>
          <w:wBefore w:w="8" w:type="dxa"/>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5"/>
          </w:tcPr>
          <w:p>
            <w:pPr>
              <w:pStyle w:val="nTable"/>
              <w:spacing w:after="40"/>
              <w:rPr>
                <w:sz w:val="19"/>
              </w:rPr>
            </w:pPr>
            <w:r>
              <w:rPr>
                <w:sz w:val="19"/>
              </w:rPr>
              <w:t>3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gridBefore w:val="1"/>
          <w:wBefore w:w="8" w:type="dxa"/>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5"/>
          </w:tcPr>
          <w:p>
            <w:pPr>
              <w:pStyle w:val="nTable"/>
              <w:spacing w:after="40"/>
              <w:rPr>
                <w:sz w:val="19"/>
              </w:rPr>
            </w:pPr>
            <w:r>
              <w:rPr>
                <w:sz w:val="19"/>
              </w:rPr>
              <w:t>4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30 Jun 2001 (see s. 2(4))</w:t>
            </w:r>
          </w:p>
        </w:tc>
      </w:tr>
      <w:tr>
        <w:trPr>
          <w:gridBefore w:val="1"/>
          <w:wBefore w:w="8" w:type="dxa"/>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5"/>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2"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8" w:type="dxa"/>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5"/>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52" w:type="dxa"/>
            <w:gridSpan w:val="3"/>
          </w:tcPr>
          <w:p>
            <w:pPr>
              <w:pStyle w:val="nTable"/>
              <w:spacing w:after="40"/>
              <w:rPr>
                <w:sz w:val="19"/>
              </w:rPr>
            </w:pPr>
            <w:r>
              <w:rPr>
                <w:sz w:val="19"/>
              </w:rPr>
              <w:t>13 Jul 2001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gridBefore w:val="1"/>
          <w:wBefore w:w="8" w:type="dxa"/>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5"/>
          </w:tcPr>
          <w:p>
            <w:pPr>
              <w:pStyle w:val="nTable"/>
              <w:spacing w:after="40"/>
              <w:rPr>
                <w:sz w:val="19"/>
              </w:rPr>
            </w:pPr>
            <w:r>
              <w:rPr>
                <w:sz w:val="19"/>
              </w:rPr>
              <w:t>36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7 Jan 2002 (see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4" w:type="dxa"/>
            <w:gridSpan w:val="5"/>
          </w:tcPr>
          <w:p>
            <w:pPr>
              <w:pStyle w:val="nTable"/>
              <w:spacing w:after="40"/>
              <w:rPr>
                <w:sz w:val="19"/>
              </w:rPr>
            </w:pPr>
            <w:r>
              <w:rPr>
                <w:sz w:val="19"/>
              </w:rPr>
              <w:t>37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gridBefore w:val="1"/>
          <w:wBefore w:w="8" w:type="dxa"/>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5"/>
          </w:tcPr>
          <w:p>
            <w:pPr>
              <w:pStyle w:val="nTable"/>
              <w:spacing w:after="40"/>
              <w:rPr>
                <w:sz w:val="19"/>
              </w:rPr>
            </w:pPr>
            <w:r>
              <w:rPr>
                <w:sz w:val="19"/>
              </w:rPr>
              <w:t>7 of 2002</w:t>
            </w:r>
          </w:p>
        </w:tc>
        <w:tc>
          <w:tcPr>
            <w:tcW w:w="1134" w:type="dxa"/>
            <w:gridSpan w:val="2"/>
          </w:tcPr>
          <w:p>
            <w:pPr>
              <w:pStyle w:val="nTable"/>
              <w:spacing w:after="40"/>
              <w:rPr>
                <w:sz w:val="19"/>
              </w:rPr>
            </w:pPr>
            <w:r>
              <w:rPr>
                <w:sz w:val="19"/>
              </w:rPr>
              <w:t>19 Jun 2002</w:t>
            </w:r>
          </w:p>
        </w:tc>
        <w:tc>
          <w:tcPr>
            <w:tcW w:w="2552"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Before w:val="1"/>
          <w:wBefore w:w="8" w:type="dxa"/>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4" w:type="dxa"/>
            <w:gridSpan w:val="5"/>
          </w:tcPr>
          <w:p>
            <w:pPr>
              <w:pStyle w:val="nTable"/>
              <w:spacing w:after="40"/>
              <w:rPr>
                <w:sz w:val="19"/>
              </w:rPr>
            </w:pPr>
            <w:r>
              <w:rPr>
                <w:sz w:val="19"/>
              </w:rPr>
              <w:t>11 of 2002</w:t>
            </w:r>
          </w:p>
        </w:tc>
        <w:tc>
          <w:tcPr>
            <w:tcW w:w="1134" w:type="dxa"/>
            <w:gridSpan w:val="2"/>
          </w:tcPr>
          <w:p>
            <w:pPr>
              <w:pStyle w:val="nTable"/>
              <w:spacing w:after="40"/>
              <w:rPr>
                <w:sz w:val="19"/>
              </w:rPr>
            </w:pPr>
            <w:r>
              <w:rPr>
                <w:sz w:val="19"/>
              </w:rPr>
              <w:t>28 Jun 2002</w:t>
            </w:r>
          </w:p>
        </w:tc>
        <w:tc>
          <w:tcPr>
            <w:tcW w:w="2552" w:type="dxa"/>
            <w:gridSpan w:val="3"/>
          </w:tcPr>
          <w:p>
            <w:pPr>
              <w:pStyle w:val="nTable"/>
              <w:spacing w:after="40"/>
              <w:rPr>
                <w:sz w:val="19"/>
              </w:rPr>
            </w:pPr>
            <w:r>
              <w:rPr>
                <w:sz w:val="19"/>
              </w:rPr>
              <w:t>1 Jul 2002 (see s. 2)</w:t>
            </w:r>
          </w:p>
        </w:tc>
      </w:tr>
      <w:tr>
        <w:trPr>
          <w:gridBefore w:val="1"/>
          <w:wBefore w:w="8" w:type="dxa"/>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5"/>
          </w:tcPr>
          <w:p>
            <w:pPr>
              <w:pStyle w:val="nTable"/>
              <w:spacing w:after="40"/>
              <w:rPr>
                <w:sz w:val="19"/>
              </w:rPr>
            </w:pPr>
            <w:r>
              <w:rPr>
                <w:sz w:val="19"/>
              </w:rPr>
              <w:t>25 of 2002</w:t>
            </w:r>
          </w:p>
        </w:tc>
        <w:tc>
          <w:tcPr>
            <w:tcW w:w="1134" w:type="dxa"/>
            <w:gridSpan w:val="2"/>
          </w:tcPr>
          <w:p>
            <w:pPr>
              <w:pStyle w:val="nTable"/>
              <w:spacing w:after="40"/>
              <w:rPr>
                <w:sz w:val="19"/>
              </w:rPr>
            </w:pPr>
            <w:r>
              <w:rPr>
                <w:sz w:val="19"/>
              </w:rPr>
              <w:t>25 Sep 2002</w:t>
            </w:r>
          </w:p>
        </w:tc>
        <w:tc>
          <w:tcPr>
            <w:tcW w:w="2552"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gridBefore w:val="1"/>
          <w:wBefore w:w="8" w:type="dxa"/>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4" w:type="dxa"/>
            <w:gridSpan w:val="5"/>
          </w:tcPr>
          <w:p>
            <w:pPr>
              <w:pStyle w:val="nTable"/>
              <w:spacing w:after="40"/>
              <w:rPr>
                <w:sz w:val="19"/>
              </w:rPr>
            </w:pPr>
            <w:r>
              <w:rPr>
                <w:sz w:val="19"/>
              </w:rPr>
              <w:t>46 of 2002</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i/>
                <w:sz w:val="19"/>
              </w:rPr>
            </w:pPr>
            <w:r>
              <w:rPr>
                <w:i/>
                <w:sz w:val="19"/>
              </w:rPr>
              <w:t>Stamp Amendment Act 2003</w:t>
            </w:r>
          </w:p>
        </w:tc>
        <w:tc>
          <w:tcPr>
            <w:tcW w:w="1134" w:type="dxa"/>
            <w:gridSpan w:val="5"/>
          </w:tcPr>
          <w:p>
            <w:pPr>
              <w:pStyle w:val="nTable"/>
              <w:spacing w:after="40"/>
              <w:rPr>
                <w:sz w:val="19"/>
              </w:rPr>
            </w:pPr>
            <w:r>
              <w:rPr>
                <w:sz w:val="19"/>
              </w:rPr>
              <w:t>2 of 2003</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4" w:type="dxa"/>
            <w:gridSpan w:val="5"/>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gridBefore w:val="1"/>
          <w:wBefore w:w="8" w:type="dxa"/>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5"/>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Before w:val="1"/>
          <w:wBefore w:w="8" w:type="dxa"/>
          <w:cantSplit/>
        </w:trPr>
        <w:tc>
          <w:tcPr>
            <w:tcW w:w="2268" w:type="dxa"/>
          </w:tcPr>
          <w:p>
            <w:pPr>
              <w:pStyle w:val="nTable"/>
              <w:spacing w:after="40"/>
              <w:ind w:right="113"/>
              <w:rPr>
                <w:sz w:val="19"/>
              </w:rPr>
            </w:pPr>
            <w:r>
              <w:rPr>
                <w:i/>
                <w:sz w:val="19"/>
              </w:rPr>
              <w:t>Stamp Amendment (Budget) Act 2003</w:t>
            </w:r>
            <w:r>
              <w:rPr>
                <w:sz w:val="19"/>
                <w:vertAlign w:val="superscript"/>
              </w:rPr>
              <w:t> 43</w:t>
            </w:r>
          </w:p>
        </w:tc>
        <w:tc>
          <w:tcPr>
            <w:tcW w:w="1134" w:type="dxa"/>
            <w:gridSpan w:val="5"/>
          </w:tcPr>
          <w:p>
            <w:pPr>
              <w:pStyle w:val="nTable"/>
              <w:spacing w:after="40"/>
              <w:rPr>
                <w:sz w:val="19"/>
              </w:rPr>
            </w:pPr>
            <w:r>
              <w:rPr>
                <w:sz w:val="19"/>
              </w:rPr>
              <w:t>44 of 2003</w:t>
            </w:r>
          </w:p>
        </w:tc>
        <w:tc>
          <w:tcPr>
            <w:tcW w:w="1134" w:type="dxa"/>
            <w:gridSpan w:val="2"/>
          </w:tcPr>
          <w:p>
            <w:pPr>
              <w:pStyle w:val="nTable"/>
              <w:spacing w:after="40"/>
              <w:rPr>
                <w:sz w:val="19"/>
              </w:rPr>
            </w:pPr>
            <w:r>
              <w:rPr>
                <w:sz w:val="19"/>
              </w:rPr>
              <w:t>30 Jun 2003</w:t>
            </w:r>
          </w:p>
        </w:tc>
        <w:tc>
          <w:tcPr>
            <w:tcW w:w="2552" w:type="dxa"/>
            <w:gridSpan w:val="3"/>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gridBefore w:val="1"/>
          <w:wBefore w:w="8" w:type="dxa"/>
          <w:cantSplit/>
        </w:trPr>
        <w:tc>
          <w:tcPr>
            <w:tcW w:w="7088" w:type="dxa"/>
            <w:gridSpan w:val="11"/>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gridBefore w:val="1"/>
          <w:wBefore w:w="8" w:type="dxa"/>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5"/>
          </w:tcPr>
          <w:p>
            <w:pPr>
              <w:pStyle w:val="nTable"/>
              <w:spacing w:after="40"/>
              <w:rPr>
                <w:sz w:val="19"/>
              </w:rPr>
            </w:pPr>
            <w:r>
              <w:rPr>
                <w:sz w:val="19"/>
              </w:rPr>
              <w:t>56 of 2003</w:t>
            </w:r>
          </w:p>
        </w:tc>
        <w:tc>
          <w:tcPr>
            <w:tcW w:w="1134" w:type="dxa"/>
            <w:gridSpan w:val="2"/>
          </w:tcPr>
          <w:p>
            <w:pPr>
              <w:pStyle w:val="nTable"/>
              <w:spacing w:after="40"/>
              <w:rPr>
                <w:sz w:val="19"/>
              </w:rPr>
            </w:pPr>
            <w:r>
              <w:rPr>
                <w:sz w:val="19"/>
              </w:rPr>
              <w:t>29 Oct 2003</w:t>
            </w:r>
          </w:p>
        </w:tc>
        <w:tc>
          <w:tcPr>
            <w:tcW w:w="2552"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Before w:val="1"/>
          <w:wBefore w:w="8" w:type="dxa"/>
          <w:cantSplit/>
        </w:trPr>
        <w:tc>
          <w:tcPr>
            <w:tcW w:w="2268"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4" w:type="dxa"/>
            <w:gridSpan w:val="5"/>
          </w:tcPr>
          <w:p>
            <w:pPr>
              <w:pStyle w:val="nTable"/>
              <w:spacing w:after="40"/>
              <w:rPr>
                <w:sz w:val="19"/>
              </w:rPr>
            </w:pPr>
            <w:r>
              <w:rPr>
                <w:sz w:val="19"/>
              </w:rPr>
              <w:t>59 of 2003</w:t>
            </w:r>
          </w:p>
        </w:tc>
        <w:tc>
          <w:tcPr>
            <w:tcW w:w="1134" w:type="dxa"/>
            <w:gridSpan w:val="2"/>
          </w:tcPr>
          <w:p>
            <w:pPr>
              <w:pStyle w:val="nTable"/>
              <w:spacing w:after="40"/>
              <w:rPr>
                <w:sz w:val="19"/>
              </w:rPr>
            </w:pPr>
            <w:r>
              <w:rPr>
                <w:sz w:val="19"/>
              </w:rPr>
              <w:t>26 Nov 2003</w:t>
            </w:r>
          </w:p>
        </w:tc>
        <w:tc>
          <w:tcPr>
            <w:tcW w:w="2552" w:type="dxa"/>
            <w:gridSpan w:val="3"/>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gridBefore w:val="1"/>
          <w:wBefore w:w="8" w:type="dxa"/>
          <w:cantSplit/>
        </w:trPr>
        <w:tc>
          <w:tcPr>
            <w:tcW w:w="2268"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4" w:type="dxa"/>
            <w:gridSpan w:val="5"/>
          </w:tcPr>
          <w:p>
            <w:pPr>
              <w:pStyle w:val="nTable"/>
              <w:spacing w:after="40"/>
              <w:rPr>
                <w:sz w:val="19"/>
              </w:rPr>
            </w:pPr>
            <w:r>
              <w:rPr>
                <w:sz w:val="19"/>
              </w:rPr>
              <w:t>66 of 2003</w:t>
            </w:r>
          </w:p>
        </w:tc>
        <w:tc>
          <w:tcPr>
            <w:tcW w:w="1134" w:type="dxa"/>
            <w:gridSpan w:val="2"/>
          </w:tcPr>
          <w:p>
            <w:pPr>
              <w:pStyle w:val="nTable"/>
              <w:spacing w:after="40"/>
              <w:rPr>
                <w:sz w:val="19"/>
              </w:rPr>
            </w:pPr>
            <w:r>
              <w:rPr>
                <w:sz w:val="19"/>
              </w:rPr>
              <w:t>5 Dec 2003</w:t>
            </w:r>
          </w:p>
        </w:tc>
        <w:tc>
          <w:tcPr>
            <w:tcW w:w="2552"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gridBefore w:val="1"/>
          <w:wBefore w:w="8" w:type="dxa"/>
          <w:cantSplit/>
        </w:trPr>
        <w:tc>
          <w:tcPr>
            <w:tcW w:w="2268"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4" w:type="dxa"/>
            <w:gridSpan w:val="5"/>
          </w:tcPr>
          <w:p>
            <w:pPr>
              <w:pStyle w:val="nTable"/>
              <w:spacing w:after="40"/>
              <w:rPr>
                <w:sz w:val="19"/>
              </w:rPr>
            </w:pPr>
            <w:r>
              <w:rPr>
                <w:sz w:val="19"/>
              </w:rPr>
              <w:t>11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z w:val="19"/>
              </w:rPr>
              <w:t>1 Jul 2004 (see s. 2(2))</w:t>
            </w:r>
          </w:p>
        </w:tc>
      </w:tr>
      <w:tr>
        <w:trPr>
          <w:gridBefore w:val="1"/>
          <w:wBefore w:w="8" w:type="dxa"/>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4" w:type="dxa"/>
            <w:gridSpan w:val="5"/>
          </w:tcPr>
          <w:p>
            <w:pPr>
              <w:pStyle w:val="nTable"/>
              <w:spacing w:after="40"/>
              <w:rPr>
                <w:sz w:val="19"/>
              </w:rPr>
            </w:pPr>
            <w:r>
              <w:rPr>
                <w:sz w:val="19"/>
              </w:rPr>
              <w:t>12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gridBefore w:val="1"/>
          <w:wBefore w:w="8"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4" w:type="dxa"/>
            <w:gridSpan w:val="5"/>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gridBefore w:val="1"/>
          <w:wBefore w:w="8" w:type="dxa"/>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4" w:type="dxa"/>
            <w:gridSpan w:val="5"/>
          </w:tcPr>
          <w:p>
            <w:pPr>
              <w:pStyle w:val="nTable"/>
              <w:spacing w:after="40"/>
              <w:rPr>
                <w:sz w:val="19"/>
              </w:rPr>
            </w:pPr>
            <w:r>
              <w:rPr>
                <w:sz w:val="19"/>
              </w:rPr>
              <w:t>83 of 2004</w:t>
            </w:r>
          </w:p>
        </w:tc>
        <w:tc>
          <w:tcPr>
            <w:tcW w:w="1134" w:type="dxa"/>
            <w:gridSpan w:val="2"/>
          </w:tcPr>
          <w:p>
            <w:pPr>
              <w:pStyle w:val="nTable"/>
              <w:spacing w:after="40"/>
              <w:rPr>
                <w:sz w:val="19"/>
              </w:rPr>
            </w:pPr>
            <w:r>
              <w:rPr>
                <w:sz w:val="19"/>
              </w:rPr>
              <w:t>8 Dec 2004</w:t>
            </w:r>
          </w:p>
        </w:tc>
        <w:tc>
          <w:tcPr>
            <w:tcW w:w="2552" w:type="dxa"/>
            <w:gridSpan w:val="3"/>
          </w:tcPr>
          <w:p>
            <w:pPr>
              <w:pStyle w:val="nTable"/>
              <w:spacing w:after="40"/>
              <w:rPr>
                <w:spacing w:val="-2"/>
                <w:sz w:val="19"/>
              </w:rPr>
            </w:pPr>
            <w:r>
              <w:rPr>
                <w:sz w:val="19"/>
              </w:rPr>
              <w:t>8 Dec 2004 (see s. 2)</w:t>
            </w:r>
          </w:p>
        </w:tc>
      </w:tr>
      <w:tr>
        <w:trPr>
          <w:gridBefore w:val="1"/>
          <w:wBefore w:w="8" w:type="dxa"/>
          <w:cantSplit/>
        </w:trPr>
        <w:tc>
          <w:tcPr>
            <w:tcW w:w="7088" w:type="dxa"/>
            <w:gridSpan w:val="11"/>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gridBefore w:val="1"/>
          <w:wBefore w:w="8" w:type="dxa"/>
          <w:cantSplit/>
        </w:trPr>
        <w:tc>
          <w:tcPr>
            <w:tcW w:w="2280" w:type="dxa"/>
            <w:gridSpan w:val="2"/>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80" w:type="dxa"/>
            <w:gridSpan w:val="2"/>
          </w:tcPr>
          <w:p>
            <w:pPr>
              <w:pStyle w:val="nTable"/>
              <w:spacing w:after="40"/>
              <w:rPr>
                <w:sz w:val="19"/>
              </w:rPr>
            </w:pPr>
            <w:r>
              <w:rPr>
                <w:sz w:val="19"/>
              </w:rPr>
              <w:t>11 of 2005</w:t>
            </w:r>
          </w:p>
        </w:tc>
        <w:tc>
          <w:tcPr>
            <w:tcW w:w="1200" w:type="dxa"/>
            <w:gridSpan w:val="5"/>
          </w:tcPr>
          <w:p>
            <w:pPr>
              <w:pStyle w:val="nTable"/>
              <w:spacing w:after="40"/>
              <w:rPr>
                <w:sz w:val="19"/>
              </w:rPr>
            </w:pPr>
            <w:r>
              <w:rPr>
                <w:sz w:val="19"/>
              </w:rPr>
              <w:t>30 Aug 2005</w:t>
            </w:r>
          </w:p>
        </w:tc>
        <w:tc>
          <w:tcPr>
            <w:tcW w:w="2528"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Revenue Laws Amendment Act (No. 2) 2005</w:t>
            </w:r>
            <w:r>
              <w:rPr>
                <w:sz w:val="19"/>
              </w:rPr>
              <w:t xml:space="preserve"> Pt. 3</w:t>
            </w:r>
          </w:p>
        </w:tc>
        <w:tc>
          <w:tcPr>
            <w:tcW w:w="1021" w:type="dxa"/>
            <w:gridSpan w:val="2"/>
          </w:tcPr>
          <w:p>
            <w:pPr>
              <w:pStyle w:val="nTable"/>
              <w:spacing w:after="40"/>
              <w:rPr>
                <w:sz w:val="19"/>
              </w:rPr>
            </w:pPr>
            <w:r>
              <w:rPr>
                <w:sz w:val="19"/>
              </w:rPr>
              <w:t>12 of 2005</w:t>
            </w:r>
          </w:p>
        </w:tc>
        <w:tc>
          <w:tcPr>
            <w:tcW w:w="1134" w:type="dxa"/>
            <w:gridSpan w:val="2"/>
          </w:tcPr>
          <w:p>
            <w:pPr>
              <w:pStyle w:val="nTable"/>
              <w:spacing w:after="40"/>
              <w:rPr>
                <w:sz w:val="19"/>
              </w:rPr>
            </w:pPr>
            <w:r>
              <w:rPr>
                <w:sz w:val="19"/>
              </w:rPr>
              <w:t>30 Aug 2005</w:t>
            </w:r>
          </w:p>
        </w:tc>
        <w:tc>
          <w:tcPr>
            <w:tcW w:w="2552" w:type="dxa"/>
            <w:gridSpan w:val="3"/>
          </w:tcPr>
          <w:p>
            <w:pPr>
              <w:pStyle w:val="nTable"/>
              <w:spacing w:after="40"/>
              <w:rPr>
                <w:sz w:val="19"/>
              </w:rPr>
            </w:pPr>
            <w:r>
              <w:rPr>
                <w:sz w:val="19"/>
              </w:rPr>
              <w:t>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Stamp Amendment Act 2005</w:t>
            </w:r>
            <w:r>
              <w:rPr>
                <w:sz w:val="19"/>
              </w:rPr>
              <w:t> </w:t>
            </w:r>
            <w:r>
              <w:rPr>
                <w:sz w:val="19"/>
                <w:vertAlign w:val="superscript"/>
              </w:rPr>
              <w:t>49, 50</w:t>
            </w:r>
          </w:p>
        </w:tc>
        <w:tc>
          <w:tcPr>
            <w:tcW w:w="1021" w:type="dxa"/>
            <w:gridSpan w:val="2"/>
          </w:tcPr>
          <w:p>
            <w:pPr>
              <w:pStyle w:val="nTable"/>
              <w:spacing w:after="40"/>
              <w:rPr>
                <w:sz w:val="19"/>
              </w:rPr>
            </w:pPr>
            <w:r>
              <w:rPr>
                <w:sz w:val="19"/>
              </w:rPr>
              <w:t>34 of 2005</w:t>
            </w:r>
          </w:p>
        </w:tc>
        <w:tc>
          <w:tcPr>
            <w:tcW w:w="1134" w:type="dxa"/>
            <w:gridSpan w:val="2"/>
          </w:tcPr>
          <w:p>
            <w:pPr>
              <w:pStyle w:val="nTable"/>
              <w:spacing w:after="40"/>
              <w:rPr>
                <w:sz w:val="19"/>
              </w:rPr>
            </w:pPr>
            <w:r>
              <w:rPr>
                <w:sz w:val="19"/>
              </w:rPr>
              <w:t>12 Dec 2005</w:t>
            </w:r>
          </w:p>
        </w:tc>
        <w:tc>
          <w:tcPr>
            <w:tcW w:w="2552" w:type="dxa"/>
            <w:gridSpan w:val="3"/>
          </w:tcPr>
          <w:p>
            <w:pPr>
              <w:rPr>
                <w:sz w:val="20"/>
              </w:rPr>
            </w:pPr>
            <w:r>
              <w:rPr>
                <w:sz w:val="20"/>
              </w:rPr>
              <w:t>Act other than Pt. 3: 12 Dec 2005 (see s. 2);</w:t>
            </w:r>
          </w:p>
          <w:p>
            <w:pPr>
              <w:pStyle w:val="nTable"/>
              <w:spacing w:after="40"/>
              <w:rPr>
                <w:sz w:val="19"/>
              </w:rPr>
            </w:pPr>
            <w:r>
              <w:rPr>
                <w:sz w:val="20"/>
              </w:rPr>
              <w:t>Pt. 3: 1 Jan 2006 (see s. 2(2))</w:t>
            </w:r>
          </w:p>
        </w:tc>
      </w:tr>
      <w:tr>
        <w:tblPrEx>
          <w:tblCellMar>
            <w:left w:w="0" w:type="dxa"/>
            <w:right w:w="0" w:type="dxa"/>
          </w:tblCellMar>
        </w:tblPrEx>
        <w:trPr>
          <w:gridAfter w:val="1"/>
          <w:wAfter w:w="8" w:type="dxa"/>
          <w:cantSplit/>
        </w:trPr>
        <w:tc>
          <w:tcPr>
            <w:tcW w:w="2381" w:type="dxa"/>
            <w:gridSpan w:val="4"/>
            <w:tcBorders>
              <w:bottom w:val="single" w:sz="4" w:space="0" w:color="auto"/>
            </w:tcBorders>
          </w:tcPr>
          <w:p>
            <w:pPr>
              <w:pStyle w:val="nTable"/>
              <w:spacing w:after="40"/>
              <w:rPr>
                <w:sz w:val="19"/>
              </w:rPr>
            </w:pPr>
            <w:r>
              <w:rPr>
                <w:i/>
                <w:sz w:val="19"/>
              </w:rPr>
              <w:t>Stamp Amendment (Assessment) Act 2005</w:t>
            </w:r>
            <w:r>
              <w:rPr>
                <w:sz w:val="19"/>
              </w:rPr>
              <w:t xml:space="preserve"> s. 1-5 and 7 </w:t>
            </w:r>
            <w:r>
              <w:rPr>
                <w:sz w:val="19"/>
                <w:vertAlign w:val="superscript"/>
              </w:rPr>
              <w:t>52</w:t>
            </w:r>
          </w:p>
        </w:tc>
        <w:tc>
          <w:tcPr>
            <w:tcW w:w="1021" w:type="dxa"/>
            <w:gridSpan w:val="2"/>
            <w:tcBorders>
              <w:bottom w:val="single" w:sz="4" w:space="0" w:color="auto"/>
            </w:tcBorders>
          </w:tcPr>
          <w:p>
            <w:pPr>
              <w:pStyle w:val="nTable"/>
              <w:spacing w:after="40"/>
              <w:rPr>
                <w:sz w:val="19"/>
              </w:rPr>
            </w:pPr>
            <w:r>
              <w:rPr>
                <w:sz w:val="19"/>
              </w:rPr>
              <w:t>36 of 2005</w:t>
            </w:r>
          </w:p>
        </w:tc>
        <w:tc>
          <w:tcPr>
            <w:tcW w:w="1134" w:type="dxa"/>
            <w:gridSpan w:val="2"/>
            <w:tcBorders>
              <w:bottom w:val="single" w:sz="4" w:space="0" w:color="auto"/>
            </w:tcBorders>
          </w:tcPr>
          <w:p>
            <w:pPr>
              <w:pStyle w:val="nTable"/>
              <w:spacing w:after="40"/>
              <w:rPr>
                <w:sz w:val="19"/>
              </w:rPr>
            </w:pPr>
            <w:r>
              <w:rPr>
                <w:sz w:val="19"/>
              </w:rPr>
              <w:t>12 Dec 2005</w:t>
            </w:r>
          </w:p>
        </w:tc>
        <w:tc>
          <w:tcPr>
            <w:tcW w:w="2552" w:type="dxa"/>
            <w:gridSpan w:val="3"/>
            <w:tcBorders>
              <w:bottom w:val="single" w:sz="4" w:space="0" w:color="auto"/>
            </w:tcBorders>
          </w:tcPr>
          <w:p>
            <w:pPr>
              <w:pStyle w:val="nTable"/>
              <w:spacing w:after="40"/>
              <w:rPr>
                <w:sz w:val="19"/>
              </w:rPr>
            </w:pPr>
            <w:r>
              <w:rPr>
                <w:sz w:val="19"/>
              </w:rPr>
              <w:t>s. 1-4 and 7: 12 Dec 2005 (see s. 2(1));</w:t>
            </w:r>
          </w:p>
          <w:p>
            <w:pPr>
              <w:pStyle w:val="nTable"/>
              <w:spacing w:after="40"/>
              <w:rPr>
                <w:sz w:val="19"/>
              </w:rPr>
            </w:pPr>
            <w:r>
              <w:rPr>
                <w:sz w:val="19"/>
              </w:rPr>
              <w:t>s. 5: 1 Jul 1997 (see s. 2(2))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3" w:name="_Toc534778309"/>
      <w:bookmarkStart w:id="2184" w:name="_Toc7405063"/>
      <w:bookmarkStart w:id="2185" w:name="_Toc116703346"/>
      <w:bookmarkStart w:id="2186" w:name="_Toc125869180"/>
      <w:bookmarkStart w:id="2187" w:name="_Toc170192652"/>
      <w:r>
        <w:t>Provisions that have not come into operation</w:t>
      </w:r>
      <w:bookmarkEnd w:id="2183"/>
      <w:bookmarkEnd w:id="2184"/>
      <w:bookmarkEnd w:id="2185"/>
      <w:bookmarkEnd w:id="2186"/>
      <w:bookmarkEnd w:id="218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nil"/>
            </w:tcBorders>
          </w:tcPr>
          <w:p>
            <w:pPr>
              <w:pStyle w:val="nTable"/>
              <w:rPr>
                <w:snapToGrid w:val="0"/>
                <w:lang w:val="en-US"/>
              </w:rPr>
            </w:pPr>
            <w:r>
              <w:rPr>
                <w:sz w:val="19"/>
              </w:rPr>
              <w:t>17 of 2005</w:t>
            </w:r>
          </w:p>
        </w:tc>
        <w:tc>
          <w:tcPr>
            <w:tcW w:w="1200" w:type="dxa"/>
            <w:tcBorders>
              <w:bottom w:val="nil"/>
            </w:tcBorders>
          </w:tcPr>
          <w:p>
            <w:pPr>
              <w:pStyle w:val="nTable"/>
              <w:rPr>
                <w:snapToGrid w:val="0"/>
                <w:lang w:val="en-US"/>
              </w:rPr>
            </w:pPr>
            <w:r>
              <w:rPr>
                <w:sz w:val="19"/>
              </w:rPr>
              <w:t>5 Oct 2005</w:t>
            </w:r>
          </w:p>
        </w:tc>
        <w:tc>
          <w:tcPr>
            <w:tcW w:w="2528" w:type="dxa"/>
            <w:tcBorders>
              <w:bottom w:val="nil"/>
            </w:tcBorders>
          </w:tcPr>
          <w:p>
            <w:pPr>
              <w:pStyle w:val="nTable"/>
              <w:rPr>
                <w:snapToGrid w:val="0"/>
                <w:lang w:val="en-US"/>
              </w:rPr>
            </w:pPr>
            <w:r>
              <w:rPr>
                <w:sz w:val="19"/>
              </w:rPr>
              <w:t>To be proclaimed (see s. 2(3) and (4))</w:t>
            </w:r>
          </w:p>
        </w:tc>
      </w:tr>
      <w:tr>
        <w:tc>
          <w:tcPr>
            <w:tcW w:w="2280" w:type="dxa"/>
            <w:tcBorders>
              <w:top w:val="nil"/>
              <w:bottom w:val="nil"/>
            </w:tcBorders>
          </w:tcPr>
          <w:p>
            <w:pPr>
              <w:pStyle w:val="nTable"/>
              <w:rPr>
                <w:sz w:val="19"/>
              </w:rPr>
            </w:pPr>
            <w:r>
              <w:rPr>
                <w:i/>
                <w:sz w:val="19"/>
              </w:rPr>
              <w:t>Stamp Amendment (Taxing) Act 2005</w:t>
            </w:r>
            <w:r>
              <w:rPr>
                <w:sz w:val="19"/>
              </w:rPr>
              <w:t xml:space="preserve"> s. 4 and 5 </w:t>
            </w:r>
            <w:r>
              <w:rPr>
                <w:sz w:val="19"/>
                <w:vertAlign w:val="superscript"/>
              </w:rPr>
              <w:t>51</w:t>
            </w:r>
          </w:p>
        </w:tc>
        <w:tc>
          <w:tcPr>
            <w:tcW w:w="1080" w:type="dxa"/>
            <w:tcBorders>
              <w:top w:val="nil"/>
              <w:bottom w:val="nil"/>
            </w:tcBorders>
          </w:tcPr>
          <w:p>
            <w:pPr>
              <w:pStyle w:val="nTable"/>
              <w:rPr>
                <w:sz w:val="19"/>
              </w:rPr>
            </w:pPr>
            <w:r>
              <w:rPr>
                <w:sz w:val="19"/>
              </w:rPr>
              <w:t>35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 xml:space="preserve">1 Mar 2006 (see s. 2 and </w:t>
            </w:r>
            <w:r>
              <w:rPr>
                <w:i/>
                <w:iCs/>
                <w:sz w:val="19"/>
              </w:rPr>
              <w:t xml:space="preserve">Gazette </w:t>
            </w:r>
            <w:r>
              <w:rPr>
                <w:sz w:val="19"/>
              </w:rPr>
              <w:t>24 Jan 2006 p. 429)</w:t>
            </w:r>
          </w:p>
        </w:tc>
      </w:tr>
      <w:tr>
        <w:tc>
          <w:tcPr>
            <w:tcW w:w="2280" w:type="dxa"/>
            <w:tcBorders>
              <w:top w:val="nil"/>
              <w:bottom w:val="nil"/>
            </w:tcBorders>
          </w:tcPr>
          <w:p>
            <w:pPr>
              <w:pStyle w:val="nTable"/>
              <w:rPr>
                <w:sz w:val="19"/>
                <w:vertAlign w:val="superscript"/>
              </w:rPr>
            </w:pPr>
            <w:r>
              <w:rPr>
                <w:i/>
                <w:sz w:val="19"/>
              </w:rPr>
              <w:t>Stamp Amendment (Assessment) Act 2005</w:t>
            </w:r>
            <w:r>
              <w:rPr>
                <w:sz w:val="19"/>
              </w:rPr>
              <w:t xml:space="preserve"> s. 6 and 8 </w:t>
            </w:r>
            <w:r>
              <w:rPr>
                <w:sz w:val="19"/>
                <w:vertAlign w:val="superscript"/>
              </w:rPr>
              <w:t>53</w:t>
            </w:r>
          </w:p>
        </w:tc>
        <w:tc>
          <w:tcPr>
            <w:tcW w:w="1080" w:type="dxa"/>
            <w:tcBorders>
              <w:top w:val="nil"/>
              <w:bottom w:val="nil"/>
            </w:tcBorders>
          </w:tcPr>
          <w:p>
            <w:pPr>
              <w:pStyle w:val="nTable"/>
              <w:rPr>
                <w:sz w:val="19"/>
              </w:rPr>
            </w:pPr>
            <w:r>
              <w:rPr>
                <w:sz w:val="19"/>
              </w:rPr>
              <w:t>36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 xml:space="preserve">1 Mar 2006 (see s. 2(3) and </w:t>
            </w:r>
            <w:r>
              <w:rPr>
                <w:i/>
                <w:iCs/>
                <w:sz w:val="19"/>
              </w:rPr>
              <w:t xml:space="preserve">Gazette </w:t>
            </w:r>
            <w:r>
              <w:rPr>
                <w:sz w:val="19"/>
              </w:rPr>
              <w:t>24 Jan 2006 p. 429)</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54</w:t>
            </w:r>
          </w:p>
        </w:tc>
        <w:tc>
          <w:tcPr>
            <w:tcW w:w="1080" w:type="dxa"/>
            <w:tcBorders>
              <w:bottom w:val="single" w:sz="4" w:space="0" w:color="auto"/>
            </w:tcBorders>
          </w:tcPr>
          <w:p>
            <w:pPr>
              <w:pStyle w:val="nTable"/>
              <w:spacing w:before="100"/>
              <w:ind w:left="64"/>
              <w:rPr>
                <w:sz w:val="19"/>
              </w:rPr>
            </w:pPr>
            <w:r>
              <w:rPr>
                <w:sz w:val="19"/>
              </w:rPr>
              <w:t>38 of 2005</w:t>
            </w:r>
          </w:p>
        </w:tc>
        <w:tc>
          <w:tcPr>
            <w:tcW w:w="1200" w:type="dxa"/>
            <w:tcBorders>
              <w:bottom w:val="single" w:sz="4" w:space="0" w:color="auto"/>
            </w:tcBorders>
          </w:tcPr>
          <w:p>
            <w:pPr>
              <w:pStyle w:val="nTable"/>
              <w:spacing w:before="100"/>
              <w:ind w:left="64"/>
              <w:rPr>
                <w:sz w:val="19"/>
              </w:rPr>
            </w:pPr>
            <w:r>
              <w:rPr>
                <w:sz w:val="19"/>
              </w:rPr>
              <w:t>12 Dec 2005</w:t>
            </w:r>
          </w:p>
        </w:tc>
        <w:tc>
          <w:tcPr>
            <w:tcW w:w="2528" w:type="dxa"/>
            <w:tcBorders>
              <w:bottom w:val="single" w:sz="4" w:space="0" w:color="auto"/>
            </w:tcBorders>
          </w:tcPr>
          <w:p>
            <w:pPr>
              <w:pStyle w:val="nTable"/>
              <w:spacing w:before="100"/>
              <w:ind w:left="88"/>
              <w:rPr>
                <w:sz w:val="19"/>
              </w:rPr>
            </w:pPr>
            <w:r>
              <w:rPr>
                <w:sz w:val="19"/>
              </w:rPr>
              <w:t>To be proclaimed (see s. 2)</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2188" w:author="Mark Odwyer" w:date="2005-05-13T09:07: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2189" w:author="Mark Odwyer" w:date="2005-05-13T09:07: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190" w:name="_Toc103160669"/>
      <w:bookmarkStart w:id="2191" w:name="_Toc112652971"/>
      <w:bookmarkStart w:id="2192" w:name="_Toc112658839"/>
      <w:r>
        <w:rPr>
          <w:rStyle w:val="CharSectno"/>
        </w:rPr>
        <w:t>30</w:t>
      </w:r>
      <w:r>
        <w:t>.</w:t>
      </w:r>
      <w:r>
        <w:tab/>
        <w:t>Saving and transitional provisions</w:t>
      </w:r>
      <w:bookmarkEnd w:id="2190"/>
      <w:bookmarkEnd w:id="2191"/>
      <w:bookmarkEnd w:id="2192"/>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193" w:name="_Toc102877598"/>
      <w:bookmarkStart w:id="2194" w:name="_Toc115180712"/>
      <w:r>
        <w:rPr>
          <w:rStyle w:val="CharSectno"/>
        </w:rPr>
        <w:t>30</w:t>
      </w:r>
      <w:r>
        <w:t>.</w:t>
      </w:r>
      <w:r>
        <w:tab/>
      </w:r>
      <w:r>
        <w:rPr>
          <w:i/>
        </w:rPr>
        <w:t xml:space="preserve">Stamp Act 1921 </w:t>
      </w:r>
      <w:r>
        <w:t>amended</w:t>
      </w:r>
      <w:bookmarkEnd w:id="2193"/>
      <w:bookmarkEnd w:id="2194"/>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195" w:name="_Toc122241799"/>
      <w:bookmarkStart w:id="2196" w:name="_Toc122331087"/>
      <w:r>
        <w:rPr>
          <w:rStyle w:val="CharSectno"/>
        </w:rPr>
        <w:t>8</w:t>
      </w:r>
      <w:r>
        <w:t>.</w:t>
      </w:r>
      <w:r>
        <w:tab/>
        <w:t>Retrospective effect of certain provisions</w:t>
      </w:r>
      <w:bookmarkEnd w:id="2195"/>
      <w:bookmarkEnd w:id="2196"/>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51</w:t>
      </w:r>
      <w:r>
        <w:tab/>
      </w:r>
      <w:r>
        <w:rPr>
          <w:snapToGrid w:val="0"/>
        </w:rPr>
        <w:t xml:space="preserve">On the date as at which this compilation was prepared, the </w:t>
      </w:r>
      <w:r>
        <w:rPr>
          <w:i/>
          <w:noProof/>
          <w:snapToGrid w:val="0"/>
        </w:rPr>
        <w:t>Stamp Amendment (Taxing) Act 2005</w:t>
      </w:r>
      <w:r>
        <w:rPr>
          <w:noProof/>
          <w:snapToGrid w:val="0"/>
        </w:rPr>
        <w:t xml:space="preserve"> s. 4 and 5</w:t>
      </w:r>
      <w:r>
        <w:rPr>
          <w:snapToGrid w:val="0"/>
        </w:rPr>
        <w:t xml:space="preserve"> had not come into operation.  They read as follows:</w:t>
      </w:r>
    </w:p>
    <w:p>
      <w:pPr>
        <w:pStyle w:val="MiscOpen"/>
        <w:rPr>
          <w:snapToGrid w:val="0"/>
        </w:rPr>
      </w:pPr>
      <w:r>
        <w:rPr>
          <w:snapToGrid w:val="0"/>
        </w:rPr>
        <w:t>“</w:t>
      </w:r>
    </w:p>
    <w:p>
      <w:pPr>
        <w:pStyle w:val="nzHeading5"/>
      </w:pPr>
      <w:bookmarkStart w:id="2197" w:name="_Toc41895965"/>
      <w:bookmarkStart w:id="2198" w:name="_Toc104616910"/>
      <w:bookmarkStart w:id="2199" w:name="_Toc111349236"/>
      <w:bookmarkStart w:id="2200" w:name="_Toc111436302"/>
      <w:bookmarkStart w:id="2201" w:name="_Toc122340349"/>
      <w:r>
        <w:rPr>
          <w:rStyle w:val="CharSectno"/>
        </w:rPr>
        <w:t>4</w:t>
      </w:r>
      <w:r>
        <w:t>.</w:t>
      </w:r>
      <w:r>
        <w:tab/>
        <w:t xml:space="preserve">Second Schedule </w:t>
      </w:r>
      <w:bookmarkEnd w:id="2197"/>
      <w:bookmarkEnd w:id="2198"/>
      <w:r>
        <w:t>amended</w:t>
      </w:r>
      <w:bookmarkEnd w:id="2199"/>
      <w:bookmarkEnd w:id="2200"/>
      <w:bookmarkEnd w:id="2201"/>
    </w:p>
    <w:p>
      <w:pPr>
        <w:pStyle w:val="nzSubsection"/>
        <w:rPr>
          <w:rStyle w:val="CharSectno"/>
        </w:rPr>
      </w:pPr>
      <w:r>
        <w:tab/>
      </w:r>
      <w:r>
        <w:tab/>
        <w:t xml:space="preserve">The Second Schedule item 16 is deleted and the following item is inserted instead — </w:t>
      </w:r>
    </w:p>
    <w:p>
      <w:pPr>
        <w:pStyle w:val="MiscOpen"/>
        <w:ind w:firstLine="425"/>
      </w:pPr>
      <w:r>
        <w:t xml:space="preserve">“    </w:t>
      </w:r>
    </w:p>
    <w:tbl>
      <w:tblPr>
        <w:tblW w:w="0" w:type="auto"/>
        <w:tblInd w:w="964" w:type="dxa"/>
        <w:tblLayout w:type="fixed"/>
        <w:tblCellMar>
          <w:left w:w="113" w:type="dxa"/>
          <w:right w:w="113" w:type="dxa"/>
        </w:tblCellMar>
        <w:tblLook w:val="0000" w:firstRow="0" w:lastRow="0" w:firstColumn="0" w:lastColumn="0" w:noHBand="0" w:noVBand="0"/>
      </w:tblPr>
      <w:tblGrid>
        <w:gridCol w:w="469"/>
        <w:gridCol w:w="3000"/>
        <w:gridCol w:w="1440"/>
        <w:gridCol w:w="1200"/>
      </w:tblGrid>
      <w:tr>
        <w:tc>
          <w:tcPr>
            <w:tcW w:w="469" w:type="dxa"/>
          </w:tcPr>
          <w:p>
            <w:pPr>
              <w:pStyle w:val="nzTable"/>
            </w:pPr>
            <w:r>
              <w:rPr>
                <w:sz w:val="18"/>
              </w:rPr>
              <w:t>16.</w:t>
            </w:r>
          </w:p>
        </w:tc>
        <w:tc>
          <w:tcPr>
            <w:tcW w:w="3000" w:type="dxa"/>
          </w:tcPr>
          <w:p>
            <w:pPr>
              <w:pStyle w:val="nzTable"/>
            </w:pPr>
            <w:r>
              <w:rPr>
                <w:sz w:val="18"/>
              </w:rPr>
              <w:t>POLICY OF INSURANCE</w:t>
            </w:r>
          </w:p>
        </w:tc>
        <w:tc>
          <w:tcPr>
            <w:tcW w:w="1440" w:type="dxa"/>
          </w:tcPr>
          <w:p>
            <w:pPr>
              <w:pStyle w:val="yTable"/>
              <w:ind w:firstLine="29"/>
              <w:rPr>
                <w:sz w:val="18"/>
              </w:rPr>
            </w:pPr>
          </w:p>
        </w:tc>
        <w:tc>
          <w:tcPr>
            <w:tcW w:w="1200" w:type="dxa"/>
          </w:tcPr>
          <w:p>
            <w:pPr>
              <w:pStyle w:val="nzTable"/>
            </w:pPr>
          </w:p>
        </w:tc>
      </w:tr>
      <w:tr>
        <w:tc>
          <w:tcPr>
            <w:tcW w:w="469" w:type="dxa"/>
          </w:tcPr>
          <w:p>
            <w:pPr>
              <w:pStyle w:val="yTable"/>
              <w:rPr>
                <w:spacing w:val="-2"/>
                <w:sz w:val="18"/>
              </w:rPr>
            </w:pPr>
          </w:p>
        </w:tc>
        <w:tc>
          <w:tcPr>
            <w:tcW w:w="3000" w:type="dxa"/>
          </w:tcPr>
          <w:p>
            <w:pPr>
              <w:pStyle w:val="nzTable"/>
              <w:ind w:left="487" w:hanging="487"/>
            </w:pPr>
            <w:r>
              <w:rPr>
                <w:spacing w:val="-2"/>
                <w:sz w:val="18"/>
              </w:rPr>
              <w:t>(1)</w:t>
            </w:r>
            <w:r>
              <w:rPr>
                <w:spacing w:val="-2"/>
                <w:sz w:val="18"/>
              </w:rPr>
              <w:tab/>
              <w:t>A return under section 94 …….</w:t>
            </w:r>
          </w:p>
        </w:tc>
        <w:tc>
          <w:tcPr>
            <w:tcW w:w="1440" w:type="dxa"/>
          </w:tcPr>
          <w:p>
            <w:pPr>
              <w:pStyle w:val="nzTable"/>
            </w:pPr>
            <w:r>
              <w:rPr>
                <w:spacing w:val="-2"/>
                <w:sz w:val="18"/>
              </w:rPr>
              <w:t>See section 94A</w:t>
            </w:r>
          </w:p>
        </w:tc>
        <w:tc>
          <w:tcPr>
            <w:tcW w:w="1200" w:type="dxa"/>
          </w:tcPr>
          <w:p>
            <w:pPr>
              <w:pStyle w:val="nzTable"/>
            </w:pPr>
            <w:r>
              <w:rPr>
                <w:spacing w:val="-2"/>
                <w:sz w:val="18"/>
              </w:rPr>
              <w:t>The insurer</w:t>
            </w:r>
          </w:p>
        </w:tc>
      </w:tr>
      <w:tr>
        <w:tc>
          <w:tcPr>
            <w:tcW w:w="469" w:type="dxa"/>
          </w:tcPr>
          <w:p>
            <w:pPr>
              <w:pStyle w:val="yTable"/>
              <w:rPr>
                <w:spacing w:val="-2"/>
                <w:sz w:val="18"/>
              </w:rPr>
            </w:pPr>
          </w:p>
        </w:tc>
        <w:tc>
          <w:tcPr>
            <w:tcW w:w="3000" w:type="dxa"/>
          </w:tcPr>
          <w:p>
            <w:pPr>
              <w:pStyle w:val="nzTable"/>
              <w:ind w:left="487" w:hanging="487"/>
            </w:pPr>
            <w:r>
              <w:rPr>
                <w:spacing w:val="-2"/>
                <w:sz w:val="18"/>
              </w:rPr>
              <w:t>(2)</w:t>
            </w:r>
            <w:r>
              <w:rPr>
                <w:spacing w:val="-2"/>
                <w:sz w:val="18"/>
              </w:rPr>
              <w:tab/>
              <w:t xml:space="preserve">A statement under </w:t>
            </w:r>
            <w:r>
              <w:rPr>
                <w:spacing w:val="-2"/>
                <w:sz w:val="18"/>
              </w:rPr>
              <w:br/>
              <w:t>section 95A …………………..</w:t>
            </w:r>
          </w:p>
        </w:tc>
        <w:tc>
          <w:tcPr>
            <w:tcW w:w="1440" w:type="dxa"/>
          </w:tcPr>
          <w:p>
            <w:pPr>
              <w:pStyle w:val="nzTable"/>
            </w:pPr>
            <w:r>
              <w:rPr>
                <w:spacing w:val="-2"/>
                <w:sz w:val="18"/>
              </w:rPr>
              <w:br/>
              <w:t>See section 95A</w:t>
            </w:r>
          </w:p>
        </w:tc>
        <w:tc>
          <w:tcPr>
            <w:tcW w:w="1200" w:type="dxa"/>
          </w:tcPr>
          <w:p>
            <w:pPr>
              <w:pStyle w:val="nzTable"/>
            </w:pPr>
            <w:r>
              <w:rPr>
                <w:spacing w:val="-2"/>
                <w:sz w:val="18"/>
              </w:rPr>
              <w:t>The person required to lodge the statement</w:t>
            </w:r>
          </w:p>
        </w:tc>
      </w:tr>
    </w:tbl>
    <w:p>
      <w:pPr>
        <w:pStyle w:val="MiscClose"/>
        <w:ind w:right="136"/>
      </w:pPr>
      <w:r>
        <w:t>”.</w:t>
      </w:r>
    </w:p>
    <w:p>
      <w:pPr>
        <w:pStyle w:val="nzHeading5"/>
      </w:pPr>
      <w:bookmarkStart w:id="2202" w:name="_Toc104616911"/>
      <w:bookmarkStart w:id="2203" w:name="_Toc111349237"/>
      <w:bookmarkStart w:id="2204" w:name="_Toc111436303"/>
      <w:bookmarkStart w:id="2205" w:name="_Toc122340350"/>
      <w:r>
        <w:rPr>
          <w:rStyle w:val="CharSectno"/>
        </w:rPr>
        <w:t>5</w:t>
      </w:r>
      <w:r>
        <w:t>.</w:t>
      </w:r>
      <w:r>
        <w:tab/>
        <w:t xml:space="preserve">Third Schedule </w:t>
      </w:r>
      <w:bookmarkEnd w:id="2202"/>
      <w:r>
        <w:t>amended</w:t>
      </w:r>
      <w:bookmarkEnd w:id="2203"/>
      <w:bookmarkEnd w:id="2204"/>
      <w:bookmarkEnd w:id="2205"/>
    </w:p>
    <w:p>
      <w:pPr>
        <w:pStyle w:val="nzSubsection"/>
      </w:pPr>
      <w:r>
        <w:tab/>
      </w:r>
      <w:r>
        <w:tab/>
        <w:t>The Third Schedule item 8 is deleted.</w:t>
      </w:r>
    </w:p>
    <w:p>
      <w:pPr>
        <w:pStyle w:val="MiscClose"/>
      </w:pPr>
      <w:r>
        <w:t>”.</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w:t>
      </w:r>
      <w:r>
        <w:rPr>
          <w:i/>
          <w:noProof/>
          <w:snapToGrid w:val="0"/>
        </w:rPr>
        <w:t xml:space="preserve"> </w:t>
      </w:r>
      <w:r>
        <w:rPr>
          <w:snapToGrid w:val="0"/>
        </w:rPr>
        <w:t>reads as follows:</w:t>
      </w:r>
    </w:p>
    <w:p>
      <w:pPr>
        <w:pStyle w:val="MiscOpen"/>
        <w:rPr>
          <w:snapToGrid w:val="0"/>
        </w:rPr>
      </w:pPr>
      <w:r>
        <w:rPr>
          <w:snapToGrid w:val="0"/>
        </w:rPr>
        <w:t>“</w:t>
      </w:r>
    </w:p>
    <w:p>
      <w:pPr>
        <w:pStyle w:val="nzHeading5"/>
      </w:pPr>
      <w:bookmarkStart w:id="2206" w:name="_Toc85339015"/>
      <w:bookmarkStart w:id="2207" w:name="_Toc111349322"/>
      <w:bookmarkStart w:id="2208" w:name="_Toc111430349"/>
      <w:bookmarkStart w:id="2209" w:name="_Toc122240664"/>
      <w:bookmarkStart w:id="2210" w:name="_Toc122341085"/>
      <w:r>
        <w:rPr>
          <w:rStyle w:val="CharSectno"/>
        </w:rPr>
        <w:t>7</w:t>
      </w:r>
      <w:r>
        <w:t>.</w:t>
      </w:r>
      <w:r>
        <w:tab/>
        <w:t>Transitional provisions</w:t>
      </w:r>
      <w:bookmarkEnd w:id="2206"/>
      <w:r>
        <w:t> — offshore risk policies</w:t>
      </w:r>
      <w:bookmarkEnd w:id="2207"/>
      <w:bookmarkEnd w:id="2208"/>
      <w:bookmarkEnd w:id="2209"/>
      <w:bookmarkEnd w:id="2210"/>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MiscClose"/>
      </w:pPr>
      <w:r>
        <w:t>”.</w:t>
      </w:r>
    </w:p>
    <w:p>
      <w:pPr>
        <w:pStyle w:val="nSubsection"/>
        <w:rPr>
          <w:snapToGrid w:val="0"/>
        </w:rPr>
      </w:pPr>
      <w:r>
        <w:rPr>
          <w:vertAlign w:val="superscript"/>
        </w:rPr>
        <w:t>53</w:t>
      </w:r>
      <w:r>
        <w:tab/>
      </w:r>
      <w:r>
        <w:rPr>
          <w:snapToGrid w:val="0"/>
        </w:rPr>
        <w:t xml:space="preserve">On the date as at which this compilation was prepared, the </w:t>
      </w:r>
      <w:r>
        <w:rPr>
          <w:i/>
          <w:sz w:val="19"/>
        </w:rPr>
        <w:t>Stamp Amendment (Assessment) Act 2005</w:t>
      </w:r>
      <w:r>
        <w:rPr>
          <w:sz w:val="19"/>
        </w:rPr>
        <w:t xml:space="preserve"> s. 6 and 8</w:t>
      </w:r>
      <w:r>
        <w:rPr>
          <w:snapToGrid w:val="0"/>
        </w:rPr>
        <w:t xml:space="preserve"> had not come into operation.  They read as follows:</w:t>
      </w:r>
    </w:p>
    <w:p>
      <w:pPr>
        <w:pStyle w:val="MiscOpen"/>
        <w:rPr>
          <w:snapToGrid w:val="0"/>
        </w:rPr>
      </w:pPr>
      <w:r>
        <w:rPr>
          <w:snapToGrid w:val="0"/>
        </w:rPr>
        <w:t>“</w:t>
      </w:r>
    </w:p>
    <w:p>
      <w:pPr>
        <w:pStyle w:val="nzHeading5"/>
      </w:pPr>
      <w:bookmarkStart w:id="2211" w:name="_Toc111349321"/>
      <w:bookmarkStart w:id="2212" w:name="_Toc111430326"/>
      <w:bookmarkStart w:id="2213" w:name="_Toc122240641"/>
      <w:bookmarkStart w:id="2214" w:name="_Toc122341062"/>
      <w:r>
        <w:rPr>
          <w:rStyle w:val="CharSectno"/>
        </w:rPr>
        <w:t>6</w:t>
      </w:r>
      <w:r>
        <w:t>.</w:t>
      </w:r>
      <w:r>
        <w:tab/>
        <w:t>Part IIIF replaced</w:t>
      </w:r>
      <w:bookmarkEnd w:id="2211"/>
      <w:bookmarkEnd w:id="2212"/>
      <w:bookmarkEnd w:id="2213"/>
      <w:bookmarkEnd w:id="2214"/>
    </w:p>
    <w:p>
      <w:pPr>
        <w:pStyle w:val="nzSubsection"/>
      </w:pPr>
      <w:r>
        <w:tab/>
      </w:r>
      <w:r>
        <w:tab/>
        <w:t xml:space="preserve">Part IIIF is repealed and the following Part is inserted instead — </w:t>
      </w:r>
    </w:p>
    <w:p>
      <w:pPr>
        <w:pStyle w:val="MiscOpen"/>
      </w:pPr>
      <w:r>
        <w:t xml:space="preserve">“    </w:t>
      </w:r>
    </w:p>
    <w:p>
      <w:pPr>
        <w:pStyle w:val="nzHeading2"/>
        <w:spacing w:before="0"/>
      </w:pPr>
      <w:bookmarkStart w:id="2215" w:name="_Toc111425674"/>
      <w:bookmarkStart w:id="2216" w:name="_Toc111425718"/>
      <w:bookmarkStart w:id="2217" w:name="_Toc111426716"/>
      <w:bookmarkStart w:id="2218" w:name="_Toc111430327"/>
      <w:bookmarkStart w:id="2219" w:name="_Toc111430608"/>
      <w:bookmarkStart w:id="2220" w:name="_Toc111430632"/>
      <w:bookmarkStart w:id="2221" w:name="_Toc111430675"/>
      <w:bookmarkStart w:id="2222" w:name="_Toc111430706"/>
      <w:bookmarkStart w:id="2223" w:name="_Toc121296995"/>
      <w:bookmarkStart w:id="2224" w:name="_Toc121297076"/>
      <w:bookmarkStart w:id="2225" w:name="_Toc121297107"/>
      <w:bookmarkStart w:id="2226" w:name="_Toc121302890"/>
      <w:bookmarkStart w:id="2227" w:name="_Toc122240642"/>
      <w:bookmarkStart w:id="2228" w:name="_Toc122341063"/>
      <w:r>
        <w:t>Part IIIF</w:t>
      </w:r>
      <w:r>
        <w:rPr>
          <w:b w:val="0"/>
        </w:rPr>
        <w:t> </w:t>
      </w:r>
      <w:r>
        <w:t>—</w:t>
      </w:r>
      <w:r>
        <w:rPr>
          <w:b w:val="0"/>
        </w:rPr>
        <w:t> </w:t>
      </w:r>
      <w:r>
        <w:t>Insurance</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nzHeading3"/>
      </w:pPr>
      <w:bookmarkStart w:id="2229" w:name="_Toc111425675"/>
      <w:bookmarkStart w:id="2230" w:name="_Toc111425719"/>
      <w:bookmarkStart w:id="2231" w:name="_Toc111426717"/>
      <w:bookmarkStart w:id="2232" w:name="_Toc111430328"/>
      <w:bookmarkStart w:id="2233" w:name="_Toc111430609"/>
      <w:bookmarkStart w:id="2234" w:name="_Toc111430633"/>
      <w:bookmarkStart w:id="2235" w:name="_Toc111430676"/>
      <w:bookmarkStart w:id="2236" w:name="_Toc111430707"/>
      <w:bookmarkStart w:id="2237" w:name="_Toc121296996"/>
      <w:bookmarkStart w:id="2238" w:name="_Toc121297077"/>
      <w:bookmarkStart w:id="2239" w:name="_Toc121297108"/>
      <w:bookmarkStart w:id="2240" w:name="_Toc121302891"/>
      <w:bookmarkStart w:id="2241" w:name="_Toc122240643"/>
      <w:bookmarkStart w:id="2242" w:name="_Toc122341064"/>
      <w:r>
        <w:t>Division 1 — Interpretation in Part IIIF and connection to the State</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nzHeading2"/>
        <w:spacing w:before="0"/>
      </w:pPr>
      <w:bookmarkStart w:id="2243" w:name="_Toc111430329"/>
      <w:bookmarkStart w:id="2244" w:name="_Toc122240644"/>
      <w:bookmarkStart w:id="2245" w:name="_Toc122341065"/>
      <w:r>
        <w:t>92.</w:t>
      </w:r>
      <w:r>
        <w:tab/>
        <w:t>Terms used in this Part</w:t>
      </w:r>
      <w:bookmarkEnd w:id="2243"/>
      <w:bookmarkEnd w:id="2244"/>
      <w:bookmarkEnd w:id="2245"/>
    </w:p>
    <w:p>
      <w:pPr>
        <w:pStyle w:val="nzSubsection"/>
      </w:pPr>
      <w:r>
        <w:tab/>
      </w:r>
      <w:r>
        <w:tab/>
        <w:t xml:space="preserve">In this Part, unless the contrary intention appears — </w:t>
      </w:r>
    </w:p>
    <w:p>
      <w:pPr>
        <w:pStyle w:val="nz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nz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nz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nzDefstart"/>
      </w:pPr>
      <w:r>
        <w:rPr>
          <w:b/>
        </w:rPr>
        <w:tab/>
        <w:t>“</w:t>
      </w:r>
      <w:r>
        <w:rPr>
          <w:rStyle w:val="CharDefText"/>
        </w:rPr>
        <w:t>Division 4 insurer</w:t>
      </w:r>
      <w:r>
        <w:rPr>
          <w:b/>
        </w:rPr>
        <w:t>”</w:t>
      </w:r>
      <w:r>
        <w:t xml:space="preserve"> has the meaning given to that term in section 95;</w:t>
      </w:r>
    </w:p>
    <w:p>
      <w:pPr>
        <w:pStyle w:val="nzDefstart"/>
      </w:pPr>
      <w:r>
        <w:rPr>
          <w:b/>
        </w:rPr>
        <w:tab/>
        <w:t>“</w:t>
      </w:r>
      <w:r>
        <w:rPr>
          <w:rStyle w:val="CharDefText"/>
        </w:rPr>
        <w:t>financial services licensee</w:t>
      </w:r>
      <w:r>
        <w:rPr>
          <w:b/>
        </w:rPr>
        <w:t>”</w:t>
      </w:r>
      <w:r>
        <w:t xml:space="preserve"> has the meaning given to that term in section 761A of the Corporations Act;</w:t>
      </w:r>
    </w:p>
    <w:p>
      <w:pPr>
        <w:pStyle w:val="nzDefstart"/>
      </w:pPr>
      <w:r>
        <w:rPr>
          <w:b/>
        </w:rPr>
        <w:tab/>
        <w:t>“</w:t>
      </w:r>
      <w:r>
        <w:rPr>
          <w:rStyle w:val="CharDefText"/>
        </w:rPr>
        <w:t>general insurance</w:t>
      </w:r>
      <w:r>
        <w:rPr>
          <w:b/>
        </w:rPr>
        <w:t>”</w:t>
      </w:r>
      <w:r>
        <w:t xml:space="preserve"> has the meaning given to that term in section 92A;</w:t>
      </w:r>
    </w:p>
    <w:p>
      <w:pPr>
        <w:pStyle w:val="nzDefstart"/>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nzDefstart"/>
      </w:pPr>
      <w:r>
        <w:rPr>
          <w:b/>
        </w:rPr>
        <w:tab/>
        <w:t>“</w:t>
      </w:r>
      <w:r>
        <w:rPr>
          <w:rStyle w:val="CharDefText"/>
        </w:rPr>
        <w:t>instalment</w:t>
      </w:r>
      <w:r>
        <w:rPr>
          <w:b/>
        </w:rPr>
        <w:t>”</w:t>
      </w:r>
      <w:r>
        <w:t xml:space="preserve"> means a portion of a premium;</w:t>
      </w:r>
    </w:p>
    <w:p>
      <w:pPr>
        <w:pStyle w:val="nzDefstart"/>
      </w:pPr>
      <w:r>
        <w:rPr>
          <w:b/>
        </w:rPr>
        <w:tab/>
        <w:t>“</w:t>
      </w:r>
      <w:r>
        <w:rPr>
          <w:rStyle w:val="CharDefText"/>
        </w:rPr>
        <w:t>insurer</w:t>
      </w:r>
      <w:r>
        <w:rPr>
          <w:b/>
        </w:rPr>
        <w:t>”</w:t>
      </w:r>
      <w:r>
        <w:t xml:space="preserve"> means the Insurance Commission of Western Australia or a person who — </w:t>
      </w:r>
    </w:p>
    <w:p>
      <w:pPr>
        <w:pStyle w:val="nzDefpara"/>
      </w:pPr>
      <w:r>
        <w:tab/>
        <w:t>(a)</w:t>
      </w:r>
      <w:r>
        <w:tab/>
        <w:t>writes general insurance otherwise than as an intermediary of an insurer (including a Division 4 insurer); and</w:t>
      </w:r>
    </w:p>
    <w:p>
      <w:pPr>
        <w:pStyle w:val="nzDefpara"/>
      </w:pPr>
      <w:r>
        <w:tab/>
        <w:t>(b)</w:t>
      </w:r>
      <w:r>
        <w:tab/>
        <w:t xml:space="preserve">is either — </w:t>
      </w:r>
    </w:p>
    <w:p>
      <w:pPr>
        <w:pStyle w:val="nzDefsubpara"/>
      </w:pPr>
      <w:r>
        <w:tab/>
        <w:t>(i)</w:t>
      </w:r>
      <w:r>
        <w:tab/>
        <w:t xml:space="preserve">authorised under the </w:t>
      </w:r>
      <w:r>
        <w:rPr>
          <w:i/>
        </w:rPr>
        <w:t>Insurance Act 1973</w:t>
      </w:r>
      <w:r>
        <w:t xml:space="preserve"> of the Commonwealth; or</w:t>
      </w:r>
    </w:p>
    <w:p>
      <w:pPr>
        <w:pStyle w:val="nzDefsubpara"/>
      </w:pPr>
      <w:r>
        <w:tab/>
        <w:t>(ii)</w:t>
      </w:r>
      <w:r>
        <w:tab/>
        <w:t xml:space="preserve">registered under the </w:t>
      </w:r>
      <w:r>
        <w:rPr>
          <w:i/>
        </w:rPr>
        <w:t>Life Insurance Act 1995</w:t>
      </w:r>
      <w:r>
        <w:t xml:space="preserve"> of the Commonwealth;</w:t>
      </w:r>
    </w:p>
    <w:p>
      <w:pPr>
        <w:pStyle w:val="nzDefstart"/>
      </w:pPr>
      <w:r>
        <w:rPr>
          <w:b/>
        </w:rPr>
        <w:tab/>
        <w:t>“</w:t>
      </w:r>
      <w:r>
        <w:rPr>
          <w:rStyle w:val="CharDefText"/>
        </w:rPr>
        <w:t>intermediary</w:t>
      </w:r>
      <w:r>
        <w:rPr>
          <w:b/>
        </w:rPr>
        <w:t>”</w:t>
      </w:r>
      <w:r>
        <w:t xml:space="preserve">, of an insurer, means — </w:t>
      </w:r>
    </w:p>
    <w:p>
      <w:pPr>
        <w:pStyle w:val="nzDefpara"/>
      </w:pPr>
      <w:r>
        <w:tab/>
        <w:t>(a)</w:t>
      </w:r>
      <w:r>
        <w:tab/>
        <w:t>a representative of the insurer; or</w:t>
      </w:r>
    </w:p>
    <w:p>
      <w:pPr>
        <w:pStyle w:val="nzDefpara"/>
      </w:pPr>
      <w:r>
        <w:tab/>
        <w:t>(b)</w:t>
      </w:r>
      <w:r>
        <w:tab/>
        <w:t>a financial services licensee, who is not otherwise a representative of the insurer, who arranges or effects insurance for or with the insurer;</w:t>
      </w:r>
    </w:p>
    <w:p>
      <w:pPr>
        <w:pStyle w:val="nz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nzDefstart"/>
      </w:pPr>
      <w:r>
        <w:rPr>
          <w:b/>
        </w:rPr>
        <w:tab/>
        <w:t>“</w:t>
      </w:r>
      <w:r>
        <w:rPr>
          <w:rStyle w:val="CharDefText"/>
        </w:rPr>
        <w:t>offshore risk insurance</w:t>
      </w:r>
      <w:r>
        <w:rPr>
          <w:b/>
        </w:rPr>
        <w:t>”</w:t>
      </w:r>
      <w:r>
        <w:t xml:space="preserve"> means any kind of insurance that is applicable to — </w:t>
      </w:r>
    </w:p>
    <w:p>
      <w:pPr>
        <w:pStyle w:val="nzDefpara"/>
      </w:pPr>
      <w:r>
        <w:tab/>
        <w:t>(a)</w:t>
      </w:r>
      <w:r>
        <w:tab/>
        <w:t>property outside Australia; or</w:t>
      </w:r>
    </w:p>
    <w:p>
      <w:pPr>
        <w:pStyle w:val="nzDefpara"/>
      </w:pPr>
      <w:r>
        <w:tab/>
        <w:t>(b)</w:t>
      </w:r>
      <w:r>
        <w:tab/>
        <w:t>any liability, loss or damage that arises or is brought about as a result of the occurrence of an event outside Australia;</w:t>
      </w:r>
    </w:p>
    <w:p>
      <w:pPr>
        <w:pStyle w:val="nz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nzDefpara"/>
      </w:pPr>
      <w:r>
        <w:tab/>
        <w:t>(a)</w:t>
      </w:r>
      <w:r>
        <w:tab/>
        <w:t>an amount paid to an intermediary of the insurer by the insured person as a fee if the amount can be clearly identified as a fee; or</w:t>
      </w:r>
    </w:p>
    <w:p>
      <w:pPr>
        <w:pStyle w:val="nzDefpara"/>
      </w:pPr>
      <w:r>
        <w:tab/>
        <w:t>(b)</w:t>
      </w:r>
      <w:r>
        <w:tab/>
        <w:t>an amount paid on account of duty under this Part or interstate duty;</w:t>
      </w:r>
    </w:p>
    <w:p>
      <w:pPr>
        <w:pStyle w:val="nzDefstart"/>
      </w:pPr>
      <w:r>
        <w:rPr>
          <w:b/>
        </w:rPr>
        <w:tab/>
        <w:t>“</w:t>
      </w:r>
      <w:r>
        <w:rPr>
          <w:rStyle w:val="CharDefText"/>
        </w:rPr>
        <w:t>registered insurer</w:t>
      </w:r>
      <w:r>
        <w:rPr>
          <w:b/>
        </w:rPr>
        <w:t>”</w:t>
      </w:r>
      <w:r>
        <w:t xml:space="preserve"> means an insurer who is registered under section 93A;</w:t>
      </w:r>
    </w:p>
    <w:p>
      <w:pPr>
        <w:pStyle w:val="nz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nz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nzDefstart"/>
      </w:pPr>
      <w:r>
        <w:rPr>
          <w:b/>
        </w:rPr>
        <w:tab/>
        <w:t>“</w:t>
      </w:r>
      <w:r>
        <w:rPr>
          <w:rStyle w:val="CharDefText"/>
        </w:rPr>
        <w:t>representative</w:t>
      </w:r>
      <w:r>
        <w:rPr>
          <w:b/>
        </w:rPr>
        <w:t>”</w:t>
      </w:r>
      <w:r>
        <w:t xml:space="preserve"> has the meaning given to that term in section 910A of the Corporations Act;</w:t>
      </w:r>
    </w:p>
    <w:p>
      <w:pPr>
        <w:pStyle w:val="nzDefstart"/>
      </w:pPr>
      <w:r>
        <w:rPr>
          <w:b/>
        </w:rPr>
        <w:tab/>
        <w:t>“</w:t>
      </w:r>
      <w:r>
        <w:rPr>
          <w:rStyle w:val="CharDefText"/>
        </w:rPr>
        <w:t>return period</w:t>
      </w:r>
      <w:r>
        <w:rPr>
          <w:b/>
        </w:rPr>
        <w:t>”</w:t>
      </w:r>
      <w:r>
        <w:t>,</w:t>
      </w:r>
      <w:r>
        <w:rPr>
          <w:b/>
        </w:rPr>
        <w:t xml:space="preserve"> </w:t>
      </w:r>
      <w:r>
        <w:t>of a registered insurer, has the meaning given in section 94B.</w:t>
      </w:r>
    </w:p>
    <w:p>
      <w:pPr>
        <w:pStyle w:val="nzHeading5"/>
      </w:pPr>
      <w:bookmarkStart w:id="2246" w:name="_Toc111430330"/>
      <w:bookmarkStart w:id="2247" w:name="_Toc122240645"/>
      <w:bookmarkStart w:id="2248" w:name="_Toc122341066"/>
      <w:r>
        <w:t>92A.</w:t>
      </w:r>
      <w:r>
        <w:tab/>
        <w:t>Meaning of general insurance and connection to the State</w:t>
      </w:r>
      <w:bookmarkEnd w:id="2246"/>
      <w:bookmarkEnd w:id="2247"/>
      <w:bookmarkEnd w:id="2248"/>
    </w:p>
    <w:p>
      <w:pPr>
        <w:pStyle w:val="nzSubsection"/>
      </w:pPr>
      <w:r>
        <w:tab/>
        <w:t>(1)</w:t>
      </w:r>
      <w:r>
        <w:tab/>
      </w:r>
      <w:r>
        <w:rPr>
          <w:b/>
        </w:rPr>
        <w:t>“</w:t>
      </w:r>
      <w:r>
        <w:rPr>
          <w:rStyle w:val="CharDefText"/>
        </w:rPr>
        <w:t>General insurance</w:t>
      </w:r>
      <w:r>
        <w:rPr>
          <w:b/>
        </w:rPr>
        <w:t>”</w:t>
      </w:r>
      <w:r>
        <w:t xml:space="preserve"> means any kind of insurance that is applicable to — </w:t>
      </w:r>
    </w:p>
    <w:p>
      <w:pPr>
        <w:pStyle w:val="nzIndenta"/>
      </w:pPr>
      <w:r>
        <w:tab/>
        <w:t>(a)</w:t>
      </w:r>
      <w:r>
        <w:tab/>
        <w:t>property in Western Australia; or</w:t>
      </w:r>
    </w:p>
    <w:p>
      <w:pPr>
        <w:pStyle w:val="nzIndenta"/>
      </w:pPr>
      <w:r>
        <w:tab/>
        <w:t>(b)</w:t>
      </w:r>
      <w:r>
        <w:tab/>
        <w:t>a risk, contingency or event concerning an act or omission that, in the normal course of events, may occur within, or partly within, Western Australia,</w:t>
      </w:r>
    </w:p>
    <w:p>
      <w:pPr>
        <w:pStyle w:val="nzSubsection"/>
      </w:pPr>
      <w:r>
        <w:tab/>
      </w:r>
      <w:r>
        <w:tab/>
        <w:t>or both.</w:t>
      </w:r>
    </w:p>
    <w:p>
      <w:pPr>
        <w:pStyle w:val="nzSubsection"/>
      </w:pPr>
      <w:r>
        <w:tab/>
        <w:t>(2)</w:t>
      </w:r>
      <w:r>
        <w:tab/>
        <w:t xml:space="preserve">General insurance does not include any of the following — </w:t>
      </w:r>
    </w:p>
    <w:p>
      <w:pPr>
        <w:pStyle w:val="nzIndenta"/>
      </w:pPr>
      <w:r>
        <w:tab/>
        <w:t>(a)</w:t>
      </w:r>
      <w:r>
        <w:tab/>
        <w:t>life insurance;</w:t>
      </w:r>
    </w:p>
    <w:p>
      <w:pPr>
        <w:pStyle w:val="nzIndenta"/>
      </w:pPr>
      <w:r>
        <w:tab/>
        <w:t>(b)</w:t>
      </w:r>
      <w:r>
        <w:tab/>
        <w:t xml:space="preserve">insurance against an employer’s liability to pay compensation under the </w:t>
      </w:r>
      <w:r>
        <w:rPr>
          <w:i/>
        </w:rPr>
        <w:t>Workers’ Compensation and Injury Management Act 1981</w:t>
      </w:r>
      <w:r>
        <w:t>;</w:t>
      </w:r>
    </w:p>
    <w:p>
      <w:pPr>
        <w:pStyle w:val="nzIndenta"/>
      </w:pPr>
      <w:r>
        <w:tab/>
        <w:t>(c)</w:t>
      </w:r>
      <w:r>
        <w:tab/>
        <w:t>reinsurance;</w:t>
      </w:r>
    </w:p>
    <w:p>
      <w:pPr>
        <w:pStyle w:val="nzIndenta"/>
      </w:pPr>
      <w:r>
        <w:tab/>
        <w:t>(d)</w:t>
      </w:r>
      <w:r>
        <w:tab/>
      </w:r>
      <w:r>
        <w:rPr>
          <w:snapToGrid w:val="0"/>
        </w:rPr>
        <w:t>insurance in respect of goods in the course of being transported, whether by rail, road, air or sea, and whether within Western Australia or elsewhere;</w:t>
      </w:r>
    </w:p>
    <w:p>
      <w:pPr>
        <w:pStyle w:val="nzIndenta"/>
      </w:pPr>
      <w:r>
        <w:tab/>
        <w:t>(e)</w:t>
      </w:r>
      <w:r>
        <w:tab/>
      </w:r>
      <w:r>
        <w:rPr>
          <w:snapToGrid w:val="0"/>
        </w:rPr>
        <w:t>insurance in respect of a marine hull used primarily for commercial purposes;</w:t>
      </w:r>
    </w:p>
    <w:p>
      <w:pPr>
        <w:pStyle w:val="nzIndenta"/>
      </w:pPr>
      <w:r>
        <w:tab/>
        <w:t>(f)</w:t>
      </w:r>
      <w:r>
        <w:tab/>
      </w:r>
      <w:r>
        <w:rPr>
          <w:snapToGrid w:val="0"/>
        </w:rPr>
        <w:t>insurance effected by an exempt body (as defined in section 119);</w:t>
      </w:r>
    </w:p>
    <w:p>
      <w:pPr>
        <w:pStyle w:val="nzIndenta"/>
      </w:pPr>
      <w:r>
        <w:tab/>
        <w:t>(g)</w:t>
      </w:r>
      <w:r>
        <w:tab/>
        <w:t>insurance issued by a registered organisation in the course of its health insurance business;</w:t>
      </w:r>
    </w:p>
    <w:p>
      <w:pPr>
        <w:pStyle w:val="nzIndenta"/>
      </w:pPr>
      <w:r>
        <w:tab/>
        <w:t>(h)</w:t>
      </w:r>
      <w:r>
        <w:tab/>
        <w:t>insurance under the Defence Service Homes Insurance Scheme;</w:t>
      </w:r>
    </w:p>
    <w:p>
      <w:pPr>
        <w:pStyle w:val="nzIndenta"/>
      </w:pPr>
      <w:r>
        <w:tab/>
        <w:t>(i)</w:t>
      </w:r>
      <w:r>
        <w:tab/>
        <w:t>offshore risk insurance;</w:t>
      </w:r>
    </w:p>
    <w:p>
      <w:pPr>
        <w:pStyle w:val="nzIndenta"/>
      </w:pPr>
      <w:r>
        <w:tab/>
        <w:t>(j)</w:t>
      </w:r>
      <w:r>
        <w:tab/>
        <w:t>insurance of a class prescribed by the regulations.</w:t>
      </w:r>
    </w:p>
    <w:p>
      <w:pPr>
        <w:pStyle w:val="nzHeading5"/>
      </w:pPr>
      <w:bookmarkStart w:id="2249" w:name="_Toc111430331"/>
      <w:bookmarkStart w:id="2250" w:name="_Toc122240646"/>
      <w:bookmarkStart w:id="2251" w:name="_Toc122341067"/>
      <w:r>
        <w:t>92B.</w:t>
      </w:r>
      <w:r>
        <w:tab/>
        <w:t>Additional insurance — life riders</w:t>
      </w:r>
      <w:bookmarkEnd w:id="2249"/>
      <w:bookmarkEnd w:id="2250"/>
      <w:bookmarkEnd w:id="2251"/>
    </w:p>
    <w:p>
      <w:pPr>
        <w:pStyle w:val="nzSubsection"/>
      </w:pPr>
      <w:r>
        <w:tab/>
        <w:t>(1)</w:t>
      </w:r>
      <w:r>
        <w:tab/>
        <w:t>This section does not apply to a policy of life insurance unless the insured person’s place of residence is in Western Australia.</w:t>
      </w:r>
    </w:p>
    <w:p>
      <w:pPr>
        <w:pStyle w:val="nzSubsection"/>
      </w:pPr>
      <w:r>
        <w:tab/>
        <w:t>(2)</w:t>
      </w:r>
      <w:r>
        <w:tab/>
        <w:t>If —</w:t>
      </w:r>
    </w:p>
    <w:p>
      <w:pPr>
        <w:pStyle w:val="nz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nzIndenta"/>
      </w:pPr>
      <w:r>
        <w:tab/>
        <w:t>(b)</w:t>
      </w:r>
      <w:r>
        <w:tab/>
        <w:t>an identifiable part of the premium payable in respect of the policy is attributable to the additional insurance,</w:t>
      </w:r>
    </w:p>
    <w:p>
      <w:pPr>
        <w:pStyle w:val="nzSubsection"/>
      </w:pPr>
      <w:r>
        <w:tab/>
      </w:r>
      <w:r>
        <w:tab/>
        <w:t>then the additional insurance provided under or in accordance with the policy is to be taken to be general insurance and not life insurance.</w:t>
      </w:r>
    </w:p>
    <w:p>
      <w:pPr>
        <w:pStyle w:val="nzSubsection"/>
      </w:pPr>
      <w:r>
        <w:tab/>
        <w:t>(3)</w:t>
      </w:r>
      <w:r>
        <w:tab/>
        <w:t>Subsection (2) applies —</w:t>
      </w:r>
    </w:p>
    <w:p>
      <w:pPr>
        <w:pStyle w:val="nzIndenta"/>
      </w:pPr>
      <w:r>
        <w:tab/>
        <w:t>(a)</w:t>
      </w:r>
      <w:r>
        <w:tab/>
        <w:t>whether or not the life insurance and the additional insurance are distinct matters for the purposes of section 19; and</w:t>
      </w:r>
    </w:p>
    <w:p>
      <w:pPr>
        <w:pStyle w:val="nzIndenta"/>
      </w:pPr>
      <w:r>
        <w:tab/>
        <w:t>(b)</w:t>
      </w:r>
      <w:r>
        <w:tab/>
        <w:t>whether or not payment of a benefit under the additional insurance component of the policy —</w:t>
      </w:r>
    </w:p>
    <w:p>
      <w:pPr>
        <w:pStyle w:val="nzIndenti"/>
      </w:pPr>
      <w:r>
        <w:tab/>
        <w:t>(i)</w:t>
      </w:r>
      <w:r>
        <w:tab/>
        <w:t>will or may reduce the benefit payable under the life insurance component of the policy; or</w:t>
      </w:r>
    </w:p>
    <w:p>
      <w:pPr>
        <w:pStyle w:val="nzIndenti"/>
      </w:pPr>
      <w:r>
        <w:tab/>
        <w:t>(ii)</w:t>
      </w:r>
      <w:r>
        <w:tab/>
        <w:t>will or may terminate the policy.</w:t>
      </w:r>
    </w:p>
    <w:p>
      <w:pPr>
        <w:pStyle w:val="nzHeading5"/>
      </w:pPr>
      <w:bookmarkStart w:id="2252" w:name="_Toc111430332"/>
      <w:bookmarkStart w:id="2253" w:name="_Toc122240647"/>
      <w:bookmarkStart w:id="2254" w:name="_Toc122341068"/>
      <w:r>
        <w:t>92C.</w:t>
      </w:r>
      <w:r>
        <w:tab/>
        <w:t>Payment of premiums</w:t>
      </w:r>
      <w:bookmarkEnd w:id="2252"/>
      <w:bookmarkEnd w:id="2253"/>
      <w:bookmarkEnd w:id="2254"/>
    </w:p>
    <w:p>
      <w:pPr>
        <w:pStyle w:val="nzSubsection"/>
      </w:pPr>
      <w:r>
        <w:tab/>
        <w:t>(1)</w:t>
      </w:r>
      <w:r>
        <w:tab/>
        <w:t xml:space="preserve">For the purposes of this Part, a premium, or an instalment, is paid when the first of the following events occurs — </w:t>
      </w:r>
    </w:p>
    <w:p>
      <w:pPr>
        <w:pStyle w:val="nzIndenta"/>
      </w:pPr>
      <w:r>
        <w:tab/>
        <w:t>(a)</w:t>
      </w:r>
      <w:r>
        <w:tab/>
        <w:t>the premium or instalment is received by the insurer; or</w:t>
      </w:r>
    </w:p>
    <w:p>
      <w:pPr>
        <w:pStyle w:val="nzIndenta"/>
      </w:pPr>
      <w:r>
        <w:tab/>
        <w:t>(b)</w:t>
      </w:r>
      <w:r>
        <w:tab/>
        <w:t>an account of the insurer is credited with the amount of the premium or instalment.</w:t>
      </w:r>
    </w:p>
    <w:p>
      <w:pPr>
        <w:pStyle w:val="nz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nzSubsection"/>
      </w:pPr>
      <w:r>
        <w:tab/>
        <w:t>(3)</w:t>
      </w:r>
      <w:r>
        <w:tab/>
        <w:t>In this section, a reference to an insurer includes a reference to a Division 4 insurer.</w:t>
      </w:r>
    </w:p>
    <w:p>
      <w:pPr>
        <w:pStyle w:val="nzHeading3"/>
      </w:pPr>
      <w:bookmarkStart w:id="2255" w:name="_Toc111425676"/>
      <w:bookmarkStart w:id="2256" w:name="_Toc111425720"/>
      <w:bookmarkStart w:id="2257" w:name="_Toc111426718"/>
      <w:bookmarkStart w:id="2258" w:name="_Toc111430333"/>
      <w:bookmarkStart w:id="2259" w:name="_Toc111430610"/>
      <w:bookmarkStart w:id="2260" w:name="_Toc111430638"/>
      <w:bookmarkStart w:id="2261" w:name="_Toc111430681"/>
      <w:bookmarkStart w:id="2262" w:name="_Toc111430712"/>
      <w:bookmarkStart w:id="2263" w:name="_Toc121297001"/>
      <w:bookmarkStart w:id="2264" w:name="_Toc121297082"/>
      <w:bookmarkStart w:id="2265" w:name="_Toc121297113"/>
      <w:bookmarkStart w:id="2266" w:name="_Toc121302896"/>
      <w:bookmarkStart w:id="2267" w:name="_Toc122240648"/>
      <w:bookmarkStart w:id="2268" w:name="_Toc122341069"/>
      <w:r>
        <w:t>Division 2 — Registration of insurers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nzHeading5"/>
      </w:pPr>
      <w:bookmarkStart w:id="2269" w:name="_Toc111430334"/>
      <w:bookmarkStart w:id="2270" w:name="_Toc122240649"/>
      <w:bookmarkStart w:id="2271" w:name="_Toc122341070"/>
      <w:r>
        <w:t>93.</w:t>
      </w:r>
      <w:r>
        <w:tab/>
        <w:t>Insurers to be registered</w:t>
      </w:r>
      <w:bookmarkEnd w:id="2269"/>
      <w:bookmarkEnd w:id="2270"/>
      <w:bookmarkEnd w:id="2271"/>
    </w:p>
    <w:p>
      <w:pPr>
        <w:pStyle w:val="nzSubsection"/>
      </w:pPr>
      <w:r>
        <w:tab/>
        <w:t>(1)</w:t>
      </w:r>
      <w:r>
        <w:tab/>
        <w:t>On becoming an insurer, the insurer must apply to be registered under section 93A.</w:t>
      </w:r>
    </w:p>
    <w:p>
      <w:pPr>
        <w:pStyle w:val="nz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nzPenstart"/>
      </w:pPr>
      <w:r>
        <w:tab/>
        <w:t>Penalty: $20 000.</w:t>
      </w:r>
    </w:p>
    <w:p>
      <w:pPr>
        <w:pStyle w:val="nzHeading5"/>
      </w:pPr>
      <w:bookmarkStart w:id="2272" w:name="_Toc111430335"/>
      <w:bookmarkStart w:id="2273" w:name="_Toc122240650"/>
      <w:bookmarkStart w:id="2274" w:name="_Toc122341071"/>
      <w:r>
        <w:t>93A.</w:t>
      </w:r>
      <w:r>
        <w:tab/>
        <w:t>Registration of insurers</w:t>
      </w:r>
      <w:bookmarkEnd w:id="2272"/>
      <w:bookmarkEnd w:id="2273"/>
      <w:bookmarkEnd w:id="2274"/>
    </w:p>
    <w:p>
      <w:pPr>
        <w:pStyle w:val="nzSubsection"/>
      </w:pPr>
      <w:r>
        <w:tab/>
        <w:t>(1)</w:t>
      </w:r>
      <w:r>
        <w:tab/>
        <w:t>The Commissioner must register an insurer that applies for registration.</w:t>
      </w:r>
    </w:p>
    <w:p>
      <w:pPr>
        <w:pStyle w:val="nzSubsection"/>
      </w:pPr>
      <w:r>
        <w:tab/>
        <w:t>(2)</w:t>
      </w:r>
      <w:r>
        <w:tab/>
        <w:t>The Commissioner must register an insurer that has not applied for registration if satisfied that the insurer ought to be registered for the purposes of this Part.</w:t>
      </w:r>
    </w:p>
    <w:p>
      <w:pPr>
        <w:pStyle w:val="nzSubsection"/>
      </w:pPr>
      <w:r>
        <w:tab/>
        <w:t>(3)</w:t>
      </w:r>
      <w:r>
        <w:tab/>
        <w:t>The Commissioner must give notice to an insurer of its registration.</w:t>
      </w:r>
    </w:p>
    <w:p>
      <w:pPr>
        <w:pStyle w:val="nzHeading5"/>
      </w:pPr>
      <w:bookmarkStart w:id="2275" w:name="_Toc111430336"/>
      <w:bookmarkStart w:id="2276" w:name="_Toc122240651"/>
      <w:bookmarkStart w:id="2277" w:name="_Toc122341072"/>
      <w:r>
        <w:t>93B.</w:t>
      </w:r>
      <w:r>
        <w:tab/>
        <w:t>Cancelling registration of insurers</w:t>
      </w:r>
      <w:bookmarkEnd w:id="2275"/>
      <w:bookmarkEnd w:id="2276"/>
      <w:bookmarkEnd w:id="2277"/>
    </w:p>
    <w:p>
      <w:pPr>
        <w:pStyle w:val="nzSubsection"/>
      </w:pPr>
      <w:r>
        <w:tab/>
        <w:t>(1)</w:t>
      </w:r>
      <w:r>
        <w:tab/>
        <w:t>The Commissioner may cancel the registration of an insurer on his or her own initiative or at the request of the insurer.</w:t>
      </w:r>
    </w:p>
    <w:p>
      <w:pPr>
        <w:pStyle w:val="nzSubsection"/>
      </w:pPr>
      <w:r>
        <w:tab/>
        <w:t>(2)</w:t>
      </w:r>
      <w:r>
        <w:tab/>
        <w:t>The Commissioner is not to cancel an insurer’s registration unless satisfied that registration of the insurer is no longer necessary for the purposes of this Part.</w:t>
      </w:r>
    </w:p>
    <w:p>
      <w:pPr>
        <w:pStyle w:val="nzSubsection"/>
      </w:pPr>
      <w:r>
        <w:tab/>
        <w:t>(3)</w:t>
      </w:r>
      <w:r>
        <w:tab/>
        <w:t>A cancellation has effect on and from the day specified in the notice of cancellation of registration, which may be a day that is earlier than the day on which the notice is issued.</w:t>
      </w:r>
    </w:p>
    <w:p>
      <w:pPr>
        <w:pStyle w:val="nzHeading3"/>
      </w:pPr>
      <w:bookmarkStart w:id="2278" w:name="_Toc111425677"/>
      <w:bookmarkStart w:id="2279" w:name="_Toc111425721"/>
      <w:bookmarkStart w:id="2280" w:name="_Toc111426719"/>
      <w:bookmarkStart w:id="2281" w:name="_Toc111430337"/>
      <w:bookmarkStart w:id="2282" w:name="_Toc111430611"/>
      <w:bookmarkStart w:id="2283" w:name="_Toc111430642"/>
      <w:bookmarkStart w:id="2284" w:name="_Toc111430685"/>
      <w:bookmarkStart w:id="2285" w:name="_Toc111430716"/>
      <w:bookmarkStart w:id="2286" w:name="_Toc121297005"/>
      <w:bookmarkStart w:id="2287" w:name="_Toc121297086"/>
      <w:bookmarkStart w:id="2288" w:name="_Toc121297117"/>
      <w:bookmarkStart w:id="2289" w:name="_Toc121302900"/>
      <w:bookmarkStart w:id="2290" w:name="_Toc122240652"/>
      <w:bookmarkStart w:id="2291" w:name="_Toc122341073"/>
      <w:r>
        <w:t>Division 3 — Duty payable by insurers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nzHeading5"/>
      </w:pPr>
      <w:bookmarkStart w:id="2292" w:name="_Toc111430338"/>
      <w:bookmarkStart w:id="2293" w:name="_Toc122240653"/>
      <w:bookmarkStart w:id="2294" w:name="_Toc122341074"/>
      <w:r>
        <w:t>94.</w:t>
      </w:r>
      <w:r>
        <w:tab/>
        <w:t>Lodging returns and paying duty</w:t>
      </w:r>
      <w:bookmarkEnd w:id="2292"/>
      <w:bookmarkEnd w:id="2293"/>
      <w:bookmarkEnd w:id="2294"/>
    </w:p>
    <w:p>
      <w:pPr>
        <w:pStyle w:val="nzSubsection"/>
      </w:pPr>
      <w:r>
        <w:tab/>
        <w:t>(1)</w:t>
      </w:r>
      <w:r>
        <w:tab/>
        <w:t xml:space="preserve">A registered insurer must — </w:t>
      </w:r>
    </w:p>
    <w:p>
      <w:pPr>
        <w:pStyle w:val="nzIndenta"/>
      </w:pPr>
      <w:r>
        <w:tab/>
        <w:t>(a)</w:t>
      </w:r>
      <w:r>
        <w:tab/>
        <w:t>lodge a return in an approved form for each return period of the insurer;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return period.</w:t>
      </w:r>
    </w:p>
    <w:p>
      <w:pPr>
        <w:pStyle w:val="nzPenstart"/>
      </w:pPr>
      <w:r>
        <w:tab/>
        <w:t>Penalty: $5 000.</w:t>
      </w:r>
    </w:p>
    <w:p>
      <w:pPr>
        <w:pStyle w:val="nzSubsection"/>
      </w:pPr>
      <w:r>
        <w:tab/>
        <w:t>(2)</w:t>
      </w:r>
      <w:r>
        <w:tab/>
        <w:t>The insurer must lodge the return even if no duty is payable on the return.</w:t>
      </w:r>
    </w:p>
    <w:p>
      <w:pPr>
        <w:pStyle w:val="nz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nzIndenta"/>
      </w:pPr>
      <w:r>
        <w:tab/>
        <w:t>(a)</w:t>
      </w:r>
      <w:r>
        <w:tab/>
        <w:t>lodge a return in an approved form for the month;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(4)</w:t>
      </w:r>
      <w:r>
        <w:tab/>
        <w:t>The month referred to in subsection (3) is to be treated as a return period for the purposes of this Part.</w:t>
      </w:r>
    </w:p>
    <w:p>
      <w:pPr>
        <w:pStyle w:val="nzHeading5"/>
      </w:pPr>
      <w:bookmarkStart w:id="2295" w:name="_Toc111430339"/>
      <w:bookmarkStart w:id="2296" w:name="_Toc122240654"/>
      <w:bookmarkStart w:id="2297" w:name="_Toc122341075"/>
      <w:r>
        <w:t>94A.</w:t>
      </w:r>
      <w:r>
        <w:tab/>
        <w:t>Calculating the amount of duty payable on a return</w:t>
      </w:r>
      <w:bookmarkEnd w:id="2295"/>
      <w:bookmarkEnd w:id="2296"/>
      <w:bookmarkEnd w:id="2297"/>
    </w:p>
    <w:p>
      <w:pPr>
        <w:pStyle w:val="nzSubsection"/>
      </w:pPr>
      <w:r>
        <w:tab/>
        <w:t>(1)</w:t>
      </w:r>
      <w:r>
        <w:tab/>
        <w:t>The amount of duty payable on the return for a return period is 10% of the assessable amount.</w:t>
      </w:r>
    </w:p>
    <w:p>
      <w:pPr>
        <w:pStyle w:val="nz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nzSubsection"/>
      </w:pPr>
      <w:r>
        <w:tab/>
        <w:t>(3)</w:t>
      </w:r>
      <w:r>
        <w:tab/>
        <w:t>Section 96 has an effect on the extent to which the premium or instalment is attributable to general insurance.</w:t>
      </w:r>
    </w:p>
    <w:p>
      <w:pPr>
        <w:pStyle w:val="nzHeading5"/>
      </w:pPr>
      <w:bookmarkStart w:id="2298" w:name="_Toc111430340"/>
      <w:bookmarkStart w:id="2299" w:name="_Toc122240655"/>
      <w:bookmarkStart w:id="2300" w:name="_Toc122341076"/>
      <w:r>
        <w:t>94B.</w:t>
      </w:r>
      <w:r>
        <w:tab/>
        <w:t>Return period of an insurer</w:t>
      </w:r>
      <w:bookmarkEnd w:id="2298"/>
      <w:bookmarkEnd w:id="2299"/>
      <w:bookmarkEnd w:id="2300"/>
    </w:p>
    <w:p>
      <w:pPr>
        <w:pStyle w:val="nzSubsection"/>
      </w:pPr>
      <w:r>
        <w:tab/>
      </w:r>
      <w:r>
        <w:tab/>
        <w:t xml:space="preserve">The return period of a registered insurer is — </w:t>
      </w:r>
    </w:p>
    <w:p>
      <w:pPr>
        <w:pStyle w:val="nzIndenta"/>
      </w:pPr>
      <w:r>
        <w:tab/>
        <w:t>(a)</w:t>
      </w:r>
      <w:r>
        <w:tab/>
        <w:t>one month, if a special tax return arrangement is not in force; or</w:t>
      </w:r>
    </w:p>
    <w:p>
      <w:pPr>
        <w:pStyle w:val="nzIndenta"/>
      </w:pPr>
      <w:r>
        <w:tab/>
        <w:t>(b)</w:t>
      </w:r>
      <w:r>
        <w:tab/>
        <w:t xml:space="preserve">the return period provided in a special tax return arrangement in force under section 49 of the </w:t>
      </w:r>
      <w:r>
        <w:rPr>
          <w:i/>
        </w:rPr>
        <w:t>Taxation Administration Act 2003</w:t>
      </w:r>
      <w:r>
        <w:t>.</w:t>
      </w:r>
    </w:p>
    <w:p>
      <w:pPr>
        <w:pStyle w:val="nzHeading3"/>
      </w:pPr>
      <w:bookmarkStart w:id="2301" w:name="_Toc111425678"/>
      <w:bookmarkStart w:id="2302" w:name="_Toc111425722"/>
      <w:bookmarkStart w:id="2303" w:name="_Toc111426720"/>
      <w:bookmarkStart w:id="2304" w:name="_Toc111430341"/>
      <w:bookmarkStart w:id="2305" w:name="_Toc111430612"/>
      <w:bookmarkStart w:id="2306" w:name="_Toc111430646"/>
      <w:bookmarkStart w:id="2307" w:name="_Toc111430689"/>
      <w:bookmarkStart w:id="2308" w:name="_Toc111430720"/>
      <w:bookmarkStart w:id="2309" w:name="_Toc121297009"/>
      <w:bookmarkStart w:id="2310" w:name="_Toc121297090"/>
      <w:bookmarkStart w:id="2311" w:name="_Toc121297121"/>
      <w:bookmarkStart w:id="2312" w:name="_Toc121302904"/>
      <w:bookmarkStart w:id="2313" w:name="_Toc122240656"/>
      <w:bookmarkStart w:id="2314" w:name="_Toc122341077"/>
      <w:r>
        <w:t>Division 4 — Duty payable by insured persons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nzHeading5"/>
      </w:pPr>
      <w:bookmarkStart w:id="2315" w:name="_Toc111430342"/>
      <w:bookmarkStart w:id="2316" w:name="_Toc122240657"/>
      <w:bookmarkStart w:id="2317" w:name="_Toc122341078"/>
      <w:r>
        <w:t>95.</w:t>
      </w:r>
      <w:r>
        <w:tab/>
        <w:t>Meaning of insurer in this Division</w:t>
      </w:r>
      <w:bookmarkEnd w:id="2315"/>
      <w:bookmarkEnd w:id="2316"/>
      <w:bookmarkEnd w:id="2317"/>
    </w:p>
    <w:p>
      <w:pPr>
        <w:pStyle w:val="nzSubsection"/>
      </w:pPr>
      <w:r>
        <w:tab/>
      </w:r>
      <w:r>
        <w:tab/>
        <w:t xml:space="preserve">In this Division — </w:t>
      </w:r>
    </w:p>
    <w:p>
      <w:pPr>
        <w:pStyle w:val="nz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nzHeading5"/>
      </w:pPr>
      <w:bookmarkStart w:id="2318" w:name="_Toc111430343"/>
      <w:bookmarkStart w:id="2319" w:name="_Toc122240658"/>
      <w:bookmarkStart w:id="2320" w:name="_Toc122341079"/>
      <w:r>
        <w:t>95A.</w:t>
      </w:r>
      <w:r>
        <w:tab/>
        <w:t>Insured person to lodge statement and pay duty</w:t>
      </w:r>
      <w:bookmarkEnd w:id="2318"/>
      <w:bookmarkEnd w:id="2319"/>
      <w:bookmarkEnd w:id="2320"/>
    </w:p>
    <w:p>
      <w:pPr>
        <w:pStyle w:val="nzSubsection"/>
      </w:pPr>
      <w:r>
        <w:tab/>
        <w:t>(1)</w:t>
      </w:r>
      <w:r>
        <w:tab/>
        <w:t xml:space="preserve">If a person obtains, effects or renews general insurance with a Division 4 insurer, the person must — </w:t>
      </w:r>
    </w:p>
    <w:p>
      <w:pPr>
        <w:pStyle w:val="nzIndenta"/>
      </w:pPr>
      <w:r>
        <w:tab/>
        <w:t>(a)</w:t>
      </w:r>
      <w:r>
        <w:tab/>
        <w:t>lodge a statement in an approved form; and</w:t>
      </w:r>
    </w:p>
    <w:p>
      <w:pPr>
        <w:pStyle w:val="nzIndenta"/>
      </w:pPr>
      <w:r>
        <w:tab/>
        <w:t>(b)</w:t>
      </w:r>
      <w:r>
        <w:tab/>
        <w:t>pay the duty payable on the statement,</w:t>
      </w:r>
    </w:p>
    <w:p>
      <w:pPr>
        <w:pStyle w:val="nz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nzPenstart"/>
      </w:pPr>
      <w:r>
        <w:tab/>
        <w:t>Penalty: $5 000.</w:t>
      </w:r>
    </w:p>
    <w:p>
      <w:pPr>
        <w:pStyle w:val="nzSubsection"/>
      </w:pPr>
      <w:r>
        <w:tab/>
        <w:t>(2)</w:t>
      </w:r>
      <w:r>
        <w:tab/>
        <w:t>The amount of duty payable on the statement is 10% of the proportion of the premium or instalment that is attributable to general insurance.</w:t>
      </w:r>
    </w:p>
    <w:p>
      <w:pPr>
        <w:pStyle w:val="nzSubsection"/>
      </w:pPr>
      <w:r>
        <w:tab/>
        <w:t>(3)</w:t>
      </w:r>
      <w:r>
        <w:tab/>
        <w:t>Section 96 has an effect on the proportion of the premium or instalment that is attributable to general insurance.</w:t>
      </w:r>
    </w:p>
    <w:p>
      <w:pPr>
        <w:pStyle w:val="nz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nzHeading5"/>
      </w:pPr>
      <w:bookmarkStart w:id="2321" w:name="_Toc111430344"/>
      <w:bookmarkStart w:id="2322" w:name="_Toc122240659"/>
      <w:bookmarkStart w:id="2323" w:name="_Toc122341080"/>
      <w:r>
        <w:t>95B.</w:t>
      </w:r>
      <w:r>
        <w:tab/>
        <w:t>Insurer and intermediary to notify Commissioner of contracts of insurance</w:t>
      </w:r>
      <w:bookmarkEnd w:id="2321"/>
      <w:bookmarkEnd w:id="2322"/>
      <w:bookmarkEnd w:id="2323"/>
    </w:p>
    <w:p>
      <w:pPr>
        <w:pStyle w:val="nz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nzIndenta"/>
      </w:pPr>
      <w:r>
        <w:tab/>
        <w:t>(a)</w:t>
      </w:r>
      <w:r>
        <w:tab/>
        <w:t>each such contract of insurance for which the insurer has been paid a premium or instalment in that month;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nzIndenta"/>
      </w:pPr>
      <w:r>
        <w:tab/>
        <w:t>(a)</w:t>
      </w:r>
      <w:r>
        <w:tab/>
        <w:t>each contract of insurance for which the intermediary has received a premium or instalment for a Division 4 insurer;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(3)</w:t>
      </w:r>
      <w:r>
        <w:tab/>
        <w:t>If a person complies with a requirement in subsection (1) or (2) in respect of a contract of insurance then the requirement in the other subsection is to be taken to have been complied with.</w:t>
      </w:r>
    </w:p>
    <w:p>
      <w:pPr>
        <w:pStyle w:val="nzHeading3"/>
      </w:pPr>
      <w:bookmarkStart w:id="2324" w:name="_Toc111425679"/>
      <w:bookmarkStart w:id="2325" w:name="_Toc111425723"/>
      <w:bookmarkStart w:id="2326" w:name="_Toc111426721"/>
      <w:bookmarkStart w:id="2327" w:name="_Toc111430345"/>
      <w:bookmarkStart w:id="2328" w:name="_Toc111430613"/>
      <w:bookmarkStart w:id="2329" w:name="_Toc111430650"/>
      <w:bookmarkStart w:id="2330" w:name="_Toc111430693"/>
      <w:bookmarkStart w:id="2331" w:name="_Toc111430724"/>
      <w:bookmarkStart w:id="2332" w:name="_Toc121297013"/>
      <w:bookmarkStart w:id="2333" w:name="_Toc121297094"/>
      <w:bookmarkStart w:id="2334" w:name="_Toc121297125"/>
      <w:bookmarkStart w:id="2335" w:name="_Toc121302908"/>
      <w:bookmarkStart w:id="2336" w:name="_Toc122240660"/>
      <w:bookmarkStart w:id="2337" w:name="_Toc122341081"/>
      <w:r>
        <w:t>Division 5 — General provisions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nzHeading5"/>
      </w:pPr>
      <w:bookmarkStart w:id="2338" w:name="_Toc111430346"/>
      <w:bookmarkStart w:id="2339" w:name="_Toc122240661"/>
      <w:bookmarkStart w:id="2340" w:name="_Toc122341082"/>
      <w:r>
        <w:t>96.</w:t>
      </w:r>
      <w:r>
        <w:tab/>
        <w:t>Apportionment of premiums and instalments</w:t>
      </w:r>
      <w:bookmarkEnd w:id="2338"/>
      <w:bookmarkEnd w:id="2339"/>
      <w:bookmarkEnd w:id="2340"/>
    </w:p>
    <w:p>
      <w:pPr>
        <w:pStyle w:val="nzSubsection"/>
      </w:pPr>
      <w:r>
        <w:tab/>
        <w:t>(1)</w:t>
      </w:r>
      <w:r>
        <w:tab/>
        <w:t>This section applies to a contract of insurance that effects both general insurance and other insurance.</w:t>
      </w:r>
    </w:p>
    <w:p>
      <w:pPr>
        <w:pStyle w:val="nz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nz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nzSubsection"/>
      </w:pPr>
      <w:r>
        <w:tab/>
        <w:t>(4)</w:t>
      </w:r>
      <w:r>
        <w:tab/>
        <w:t xml:space="preserve">If the Commissioner is satisfied that a premium or instalment has not been, or cannot be, appropriately apportioned under this section, the Commissioner may — </w:t>
      </w:r>
    </w:p>
    <w:p>
      <w:pPr>
        <w:pStyle w:val="nzIndenta"/>
      </w:pPr>
      <w:r>
        <w:tab/>
        <w:t>(a)</w:t>
      </w:r>
      <w:r>
        <w:tab/>
        <w:t>determine the appropriate proportions; and</w:t>
      </w:r>
    </w:p>
    <w:p>
      <w:pPr>
        <w:pStyle w:val="nzIndenta"/>
      </w:pPr>
      <w:r>
        <w:tab/>
        <w:t>(b)</w:t>
      </w:r>
      <w:r>
        <w:tab/>
        <w:t>if necessary — reassess the amount of duty payable in respect of the contract of insurance.</w:t>
      </w:r>
    </w:p>
    <w:p>
      <w:pPr>
        <w:pStyle w:val="nzSubsection"/>
      </w:pPr>
      <w:r>
        <w:tab/>
        <w:t>(5)</w:t>
      </w:r>
      <w:r>
        <w:tab/>
        <w:t>The extent to which an instalment is attributable to general insurance is the same as the extent to which the premium is attributable to general insurance under this section.</w:t>
      </w:r>
    </w:p>
    <w:p>
      <w:pPr>
        <w:pStyle w:val="nzHeading5"/>
      </w:pPr>
      <w:bookmarkStart w:id="2341" w:name="_Toc111430347"/>
      <w:bookmarkStart w:id="2342" w:name="_Toc122240662"/>
      <w:bookmarkStart w:id="2343" w:name="_Toc122341083"/>
      <w:r>
        <w:t>96A.</w:t>
      </w:r>
      <w:r>
        <w:tab/>
        <w:t>Refunds</w:t>
      </w:r>
      <w:bookmarkEnd w:id="2341"/>
      <w:bookmarkEnd w:id="2342"/>
      <w:bookmarkEnd w:id="2343"/>
    </w:p>
    <w:p>
      <w:pPr>
        <w:pStyle w:val="nzSubsection"/>
      </w:pPr>
      <w:bookmarkStart w:id="2344" w:name="_Toc90452964"/>
      <w:r>
        <w:tab/>
        <w:t>(1)</w:t>
      </w:r>
      <w:r>
        <w:tab/>
        <w:t xml:space="preserve">If — </w:t>
      </w:r>
    </w:p>
    <w:p>
      <w:pPr>
        <w:pStyle w:val="nzIndenta"/>
      </w:pPr>
      <w:r>
        <w:tab/>
        <w:t>(a)</w:t>
      </w:r>
      <w:r>
        <w:tab/>
        <w:t>an insurer has paid duty in respect of a contract of insurance in accordance with section 94A; and</w:t>
      </w:r>
    </w:p>
    <w:p>
      <w:pPr>
        <w:pStyle w:val="nzIndenta"/>
      </w:pPr>
      <w:r>
        <w:tab/>
        <w:t>(b)</w:t>
      </w:r>
      <w:r>
        <w:tab/>
        <w:t>the insurer has refunded some or all of the premium for the contract,</w:t>
      </w:r>
    </w:p>
    <w:p>
      <w:pPr>
        <w:pStyle w:val="nzSubsection"/>
      </w:pPr>
      <w:r>
        <w:tab/>
      </w:r>
      <w:r>
        <w:tab/>
        <w:t>the insurer is entitled to a refund of the duty paid to the extent to which the premium was refunded.</w:t>
      </w:r>
    </w:p>
    <w:p>
      <w:pPr>
        <w:pStyle w:val="nzSubsection"/>
      </w:pPr>
      <w:r>
        <w:tab/>
        <w:t>(2)</w:t>
      </w:r>
      <w:r>
        <w:tab/>
        <w:t xml:space="preserve">If — </w:t>
      </w:r>
    </w:p>
    <w:p>
      <w:pPr>
        <w:pStyle w:val="nzIndenta"/>
      </w:pPr>
      <w:r>
        <w:tab/>
        <w:t>(a)</w:t>
      </w:r>
      <w:r>
        <w:tab/>
        <w:t>a person has paid duty in respect of a contract of insurance in accordance with section 95A(2); and</w:t>
      </w:r>
    </w:p>
    <w:p>
      <w:pPr>
        <w:pStyle w:val="nzIndenta"/>
      </w:pPr>
      <w:r>
        <w:tab/>
        <w:t>(b)</w:t>
      </w:r>
      <w:r>
        <w:tab/>
        <w:t>the Division 4 insurer has refunded some or all of the premium for the contract,</w:t>
      </w:r>
    </w:p>
    <w:p>
      <w:pPr>
        <w:pStyle w:val="nzSubsection"/>
      </w:pPr>
      <w:r>
        <w:tab/>
      </w:r>
      <w:r>
        <w:tab/>
        <w:t>the person is entitled to a refund of the duty paid to the extent to which the premium was refunded.</w:t>
      </w:r>
    </w:p>
    <w:p>
      <w:pPr>
        <w:pStyle w:val="nzSubsection"/>
      </w:pPr>
      <w:r>
        <w:tab/>
        <w:t>(3)</w:t>
      </w:r>
      <w:r>
        <w:tab/>
        <w:t xml:space="preserve">For the purposes of this section, an insurer (including a Division 4 insurer) refunds an amount of a premium if the insurer or an intermediary of the insurer — </w:t>
      </w:r>
    </w:p>
    <w:p>
      <w:pPr>
        <w:pStyle w:val="nzIndenta"/>
      </w:pPr>
      <w:r>
        <w:tab/>
        <w:t>(a)</w:t>
      </w:r>
      <w:r>
        <w:tab/>
        <w:t>repays the amount to the insured person; or</w:t>
      </w:r>
    </w:p>
    <w:p>
      <w:pPr>
        <w:pStyle w:val="nzIndenta"/>
      </w:pPr>
      <w:r>
        <w:tab/>
        <w:t>(b)</w:t>
      </w:r>
      <w:r>
        <w:tab/>
        <w:t>otherwise provides a benefit to the insured person to the value of the amount refunded.</w:t>
      </w:r>
    </w:p>
    <w:p>
      <w:pPr>
        <w:pStyle w:val="nzHeading5"/>
      </w:pPr>
      <w:bookmarkStart w:id="2345" w:name="_Toc111430348"/>
      <w:bookmarkStart w:id="2346" w:name="_Toc122240663"/>
      <w:bookmarkStart w:id="2347" w:name="_Toc122341084"/>
      <w:r>
        <w:t>96B.</w:t>
      </w:r>
      <w:r>
        <w:tab/>
        <w:t>Records</w:t>
      </w:r>
      <w:bookmarkEnd w:id="2345"/>
      <w:bookmarkEnd w:id="2346"/>
      <w:bookmarkEnd w:id="2347"/>
    </w:p>
    <w:bookmarkEnd w:id="2344"/>
    <w:p>
      <w:pPr>
        <w:pStyle w:val="nzSubsection"/>
      </w:pPr>
      <w:r>
        <w:tab/>
        <w:t>(1)</w:t>
      </w:r>
      <w:r>
        <w:tab/>
        <w:t xml:space="preserve">An insurer and a person who is liable to pay duty under Division 4 must keep — </w:t>
      </w:r>
    </w:p>
    <w:p>
      <w:pPr>
        <w:pStyle w:val="nzIndenta"/>
      </w:pPr>
      <w:r>
        <w:tab/>
        <w:t>(a)</w:t>
      </w:r>
      <w:r>
        <w:tab/>
        <w:t>the records that are prescribed in the regulations for the purposes of this section (if any); and</w:t>
      </w:r>
    </w:p>
    <w:p>
      <w:pPr>
        <w:pStyle w:val="nzIndenta"/>
      </w:pPr>
      <w:r>
        <w:tab/>
        <w:t>(b)</w:t>
      </w:r>
      <w:r>
        <w:tab/>
        <w:t>any other records necessary to enable the Commissioner to determine the insurer’s or the person’s liability to pay duty under this Part.</w:t>
      </w:r>
    </w:p>
    <w:p>
      <w:pPr>
        <w:pStyle w:val="nzPenstart"/>
      </w:pPr>
      <w:r>
        <w:tab/>
        <w:t>Penalty: $20 000.</w:t>
      </w:r>
    </w:p>
    <w:p>
      <w:pPr>
        <w:pStyle w:val="nz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nzPenstart"/>
      </w:pPr>
      <w:r>
        <w:tab/>
        <w:t>Penalty: $20 000.</w:t>
      </w:r>
    </w:p>
    <w:p>
      <w:pPr>
        <w:pStyle w:val="MiscClose"/>
      </w:pPr>
      <w:r>
        <w:t xml:space="preserve">    ”.</w:t>
      </w:r>
    </w:p>
    <w:p>
      <w:pPr>
        <w:pStyle w:val="nzHeading5"/>
        <w:spacing w:before="240"/>
      </w:pPr>
      <w:bookmarkStart w:id="2348" w:name="_Toc111349323"/>
      <w:bookmarkStart w:id="2349" w:name="_Toc111430350"/>
      <w:bookmarkStart w:id="2350" w:name="_Toc122240665"/>
      <w:bookmarkStart w:id="2351" w:name="_Toc122341086"/>
      <w:r>
        <w:rPr>
          <w:rStyle w:val="CharSectno"/>
        </w:rPr>
        <w:t>8</w:t>
      </w:r>
      <w:r>
        <w:t>.</w:t>
      </w:r>
      <w:r>
        <w:tab/>
        <w:t>Transitional provisions — Part IIIF</w:t>
      </w:r>
      <w:bookmarkEnd w:id="2348"/>
      <w:bookmarkEnd w:id="2349"/>
      <w:bookmarkEnd w:id="2350"/>
      <w:bookmarkEnd w:id="2351"/>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snapToGrid w:val="0"/>
        </w:rPr>
      </w:pPr>
      <w:r>
        <w:rPr>
          <w:vertAlign w:val="superscript"/>
        </w:rPr>
        <w:t>54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352" w:name="_Toc476631191"/>
      <w:bookmarkStart w:id="2353" w:name="_Toc477066412"/>
      <w:bookmarkStart w:id="2354" w:name="_Toc497301942"/>
      <w:bookmarkStart w:id="2355" w:name="_Toc83657956"/>
      <w:bookmarkStart w:id="2356" w:name="_Toc122243710"/>
      <w:bookmarkStart w:id="2357" w:name="_Toc122425166"/>
      <w:r>
        <w:rPr>
          <w:rStyle w:val="CharSectno"/>
        </w:rPr>
        <w:t>15</w:t>
      </w:r>
      <w:r>
        <w:t>.</w:t>
      </w:r>
      <w:r>
        <w:tab/>
        <w:t>Acts in Schedule 2 amended</w:t>
      </w:r>
      <w:bookmarkEnd w:id="2352"/>
      <w:bookmarkEnd w:id="2353"/>
      <w:bookmarkEnd w:id="2354"/>
      <w:bookmarkEnd w:id="2355"/>
      <w:bookmarkEnd w:id="2356"/>
      <w:bookmarkEnd w:id="235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62 reads as follows:</w:t>
      </w:r>
    </w:p>
    <w:p>
      <w:pPr>
        <w:pStyle w:val="MiscOpen"/>
      </w:pPr>
      <w:r>
        <w:t>“</w:t>
      </w:r>
    </w:p>
    <w:p>
      <w:pPr>
        <w:pStyle w:val="nzHeading2"/>
      </w:pPr>
      <w:bookmarkStart w:id="2358" w:name="_Toc122243734"/>
      <w:bookmarkStart w:id="2359" w:name="_Toc122425190"/>
      <w:r>
        <w:rPr>
          <w:rStyle w:val="CharSchNo"/>
        </w:rPr>
        <w:t>Schedule 2</w:t>
      </w:r>
      <w:r>
        <w:rPr>
          <w:rStyle w:val="CharSDivNo"/>
        </w:rPr>
        <w:t> </w:t>
      </w:r>
      <w:r>
        <w:t>—</w:t>
      </w:r>
      <w:r>
        <w:rPr>
          <w:rStyle w:val="CharSDivText"/>
        </w:rPr>
        <w:t> </w:t>
      </w:r>
      <w:r>
        <w:rPr>
          <w:rStyle w:val="CharSchText"/>
        </w:rPr>
        <w:t>Consequential amendments</w:t>
      </w:r>
      <w:bookmarkEnd w:id="2358"/>
      <w:bookmarkEnd w:id="2359"/>
    </w:p>
    <w:p>
      <w:pPr>
        <w:pStyle w:val="nzMiscellaneousBody"/>
        <w:jc w:val="right"/>
      </w:pPr>
      <w:r>
        <w:t>[s.</w:t>
      </w:r>
      <w:bookmarkStart w:id="2360" w:name="_Hlt485012328"/>
      <w:r>
        <w:t> 15</w:t>
      </w:r>
      <w:bookmarkEnd w:id="2360"/>
      <w:r>
        <w:t>]</w:t>
      </w:r>
    </w:p>
    <w:p>
      <w:pPr>
        <w:pStyle w:val="nzHeading5"/>
      </w:pPr>
      <w:bookmarkStart w:id="2361" w:name="_Toc476631257"/>
      <w:bookmarkStart w:id="2362" w:name="_Toc477066477"/>
      <w:bookmarkStart w:id="2363" w:name="_Toc497302005"/>
      <w:bookmarkStart w:id="2364" w:name="_Toc83658071"/>
      <w:bookmarkStart w:id="2365" w:name="_Toc122243796"/>
      <w:r>
        <w:rPr>
          <w:rStyle w:val="CharSClsNo"/>
        </w:rPr>
        <w:t>62</w:t>
      </w:r>
      <w:r>
        <w:t>.</w:t>
      </w:r>
      <w:r>
        <w:tab/>
      </w:r>
      <w:r>
        <w:rPr>
          <w:i/>
        </w:rPr>
        <w:t>Stamp Act 1921</w:t>
      </w:r>
      <w:bookmarkEnd w:id="2361"/>
      <w:bookmarkEnd w:id="2362"/>
      <w:bookmarkEnd w:id="2363"/>
      <w:bookmarkEnd w:id="2364"/>
      <w:bookmarkEnd w:id="2365"/>
    </w:p>
    <w:p>
      <w:pPr>
        <w:pStyle w:val="nzSubsection"/>
      </w:pPr>
      <w:r>
        <w:tab/>
        <w:t>(1)</w:t>
      </w:r>
      <w:r>
        <w:tab/>
        <w:t xml:space="preserve">The Second Schedule item 5(1) is amended by deleting “a town planning scheme, including the Metropolitan Region Scheme” and inserting instead — </w:t>
      </w:r>
    </w:p>
    <w:p>
      <w:pPr>
        <w:pStyle w:val="nzSubsection"/>
      </w:pPr>
      <w:r>
        <w:tab/>
      </w:r>
      <w:r>
        <w:tab/>
        <w:t>“    a planning scheme    ”.</w:t>
      </w:r>
    </w:p>
    <w:p>
      <w:pPr>
        <w:pStyle w:val="nzSubsection"/>
      </w:pPr>
      <w:r>
        <w:tab/>
        <w:t>(2)</w:t>
      </w:r>
      <w:r>
        <w:tab/>
        <w:t xml:space="preserve">The Second Schedule item 5(2) is deleted and the following subitem is inserted instead — </w:t>
      </w:r>
    </w:p>
    <w:p>
      <w:pPr>
        <w:pStyle w:val="MiscOpen"/>
        <w:ind w:firstLine="993"/>
      </w:pPr>
      <w:r>
        <w:t xml:space="preserve">“    </w:t>
      </w:r>
    </w:p>
    <w:tbl>
      <w:tblPr>
        <w:tblW w:w="0" w:type="auto"/>
        <w:tblInd w:w="1526" w:type="dxa"/>
        <w:tblLayout w:type="fixed"/>
        <w:tblLook w:val="0000" w:firstRow="0" w:lastRow="0" w:firstColumn="0" w:lastColumn="0" w:noHBand="0" w:noVBand="0"/>
      </w:tblPr>
      <w:tblGrid>
        <w:gridCol w:w="4252"/>
      </w:tblGrid>
      <w:tr>
        <w:trPr>
          <w:cantSplit/>
        </w:trPr>
        <w:tc>
          <w:tcPr>
            <w:tcW w:w="4252" w:type="dxa"/>
          </w:tcPr>
          <w:p>
            <w:pPr>
              <w:pStyle w:val="nzTable"/>
              <w:ind w:left="394" w:hanging="394"/>
            </w:pPr>
            <w:r>
              <w:t>(2)</w:t>
            </w:r>
            <w:r>
              <w:tab/>
              <w:t xml:space="preserve">Expressions used in this item have the same meaning as they have in the </w:t>
            </w:r>
            <w:r>
              <w:rPr>
                <w:i/>
              </w:rPr>
              <w:t>Planning and Development Act 2005</w:t>
            </w:r>
            <w:r>
              <w:t>.</w:t>
            </w:r>
          </w:p>
        </w:tc>
      </w:tr>
    </w:tbl>
    <w:p>
      <w:pPr>
        <w:pStyle w:val="MiscClose"/>
        <w:ind w:right="256"/>
      </w:pPr>
      <w:r>
        <w:t xml:space="preserve">    ”.</w:t>
      </w:r>
    </w:p>
    <w:p>
      <w:pPr>
        <w:pStyle w:val="MiscClose"/>
      </w:pPr>
      <w:r>
        <w:t xml:space="preserve">    ”.</w:t>
      </w:r>
    </w:p>
    <w:p/>
    <w:p>
      <w:pPr>
        <w:spacing w:after="40"/>
        <w:sectPr>
          <w:headerReference w:type="even" r:id="rId51"/>
          <w:headerReference w:type="default" r:id="rId52"/>
          <w:head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oleObject" Target="embeddings/oleObject11.bin"/><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footer" Target="footer7.xml"/><Relationship Id="rId47" Type="http://schemas.openxmlformats.org/officeDocument/2006/relationships/image" Target="media/image12.wmf"/><Relationship Id="rId50" Type="http://schemas.openxmlformats.org/officeDocument/2006/relationships/header" Target="header11.xml"/><Relationship Id="rId55"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image" Target="media/image10.wmf"/><Relationship Id="rId46"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7.xml"/><Relationship Id="rId54"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10.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image" Target="media/image9.wmf"/><Relationship Id="rId49" Type="http://schemas.openxmlformats.org/officeDocument/2006/relationships/header" Target="header10.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9.bin"/><Relationship Id="rId43" Type="http://schemas.openxmlformats.org/officeDocument/2006/relationships/footer" Target="footer8.xml"/><Relationship Id="rId48" Type="http://schemas.openxmlformats.org/officeDocument/2006/relationships/header" Target="header9.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426</Pages>
  <Words>118794</Words>
  <Characters>559521</Characters>
  <Application>Microsoft Office Word</Application>
  <DocSecurity>0</DocSecurity>
  <Lines>15986</Lines>
  <Paragraphs>7621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1921 - 15-i0-02</dc:title>
  <dc:subject/>
  <dc:creator/>
  <cp:keywords/>
  <dc:description/>
  <cp:lastModifiedBy>svcMRProcess</cp:lastModifiedBy>
  <cp:revision>4</cp:revision>
  <cp:lastPrinted>2005-06-14T01:55:00Z</cp:lastPrinted>
  <dcterms:created xsi:type="dcterms:W3CDTF">2020-02-20T14:26:00Z</dcterms:created>
  <dcterms:modified xsi:type="dcterms:W3CDTF">2020-02-20T14:26:00Z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20060124</vt:lpwstr>
  </property>
  <property fmtid="{D5CDD505-2E9C-101B-9397-08002B2CF9AE}" pid="4" name="DocumentType">
    <vt:lpwstr>Act</vt:lpwstr>
  </property>
  <property fmtid="{D5CDD505-2E9C-101B-9397-08002B2CF9AE}" pid="5" name="OwlsUID">
    <vt:i4>770</vt:i4>
  </property>
  <property fmtid="{D5CDD505-2E9C-101B-9397-08002B2CF9AE}" pid="6" name="AsAtDate">
    <vt:lpwstr>24 Jan 2006</vt:lpwstr>
  </property>
  <property fmtid="{D5CDD505-2E9C-101B-9397-08002B2CF9AE}" pid="7" name="Suffix">
    <vt:lpwstr>15-i0-02</vt:lpwstr>
  </property>
</Properties>
</file>