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Cambridge Endowment Lands Act 1920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Cambridge Endowment Lands Act 1920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_Toc122860894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_Toc122860895 \h </w:instrText>
      </w:r>
      <w:r>
        <w:fldChar w:fldCharType="separate"/>
      </w:r>
      <w:r>
        <w:t>2</w:t>
      </w:r>
      <w:r>
        <w:fldChar w:fldCharType="end"/>
      </w:r>
    </w:p>
    <w:p>
      <w:pPr>
        <w:pStyle w:val="TOC2"/>
        <w:tabs>
          <w:tab w:val="right" w:leader="dot" w:pos="7086"/>
        </w:tabs>
        <w:rPr>
          <w:b w:val="0"/>
          <w:sz w:val="24"/>
          <w:szCs w:val="24"/>
        </w:rPr>
      </w:pPr>
      <w:r>
        <w:rPr>
          <w:szCs w:val="30"/>
        </w:rPr>
        <w:t>Part II — Valuation and rating</w:t>
      </w:r>
    </w:p>
    <w:p>
      <w:pPr>
        <w:pStyle w:val="TOC8"/>
        <w:rPr>
          <w:sz w:val="24"/>
          <w:szCs w:val="24"/>
        </w:rPr>
      </w:pPr>
      <w:r>
        <w:rPr>
          <w:szCs w:val="24"/>
        </w:rPr>
        <w:t>6</w:t>
      </w:r>
      <w:r>
        <w:rPr>
          <w:snapToGrid w:val="0"/>
          <w:szCs w:val="24"/>
        </w:rPr>
        <w:t>.</w:t>
      </w:r>
      <w:r>
        <w:rPr>
          <w:snapToGrid w:val="0"/>
          <w:szCs w:val="24"/>
        </w:rPr>
        <w:tab/>
        <w:t>Valuation of lands on unimproved value</w:t>
      </w:r>
      <w:r>
        <w:tab/>
      </w:r>
      <w:r>
        <w:fldChar w:fldCharType="begin"/>
      </w:r>
      <w:r>
        <w:instrText xml:space="preserve"> PAGEREF _Toc122860897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Rates on unimproved value</w:t>
      </w:r>
      <w:r>
        <w:tab/>
      </w:r>
      <w:r>
        <w:fldChar w:fldCharType="begin"/>
      </w:r>
      <w:r>
        <w:instrText xml:space="preserve"> PAGEREF _Toc122860898 \h </w:instrText>
      </w:r>
      <w:r>
        <w:fldChar w:fldCharType="separate"/>
      </w:r>
      <w:r>
        <w:t>4</w:t>
      </w:r>
      <w:r>
        <w:fldChar w:fldCharType="end"/>
      </w:r>
    </w:p>
    <w:p>
      <w:pPr>
        <w:pStyle w:val="TOC8"/>
        <w:rPr>
          <w:sz w:val="24"/>
          <w:szCs w:val="24"/>
        </w:rPr>
      </w:pPr>
      <w:r>
        <w:rPr>
          <w:szCs w:val="24"/>
        </w:rPr>
        <w:t>7A</w:t>
      </w:r>
      <w:r>
        <w:rPr>
          <w:snapToGrid w:val="0"/>
          <w:szCs w:val="24"/>
        </w:rPr>
        <w:t xml:space="preserve">. </w:t>
      </w:r>
      <w:r>
        <w:rPr>
          <w:snapToGrid w:val="0"/>
          <w:szCs w:val="24"/>
        </w:rPr>
        <w:tab/>
        <w:t>Apportionment of rates burden between said lands and remainder of local government district in respect of financial years commencing on 1 July 1969 and 1 July 1980</w:t>
      </w:r>
      <w:r>
        <w:tab/>
      </w:r>
      <w:r>
        <w:fldChar w:fldCharType="begin"/>
      </w:r>
      <w:r>
        <w:instrText xml:space="preserve"> PAGEREF _Toc122860899 \h </w:instrText>
      </w:r>
      <w:r>
        <w:fldChar w:fldCharType="separate"/>
      </w:r>
      <w:r>
        <w:t>4</w:t>
      </w:r>
      <w:r>
        <w:fldChar w:fldCharType="end"/>
      </w:r>
    </w:p>
    <w:p>
      <w:pPr>
        <w:pStyle w:val="TOC2"/>
        <w:tabs>
          <w:tab w:val="right" w:leader="dot" w:pos="7086"/>
        </w:tabs>
        <w:rPr>
          <w:b w:val="0"/>
          <w:sz w:val="24"/>
          <w:szCs w:val="24"/>
        </w:rPr>
      </w:pPr>
      <w:r>
        <w:rPr>
          <w:szCs w:val="30"/>
        </w:rPr>
        <w:t>Part VI — Powers of the local government</w:t>
      </w:r>
    </w:p>
    <w:p>
      <w:pPr>
        <w:pStyle w:val="TOC8"/>
        <w:rPr>
          <w:sz w:val="24"/>
          <w:szCs w:val="24"/>
        </w:rPr>
      </w:pPr>
      <w:r>
        <w:rPr>
          <w:szCs w:val="24"/>
        </w:rPr>
        <w:t>39</w:t>
      </w:r>
      <w:r>
        <w:rPr>
          <w:snapToGrid w:val="0"/>
          <w:szCs w:val="24"/>
        </w:rPr>
        <w:t>.</w:t>
      </w:r>
      <w:r>
        <w:rPr>
          <w:snapToGrid w:val="0"/>
          <w:szCs w:val="24"/>
        </w:rPr>
        <w:tab/>
        <w:t>Interpretation</w:t>
      </w:r>
      <w:r>
        <w:tab/>
      </w:r>
      <w:r>
        <w:fldChar w:fldCharType="begin"/>
      </w:r>
      <w:r>
        <w:instrText xml:space="preserve"> PAGEREF _Toc122860901 \h </w:instrText>
      </w:r>
      <w:r>
        <w:fldChar w:fldCharType="separate"/>
      </w:r>
      <w:r>
        <w:t>6</w:t>
      </w:r>
      <w:r>
        <w:fldChar w:fldCharType="end"/>
      </w:r>
    </w:p>
    <w:p>
      <w:pPr>
        <w:pStyle w:val="TOC8"/>
        <w:rPr>
          <w:sz w:val="24"/>
          <w:szCs w:val="24"/>
        </w:rPr>
      </w:pPr>
      <w:r>
        <w:rPr>
          <w:szCs w:val="24"/>
        </w:rPr>
        <w:t>40</w:t>
      </w:r>
      <w:r>
        <w:rPr>
          <w:snapToGrid w:val="0"/>
          <w:szCs w:val="24"/>
        </w:rPr>
        <w:t>.</w:t>
      </w:r>
      <w:r>
        <w:rPr>
          <w:snapToGrid w:val="0"/>
          <w:szCs w:val="24"/>
        </w:rPr>
        <w:tab/>
        <w:t>Town of Cambridge’s powers over Town lands</w:t>
      </w:r>
      <w:r>
        <w:tab/>
      </w:r>
      <w:r>
        <w:fldChar w:fldCharType="begin"/>
      </w:r>
      <w:r>
        <w:instrText xml:space="preserve"> PAGEREF _Toc122860902 \h </w:instrText>
      </w:r>
      <w:r>
        <w:fldChar w:fldCharType="separate"/>
      </w:r>
      <w:r>
        <w:t>6</w:t>
      </w:r>
      <w:r>
        <w:fldChar w:fldCharType="end"/>
      </w:r>
    </w:p>
    <w:p>
      <w:pPr>
        <w:pStyle w:val="TOC8"/>
        <w:rPr>
          <w:sz w:val="24"/>
          <w:szCs w:val="24"/>
        </w:rPr>
      </w:pPr>
      <w:r>
        <w:rPr>
          <w:szCs w:val="24"/>
        </w:rPr>
        <w:t>41</w:t>
      </w:r>
      <w:r>
        <w:rPr>
          <w:snapToGrid w:val="0"/>
          <w:szCs w:val="24"/>
        </w:rPr>
        <w:t>.</w:t>
      </w:r>
      <w:r>
        <w:rPr>
          <w:snapToGrid w:val="0"/>
          <w:szCs w:val="24"/>
        </w:rPr>
        <w:tab/>
        <w:t>Proceeds of sales of Town lands</w:t>
      </w:r>
      <w:r>
        <w:tab/>
      </w:r>
      <w:r>
        <w:fldChar w:fldCharType="begin"/>
      </w:r>
      <w:r>
        <w:instrText xml:space="preserve"> PAGEREF _Toc122860903 \h </w:instrText>
      </w:r>
      <w:r>
        <w:fldChar w:fldCharType="separate"/>
      </w:r>
      <w:r>
        <w:t>6</w:t>
      </w:r>
      <w:r>
        <w:fldChar w:fldCharType="end"/>
      </w:r>
    </w:p>
    <w:p>
      <w:pPr>
        <w:pStyle w:val="TOC2"/>
        <w:tabs>
          <w:tab w:val="right" w:leader="dot" w:pos="7086"/>
        </w:tabs>
        <w:rPr>
          <w:b w:val="0"/>
          <w:sz w:val="24"/>
          <w:szCs w:val="24"/>
        </w:rPr>
      </w:pPr>
      <w:r>
        <w:rPr>
          <w:szCs w:val="30"/>
        </w:rPr>
        <w:t>Part VII — Local laws</w:t>
      </w:r>
    </w:p>
    <w:p>
      <w:pPr>
        <w:pStyle w:val="TOC8"/>
        <w:rPr>
          <w:sz w:val="24"/>
          <w:szCs w:val="24"/>
        </w:rPr>
      </w:pPr>
      <w:r>
        <w:rPr>
          <w:szCs w:val="24"/>
        </w:rPr>
        <w:t>42</w:t>
      </w:r>
      <w:r>
        <w:rPr>
          <w:snapToGrid w:val="0"/>
          <w:szCs w:val="24"/>
        </w:rPr>
        <w:t>.</w:t>
      </w:r>
      <w:r>
        <w:rPr>
          <w:snapToGrid w:val="0"/>
          <w:szCs w:val="24"/>
        </w:rPr>
        <w:tab/>
        <w:t>Additional powers of making local laws</w:t>
      </w:r>
      <w:r>
        <w:tab/>
      </w:r>
      <w:r>
        <w:fldChar w:fldCharType="begin"/>
      </w:r>
      <w:r>
        <w:instrText xml:space="preserve"> PAGEREF _Toc122860905 \h </w:instrText>
      </w:r>
      <w:r>
        <w:fldChar w:fldCharType="separate"/>
      </w:r>
      <w:r>
        <w:t>7</w:t>
      </w:r>
      <w:r>
        <w:fldChar w:fldCharType="end"/>
      </w:r>
    </w:p>
    <w:p>
      <w:pPr>
        <w:pStyle w:val="TOC8"/>
        <w:rPr>
          <w:sz w:val="24"/>
          <w:szCs w:val="24"/>
        </w:rPr>
      </w:pPr>
      <w:r>
        <w:rPr>
          <w:szCs w:val="24"/>
        </w:rPr>
        <w:t>43</w:t>
      </w:r>
      <w:r>
        <w:rPr>
          <w:snapToGrid w:val="0"/>
          <w:szCs w:val="24"/>
        </w:rPr>
        <w:t>.</w:t>
      </w:r>
      <w:r>
        <w:rPr>
          <w:snapToGrid w:val="0"/>
          <w:szCs w:val="24"/>
        </w:rPr>
        <w:tab/>
        <w:t>Power to levy tolls and charges</w:t>
      </w:r>
      <w:r>
        <w:tab/>
      </w:r>
      <w:r>
        <w:fldChar w:fldCharType="begin"/>
      </w:r>
      <w:r>
        <w:instrText xml:space="preserve"> PAGEREF _Toc122860906 \h </w:instrText>
      </w:r>
      <w:r>
        <w:fldChar w:fldCharType="separate"/>
      </w:r>
      <w:r>
        <w:t>9</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Local Government Act 1995</w:t>
      </w:r>
      <w:r>
        <w:tab/>
      </w:r>
      <w:r>
        <w:fldChar w:fldCharType="begin"/>
      </w:r>
      <w:r>
        <w:instrText xml:space="preserve"> PAGEREF _Toc122860908 \h </w:instrText>
      </w:r>
      <w:r>
        <w:fldChar w:fldCharType="separate"/>
      </w:r>
      <w:r>
        <w:t>10</w:t>
      </w:r>
      <w:r>
        <w:fldChar w:fldCharType="end"/>
      </w:r>
    </w:p>
    <w:p>
      <w:pPr>
        <w:pStyle w:val="TOC8"/>
        <w:rPr>
          <w:sz w:val="24"/>
          <w:szCs w:val="24"/>
        </w:rPr>
      </w:pPr>
      <w:r>
        <w:rPr>
          <w:szCs w:val="24"/>
        </w:rPr>
        <w:t>45</w:t>
      </w:r>
      <w:r>
        <w:rPr>
          <w:snapToGrid w:val="0"/>
          <w:szCs w:val="24"/>
        </w:rPr>
        <w:t>.</w:t>
      </w:r>
      <w:r>
        <w:rPr>
          <w:snapToGrid w:val="0"/>
          <w:szCs w:val="24"/>
        </w:rPr>
        <w:tab/>
        <w:t>Liquor license for premises within said lands not to be granted without local governments consent</w:t>
      </w:r>
      <w:r>
        <w:tab/>
      </w:r>
      <w:r>
        <w:fldChar w:fldCharType="begin"/>
      </w:r>
      <w:r>
        <w:instrText xml:space="preserve"> PAGEREF _Toc122860909 \h </w:instrText>
      </w:r>
      <w:r>
        <w:fldChar w:fldCharType="separate"/>
      </w:r>
      <w:r>
        <w:t>10</w:t>
      </w:r>
      <w:r>
        <w:fldChar w:fldCharType="end"/>
      </w:r>
    </w:p>
    <w:p>
      <w:pPr>
        <w:pStyle w:val="TOC8"/>
        <w:rPr>
          <w:sz w:val="24"/>
          <w:szCs w:val="24"/>
        </w:rPr>
      </w:pPr>
      <w:r>
        <w:rPr>
          <w:szCs w:val="24"/>
        </w:rPr>
        <w:t>46</w:t>
      </w:r>
      <w:r>
        <w:rPr>
          <w:snapToGrid w:val="0"/>
          <w:szCs w:val="24"/>
        </w:rPr>
        <w:t>.</w:t>
      </w:r>
      <w:r>
        <w:rPr>
          <w:snapToGrid w:val="0"/>
          <w:szCs w:val="24"/>
        </w:rPr>
        <w:tab/>
        <w:t>Purchaser of land to hold same subject to this Act</w:t>
      </w:r>
      <w:r>
        <w:tab/>
      </w:r>
      <w:r>
        <w:fldChar w:fldCharType="begin"/>
      </w:r>
      <w:r>
        <w:instrText xml:space="preserve"> PAGEREF _Toc122860910 \h </w:instrText>
      </w:r>
      <w:r>
        <w:fldChar w:fldCharType="separate"/>
      </w:r>
      <w:r>
        <w:t>10</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_Toc122860912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Cambridge Endowment Lands Act 1920</w:t>
      </w:r>
    </w:p>
    <w:p>
      <w:pPr>
        <w:pStyle w:val="LongTitle"/>
        <w:rPr>
          <w:snapToGrid w:val="0"/>
        </w:rPr>
      </w:pPr>
      <w:r>
        <w:rPr>
          <w:snapToGrid w:val="0"/>
        </w:rPr>
        <w:t>An Act relating to lands known as the Endowment Lands and the Lime Kilns Estate.</w:t>
      </w:r>
    </w:p>
    <w:p>
      <w:pPr>
        <w:pStyle w:val="Footnotelongtitle"/>
      </w:pPr>
      <w:r>
        <w:tab/>
        <w:t xml:space="preserve">[Long title inserted by No. 38 of 1993 s.22.] </w:t>
      </w:r>
    </w:p>
    <w:p>
      <w:pPr>
        <w:pStyle w:val="Heading2"/>
      </w:pPr>
      <w:bookmarkStart w:id="1" w:name="_Toc122854035"/>
      <w:bookmarkStart w:id="2" w:name="_Toc122854068"/>
      <w:bookmarkStart w:id="3" w:name="_Toc122854621"/>
      <w:bookmarkStart w:id="4" w:name="_Toc1228608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1418147"/>
      <w:bookmarkStart w:id="6" w:name="_Toc499093706"/>
      <w:bookmarkStart w:id="7" w:name="_Toc12286089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 xml:space="preserve">[Section 1 amended by No. 38 of 1993 s.19.] </w:t>
      </w:r>
    </w:p>
    <w:p>
      <w:pPr>
        <w:pStyle w:val="Ednotesection"/>
      </w:pPr>
      <w:r>
        <w:t>[</w:t>
      </w:r>
      <w:r>
        <w:rPr>
          <w:b/>
        </w:rPr>
        <w:t>2.</w:t>
      </w:r>
      <w:r>
        <w:tab/>
        <w:t xml:space="preserve">Repealed by No. 38 of 1993 s.22.] </w:t>
      </w:r>
    </w:p>
    <w:p>
      <w:pPr>
        <w:pStyle w:val="Heading5"/>
        <w:rPr>
          <w:snapToGrid w:val="0"/>
        </w:rPr>
      </w:pPr>
      <w:bookmarkStart w:id="8" w:name="_Toc411418148"/>
      <w:bookmarkStart w:id="9" w:name="_Toc499093707"/>
      <w:bookmarkStart w:id="10" w:name="_Toc12286089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Endowment Lands</w:t>
      </w:r>
      <w:r>
        <w:rPr>
          <w:b/>
        </w:rPr>
        <w:t>”</w:t>
      </w:r>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t>“</w:t>
      </w:r>
      <w:r>
        <w:rPr>
          <w:rStyle w:val="CharDefText"/>
        </w:rPr>
        <w:t>financial year</w:t>
      </w:r>
      <w:r>
        <w:rPr>
          <w:b/>
        </w:rPr>
        <w:t>”</w:t>
      </w:r>
      <w:r>
        <w:t xml:space="preserve"> has the definition given by section 1.4 of the </w:t>
      </w:r>
      <w:r>
        <w:rPr>
          <w:i/>
        </w:rPr>
        <w:t>Local Government Act 1995</w:t>
      </w:r>
      <w:r>
        <w:t>;</w:t>
      </w:r>
    </w:p>
    <w:p>
      <w:pPr>
        <w:pStyle w:val="Defstart"/>
      </w:pPr>
      <w:r>
        <w:rPr>
          <w:b/>
        </w:rPr>
        <w:tab/>
        <w:t>“</w:t>
      </w:r>
      <w:r>
        <w:rPr>
          <w:rStyle w:val="CharDefText"/>
        </w:rPr>
        <w:t>Lime Kilns Estate</w:t>
      </w:r>
      <w:r>
        <w:rPr>
          <w:b/>
        </w:rPr>
        <w:t>”</w:t>
      </w:r>
      <w:r>
        <w:t xml:space="preserve"> means those lands being Swan Location 571, Perthshire Location Ak, portions of Perthshire Location Al and Am, and Swan Locations 585, 617, and 691, containing 1,290 acres, which lands are comprised in Certificate of Title Volume 675, Folio 9, and are known as the “Lime Kilns Estate”;</w:t>
      </w:r>
    </w:p>
    <w:p>
      <w:pPr>
        <w:pStyle w:val="Defstart"/>
      </w:pPr>
      <w:r>
        <w:rPr>
          <w:b/>
        </w:rPr>
        <w:tab/>
        <w:t>“</w:t>
      </w:r>
      <w:r>
        <w:rPr>
          <w:rStyle w:val="CharDefText"/>
        </w:rPr>
        <w:t>Perry Lakes redevelopment land</w:t>
      </w:r>
      <w:r>
        <w:rPr>
          <w:b/>
        </w:rPr>
        <w:t>”</w:t>
      </w:r>
      <w:r>
        <w:t xml:space="preserve"> means — </w:t>
      </w:r>
    </w:p>
    <w:p>
      <w:pPr>
        <w:pStyle w:val="Defpara"/>
      </w:pPr>
      <w:r>
        <w:tab/>
        <w:t>(a)</w:t>
      </w:r>
      <w:r>
        <w:tab/>
        <w:t xml:space="preserve">the land being Lot 713 on Deposited Plan 48234 and being — </w:t>
      </w:r>
    </w:p>
    <w:p>
      <w:pPr>
        <w:pStyle w:val="Defsubpara"/>
      </w:pPr>
      <w:r>
        <w:tab/>
        <w:t>(i)</w:t>
      </w:r>
      <w:r>
        <w:tab/>
        <w:t>Lot 711 on Diagram 90080 and being the whole of the land in Certificate of Title Volume 2138 Folio 28;</w:t>
      </w:r>
    </w:p>
    <w:p>
      <w:pPr>
        <w:pStyle w:val="Defsubpara"/>
      </w:pPr>
      <w:r>
        <w:tab/>
        <w:t>(ii)</w:t>
      </w:r>
      <w:r>
        <w:tab/>
        <w:t>part of Lot 25 on Deposited Plan 25810 and being part of the land in Certificate of Title Volume 2586 Folio 279; and</w:t>
      </w:r>
    </w:p>
    <w:p>
      <w:pPr>
        <w:pStyle w:val="Defsubpara"/>
      </w:pPr>
      <w:r>
        <w:tab/>
        <w:t>(iii)</w:t>
      </w:r>
      <w:r>
        <w:tab/>
        <w:t>portion of road shown as Lot 2 on Deposited Plan 48234;</w:t>
      </w:r>
    </w:p>
    <w:p>
      <w:pPr>
        <w:pStyle w:val="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Defpara"/>
      </w:pPr>
      <w:r>
        <w:tab/>
        <w:t>(c)</w:t>
      </w:r>
      <w:r>
        <w:tab/>
        <w:t>the land being Lot 712 on Diagram 90077 and being the whole of the land in Certificate of Title Volume 2138 Folio 21;</w:t>
      </w:r>
    </w:p>
    <w:p>
      <w:pPr>
        <w:pStyle w:val="Defstart"/>
      </w:pPr>
      <w:r>
        <w:rPr>
          <w:b/>
        </w:rPr>
        <w:tab/>
        <w:t>“</w:t>
      </w:r>
      <w:r>
        <w:rPr>
          <w:rStyle w:val="CharDefText"/>
        </w:rPr>
        <w:t>road</w:t>
      </w:r>
      <w:r>
        <w:rPr>
          <w:b/>
        </w:rPr>
        <w:t>”</w:t>
      </w:r>
      <w:r>
        <w:t xml:space="preserve"> means a thoroughfare as defined in section 1.4 of the </w:t>
      </w:r>
      <w:r>
        <w:rPr>
          <w:i/>
        </w:rPr>
        <w:t>Local Government Act 1995</w:t>
      </w:r>
      <w:r>
        <w:t>;</w:t>
      </w:r>
    </w:p>
    <w:p>
      <w:pPr>
        <w:pStyle w:val="Defstart"/>
      </w:pPr>
      <w:r>
        <w:rPr>
          <w:b/>
        </w:rPr>
        <w:tab/>
        <w:t>“</w:t>
      </w:r>
      <w:r>
        <w:rPr>
          <w:rStyle w:val="CharDefText"/>
        </w:rPr>
        <w:t>the said lands</w:t>
      </w:r>
      <w:r>
        <w:rPr>
          <w:b/>
        </w:rPr>
        <w:t>”</w:t>
      </w:r>
      <w:r>
        <w:t xml:space="preserve"> means the Endowment Lands, the Lime Kilns Estate and Reserve ↑16921 but not the Perry Lakes redevelopment land.</w:t>
      </w:r>
    </w:p>
    <w:p>
      <w:pPr>
        <w:pStyle w:val="Footnotesection"/>
      </w:pPr>
      <w:r>
        <w:tab/>
        <w:t xml:space="preserve">[Section 3 inserted by No. 38 of 1993 s.20; amended by No. 14 of 1996 s.4; No. 43 of 2005 s. 54.] </w:t>
      </w:r>
    </w:p>
    <w:p>
      <w:pPr>
        <w:pStyle w:val="Heading2"/>
      </w:pPr>
      <w:bookmarkStart w:id="11" w:name="_Toc122854038"/>
      <w:bookmarkStart w:id="12" w:name="_Toc122854071"/>
      <w:bookmarkStart w:id="13" w:name="_Toc122854624"/>
      <w:bookmarkStart w:id="14" w:name="_Toc122860896"/>
      <w:r>
        <w:rPr>
          <w:rStyle w:val="CharPartNo"/>
        </w:rPr>
        <w:t>Part II</w:t>
      </w:r>
      <w:r>
        <w:rPr>
          <w:rStyle w:val="CharDivNo"/>
        </w:rPr>
        <w:t> </w:t>
      </w:r>
      <w:r>
        <w:t>—</w:t>
      </w:r>
      <w:r>
        <w:rPr>
          <w:rStyle w:val="CharDivText"/>
        </w:rPr>
        <w:t> </w:t>
      </w:r>
      <w:r>
        <w:rPr>
          <w:rStyle w:val="CharPartText"/>
        </w:rPr>
        <w:t>Valuation and rating</w:t>
      </w:r>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38 of 1993 s.22.] </w:t>
      </w:r>
    </w:p>
    <w:p>
      <w:pPr>
        <w:pStyle w:val="Ednotesection"/>
      </w:pPr>
      <w:r>
        <w:t>[</w:t>
      </w:r>
      <w:r>
        <w:rPr>
          <w:b/>
        </w:rPr>
        <w:t>4, 5.</w:t>
      </w:r>
      <w:r>
        <w:rPr>
          <w:b/>
        </w:rPr>
        <w:tab/>
      </w:r>
      <w:r>
        <w:t xml:space="preserve">Repealed by No. 38 of 1993 s.22.] </w:t>
      </w:r>
    </w:p>
    <w:p>
      <w:pPr>
        <w:pStyle w:val="Heading5"/>
        <w:rPr>
          <w:snapToGrid w:val="0"/>
        </w:rPr>
      </w:pPr>
      <w:bookmarkStart w:id="15" w:name="_Toc411418149"/>
      <w:bookmarkStart w:id="16" w:name="_Toc499093708"/>
      <w:bookmarkStart w:id="17" w:name="_Toc122860897"/>
      <w:r>
        <w:rPr>
          <w:rStyle w:val="CharSectno"/>
        </w:rPr>
        <w:t>6</w:t>
      </w:r>
      <w:r>
        <w:rPr>
          <w:snapToGrid w:val="0"/>
        </w:rPr>
        <w:t>.</w:t>
      </w:r>
      <w:r>
        <w:rPr>
          <w:snapToGrid w:val="0"/>
        </w:rPr>
        <w:tab/>
        <w:t>Valuation of lands on unimproved value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 xml:space="preserve">[Section 6 inserted by No. 76 of 1978 s.6.] </w:t>
      </w:r>
    </w:p>
    <w:p>
      <w:pPr>
        <w:pStyle w:val="Heading5"/>
        <w:rPr>
          <w:snapToGrid w:val="0"/>
        </w:rPr>
      </w:pPr>
      <w:bookmarkStart w:id="18" w:name="_Toc411418150"/>
      <w:bookmarkStart w:id="19" w:name="_Toc499093709"/>
      <w:bookmarkStart w:id="20" w:name="_Toc122860898"/>
      <w:r>
        <w:rPr>
          <w:rStyle w:val="CharSectno"/>
        </w:rPr>
        <w:t>7</w:t>
      </w:r>
      <w:r>
        <w:rPr>
          <w:snapToGrid w:val="0"/>
        </w:rPr>
        <w:t>.</w:t>
      </w:r>
      <w:r>
        <w:rPr>
          <w:snapToGrid w:val="0"/>
        </w:rPr>
        <w:tab/>
        <w:t>Rates on unimproved value</w:t>
      </w:r>
      <w:bookmarkEnd w:id="18"/>
      <w:bookmarkEnd w:id="19"/>
      <w:bookmarkEnd w:id="20"/>
      <w:r>
        <w:rPr>
          <w:snapToGrid w:val="0"/>
        </w:rPr>
        <w:t xml:space="preserve"> </w:t>
      </w:r>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 xml:space="preserve">[Section 7 amended by No. 76 of 1978 s.7; No. 2 of 1980 s.3; No. 14 of 1996 s.4.] </w:t>
      </w:r>
    </w:p>
    <w:p>
      <w:pPr>
        <w:pStyle w:val="Heading5"/>
        <w:rPr>
          <w:snapToGrid w:val="0"/>
        </w:rPr>
      </w:pPr>
      <w:bookmarkStart w:id="21" w:name="_Toc411418151"/>
      <w:bookmarkStart w:id="22" w:name="_Toc499093710"/>
      <w:bookmarkStart w:id="23" w:name="_Toc122860899"/>
      <w:r>
        <w:rPr>
          <w:rStyle w:val="CharSectno"/>
        </w:rPr>
        <w:t>7A</w:t>
      </w:r>
      <w:r>
        <w:rPr>
          <w:snapToGrid w:val="0"/>
        </w:rPr>
        <w:t xml:space="preserve">. </w:t>
      </w:r>
      <w:r>
        <w:rPr>
          <w:snapToGrid w:val="0"/>
        </w:rPr>
        <w:tab/>
        <w:t>Apportionment of rates burden between said lands and remainder of local government district in respect of financial years commencing on 1 July 1969 and 1 July 1980</w:t>
      </w:r>
      <w:bookmarkEnd w:id="21"/>
      <w:bookmarkEnd w:id="22"/>
      <w:bookmarkEnd w:id="23"/>
      <w:r>
        <w:rPr>
          <w:snapToGrid w:val="0"/>
        </w:rPr>
        <w:t xml:space="preserve"> </w:t>
      </w:r>
    </w:p>
    <w:p>
      <w:pPr>
        <w:pStyle w:val="Ednotesubsection"/>
      </w:pPr>
      <w:r>
        <w:tab/>
        <w:t>[(1) and (2)</w:t>
      </w:r>
      <w:r>
        <w:tab/>
        <w:t>repealed]</w:t>
      </w:r>
    </w:p>
    <w:p>
      <w:pPr>
        <w:pStyle w:val="Subsection"/>
        <w:spacing w:before="140"/>
        <w:rPr>
          <w:snapToGrid w:val="0"/>
        </w:rPr>
      </w:pPr>
      <w:r>
        <w:rPr>
          <w:snapToGrid w:val="0"/>
        </w:rPr>
        <w:tab/>
        <w:t>(3)</w:t>
      </w:r>
      <w:r>
        <w:rPr>
          <w:snapToGrid w:val="0"/>
        </w:rPr>
        <w:tab/>
        <w:t>In respect of each financial year the Town of Cambridge shall determine the general rate to be imposed in relation to — </w:t>
      </w:r>
    </w:p>
    <w:p>
      <w:pPr>
        <w:pStyle w:val="Indenta"/>
        <w:rPr>
          <w:snapToGrid w:val="0"/>
        </w:rPr>
      </w:pPr>
      <w:r>
        <w:rPr>
          <w:snapToGrid w:val="0"/>
        </w:rPr>
        <w:tab/>
        <w:t>(a)</w:t>
      </w:r>
      <w:r>
        <w:rPr>
          <w:snapToGrid w:val="0"/>
        </w:rPr>
        <w:tab/>
        <w:t xml:space="preserve">the said lands, which general rate shall yield an amount (in this subsection called </w:t>
      </w:r>
      <w:r>
        <w:rPr>
          <w:b/>
          <w:snapToGrid w:val="0"/>
        </w:rPr>
        <w:t>“</w:t>
      </w:r>
      <w:r>
        <w:rPr>
          <w:rStyle w:val="CharDefText"/>
        </w:rPr>
        <w:t>the endowment lands assessment</w:t>
      </w:r>
      <w:r>
        <w:rPr>
          <w:b/>
          <w:snapToGrid w:val="0"/>
        </w:rPr>
        <w:t>”</w:t>
      </w:r>
      <w:r>
        <w:rPr>
          <w:snapToGrid w:val="0"/>
        </w:rPr>
        <w: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t xml:space="preserve">repealed] </w:t>
      </w:r>
    </w:p>
    <w:p>
      <w:pPr>
        <w:pStyle w:val="Subsection"/>
        <w:rPr>
          <w:snapToGrid w:val="0"/>
        </w:rPr>
      </w:pPr>
      <w:r>
        <w:rPr>
          <w:snapToGrid w:val="0"/>
        </w:rPr>
        <w:tab/>
        <w:t>(5)</w:t>
      </w:r>
      <w:r>
        <w:rPr>
          <w:snapToGrid w:val="0"/>
        </w:rPr>
        <w:tab/>
        <w:t>In this section — </w:t>
      </w:r>
    </w:p>
    <w:p>
      <w:pPr>
        <w:pStyle w:val="Defstart"/>
      </w:pPr>
      <w:r>
        <w:tab/>
      </w:r>
      <w:r>
        <w:rPr>
          <w:b/>
        </w:rPr>
        <w:t>“</w:t>
      </w:r>
      <w:r>
        <w:rPr>
          <w:rStyle w:val="CharDefText"/>
        </w:rPr>
        <w:t>budget deficiency</w:t>
      </w:r>
      <w:r>
        <w:rPr>
          <w:b/>
        </w:rPr>
        <w:t>”</w:t>
      </w:r>
      <w:r>
        <w:t xml:space="preserve"> has the same meaning as in section 6.1 of the </w:t>
      </w:r>
      <w:r>
        <w:rPr>
          <w:i/>
        </w:rPr>
        <w:t>Local Government Act 1995</w:t>
      </w:r>
      <w:r>
        <w:t>;</w:t>
      </w:r>
    </w:p>
    <w:p>
      <w:pPr>
        <w:pStyle w:val="Defstart"/>
      </w:pPr>
      <w:r>
        <w:rPr>
          <w:b/>
        </w:rPr>
        <w:tab/>
        <w:t>“</w:t>
      </w:r>
      <w:r>
        <w:rPr>
          <w:rStyle w:val="CharDefText"/>
        </w:rPr>
        <w:t>district</w:t>
      </w:r>
      <w:r>
        <w:rPr>
          <w:b/>
        </w:rPr>
        <w:t>”</w:t>
      </w:r>
      <w:r>
        <w:t xml:space="preserve"> means the local government district of Cambridge;</w:t>
      </w:r>
    </w:p>
    <w:p>
      <w:pPr>
        <w:pStyle w:val="Defstart"/>
      </w:pPr>
      <w:r>
        <w:rPr>
          <w:b/>
        </w:rPr>
        <w:tab/>
        <w:t>“</w:t>
      </w:r>
      <w:r>
        <w:rPr>
          <w:rStyle w:val="CharDefText"/>
        </w:rPr>
        <w:t>first decimal place</w:t>
      </w:r>
      <w:r>
        <w:rPr>
          <w:b/>
        </w:rPr>
        <w:t>”</w:t>
      </w:r>
      <w:r>
        <w:t xml:space="preserve"> means first decimal place after the decimal point in the number concerned;</w:t>
      </w:r>
    </w:p>
    <w:p>
      <w:pPr>
        <w:pStyle w:val="Defstart"/>
      </w:pPr>
      <w:r>
        <w:rPr>
          <w:b/>
        </w:rPr>
        <w:tab/>
        <w:t>“</w:t>
      </w:r>
      <w:r>
        <w:rPr>
          <w:rStyle w:val="CharDefText"/>
        </w:rPr>
        <w:t>general valuation</w:t>
      </w:r>
      <w:r>
        <w:rPr>
          <w:b/>
        </w:rPr>
        <w:t>”</w:t>
      </w:r>
      <w:r>
        <w:t xml:space="preserve"> has the meaning given by section 4 of the </w:t>
      </w:r>
      <w:r>
        <w:rPr>
          <w:i/>
        </w:rPr>
        <w:t>Valuation of Land Act 1978</w:t>
      </w:r>
      <w:r>
        <w:t>;</w:t>
      </w:r>
    </w:p>
    <w:p>
      <w:pPr>
        <w:pStyle w:val="Defstart"/>
      </w:pPr>
      <w:r>
        <w:rPr>
          <w:b/>
        </w:rPr>
        <w:tab/>
        <w:t>“</w:t>
      </w:r>
      <w:r>
        <w:rPr>
          <w:rStyle w:val="CharDefText"/>
        </w:rPr>
        <w:t>gross rental values</w:t>
      </w:r>
      <w:r>
        <w:rPr>
          <w:b/>
        </w:rPr>
        <w:t>”</w:t>
      </w:r>
      <w:r>
        <w:t>,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t>“</w:t>
      </w:r>
      <w:r>
        <w:rPr>
          <w:rStyle w:val="CharDefText"/>
        </w:rPr>
        <w:t>the remainder of the district</w:t>
      </w:r>
      <w:r>
        <w:rPr>
          <w:b/>
        </w:rPr>
        <w:t>”</w:t>
      </w:r>
      <w:r>
        <w:t xml:space="preserve"> means that portion of the district remaining after subtracting the area of the said lands from the district.</w:t>
      </w:r>
    </w:p>
    <w:p>
      <w:pPr>
        <w:pStyle w:val="Footnotesection"/>
      </w:pPr>
      <w:r>
        <w:tab/>
        <w:t>[Section 7A inserted by No. 2 of 1980 s.4; amended by No. 7 of 1981 s.2; No. 38 of 1993 s.22; No. 14 of 1996 s.4.]</w:t>
      </w:r>
    </w:p>
    <w:p>
      <w:pPr>
        <w:pStyle w:val="Ednotesection"/>
      </w:pPr>
      <w:r>
        <w:t>[</w:t>
      </w:r>
      <w:r>
        <w:rPr>
          <w:b/>
        </w:rPr>
        <w:t>8, 9 and 10.</w:t>
      </w:r>
      <w:r>
        <w:tab/>
        <w:t>Repealed by No. 38 of 1993 s.22.]</w:t>
      </w:r>
    </w:p>
    <w:p>
      <w:pPr>
        <w:pStyle w:val="Ednotepart"/>
      </w:pPr>
      <w:r>
        <w:t>[Parts III, IV and V repealed by No. 38 of 1993 s.22.]</w:t>
      </w:r>
    </w:p>
    <w:p>
      <w:pPr>
        <w:pStyle w:val="Heading2"/>
      </w:pPr>
      <w:bookmarkStart w:id="24" w:name="_Toc122854042"/>
      <w:bookmarkStart w:id="25" w:name="_Toc122854075"/>
      <w:bookmarkStart w:id="26" w:name="_Toc122854628"/>
      <w:bookmarkStart w:id="27" w:name="_Toc122860900"/>
      <w:r>
        <w:rPr>
          <w:rStyle w:val="CharPartNo"/>
        </w:rPr>
        <w:t>Part VI</w:t>
      </w:r>
      <w:r>
        <w:rPr>
          <w:rStyle w:val="CharDivNo"/>
        </w:rPr>
        <w:t> </w:t>
      </w:r>
      <w:r>
        <w:t>—</w:t>
      </w:r>
      <w:r>
        <w:rPr>
          <w:rStyle w:val="CharDivText"/>
        </w:rPr>
        <w:t> </w:t>
      </w:r>
      <w:r>
        <w:rPr>
          <w:rStyle w:val="CharPartText"/>
        </w:rPr>
        <w:t>Powers of the local government</w:t>
      </w:r>
      <w:bookmarkEnd w:id="24"/>
      <w:bookmarkEnd w:id="25"/>
      <w:bookmarkEnd w:id="26"/>
      <w:bookmarkEnd w:id="27"/>
      <w:r>
        <w:rPr>
          <w:rStyle w:val="CharPartText"/>
        </w:rPr>
        <w:t xml:space="preserve"> </w:t>
      </w:r>
    </w:p>
    <w:p>
      <w:pPr>
        <w:pStyle w:val="Footnoteheading"/>
        <w:rPr>
          <w:snapToGrid w:val="0"/>
        </w:rPr>
      </w:pPr>
      <w:r>
        <w:rPr>
          <w:snapToGrid w:val="0"/>
        </w:rPr>
        <w:tab/>
        <w:t xml:space="preserve">[Heading amended by No. 14 of 1996 s.4.] </w:t>
      </w:r>
    </w:p>
    <w:p>
      <w:pPr>
        <w:pStyle w:val="Heading5"/>
        <w:rPr>
          <w:snapToGrid w:val="0"/>
        </w:rPr>
      </w:pPr>
      <w:bookmarkStart w:id="28" w:name="_Toc411418152"/>
      <w:bookmarkStart w:id="29" w:name="_Toc499093711"/>
      <w:bookmarkStart w:id="30" w:name="_Toc122860901"/>
      <w:r>
        <w:rPr>
          <w:rStyle w:val="CharSectno"/>
        </w:rPr>
        <w:t>39</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Town lands</w:t>
      </w:r>
      <w:r>
        <w:rPr>
          <w:b/>
          <w:snapToGrid w:val="0"/>
        </w:rPr>
        <w:t>”</w:t>
      </w:r>
      <w:r>
        <w:rPr>
          <w:snapToGrid w:val="0"/>
        </w:rPr>
        <w:t xml:space="preserve"> means those portions of the said lands of which the Town of Cambridge is the registered proprietor.</w:t>
      </w:r>
    </w:p>
    <w:p>
      <w:pPr>
        <w:pStyle w:val="Footnotesection"/>
      </w:pPr>
      <w:r>
        <w:tab/>
        <w:t xml:space="preserve">[Section 39 inserted by No. 38 of 1993 s.21.] </w:t>
      </w:r>
    </w:p>
    <w:p>
      <w:pPr>
        <w:pStyle w:val="Heading5"/>
        <w:rPr>
          <w:snapToGrid w:val="0"/>
        </w:rPr>
      </w:pPr>
      <w:bookmarkStart w:id="31" w:name="_Toc411418153"/>
      <w:bookmarkStart w:id="32" w:name="_Toc499093712"/>
      <w:bookmarkStart w:id="33" w:name="_Toc122860902"/>
      <w:r>
        <w:rPr>
          <w:rStyle w:val="CharSectno"/>
        </w:rPr>
        <w:t>40</w:t>
      </w:r>
      <w:r>
        <w:rPr>
          <w:snapToGrid w:val="0"/>
        </w:rPr>
        <w:t>.</w:t>
      </w:r>
      <w:r>
        <w:rPr>
          <w:snapToGrid w:val="0"/>
        </w:rPr>
        <w:tab/>
        <w:t>Town of Cambridge’s powers over Town lands</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Cambridge has all the powers of an owner of an estate in fee simple in respect of the Town lands.</w:t>
      </w:r>
    </w:p>
    <w:p>
      <w:pPr>
        <w:pStyle w:val="Footnotesection"/>
      </w:pPr>
      <w:r>
        <w:tab/>
        <w:t>[Section 40 inserted by No. 38 of 1993 s.21; amended by No. 14 of 1996 s.4.]</w:t>
      </w:r>
    </w:p>
    <w:p>
      <w:pPr>
        <w:pStyle w:val="Heading5"/>
        <w:rPr>
          <w:snapToGrid w:val="0"/>
        </w:rPr>
      </w:pPr>
      <w:bookmarkStart w:id="34" w:name="_Toc411418154"/>
      <w:bookmarkStart w:id="35" w:name="_Toc499093713"/>
      <w:bookmarkStart w:id="36" w:name="_Toc122860903"/>
      <w:r>
        <w:rPr>
          <w:rStyle w:val="CharSectno"/>
        </w:rPr>
        <w:t>41</w:t>
      </w:r>
      <w:r>
        <w:rPr>
          <w:snapToGrid w:val="0"/>
        </w:rPr>
        <w:t>.</w:t>
      </w:r>
      <w:r>
        <w:rPr>
          <w:snapToGrid w:val="0"/>
        </w:rPr>
        <w:tab/>
        <w:t>Proceeds of sales of Town lands</w:t>
      </w:r>
      <w:bookmarkEnd w:id="34"/>
      <w:bookmarkEnd w:id="35"/>
      <w:bookmarkEnd w:id="36"/>
      <w:r>
        <w:rPr>
          <w:snapToGrid w:val="0"/>
        </w:rPr>
        <w:t xml:space="preserve"> </w:t>
      </w:r>
    </w:p>
    <w:p>
      <w:pPr>
        <w:pStyle w:val="Subsection"/>
        <w:rPr>
          <w:snapToGrid w:val="0"/>
        </w:rPr>
      </w:pPr>
      <w:r>
        <w:rPr>
          <w:snapToGrid w:val="0"/>
        </w:rPr>
        <w:tab/>
        <w:t>(1)</w:t>
      </w:r>
      <w:r>
        <w:rPr>
          <w:snapToGrid w:val="0"/>
        </w:rPr>
        <w:tab/>
        <w:t>The Town of Cambridge is to establish an account called the “Cambridge Endowment Lands Account” (</w:t>
      </w:r>
      <w:r>
        <w:rPr>
          <w:b/>
          <w:snapToGrid w:val="0"/>
        </w:rPr>
        <w:t>“</w:t>
      </w:r>
      <w:r>
        <w:rPr>
          <w:rStyle w:val="CharDefText"/>
        </w:rPr>
        <w:t>the Account</w:t>
      </w:r>
      <w:r>
        <w:rPr>
          <w:b/>
          <w:snapToGrid w:val="0"/>
        </w:rPr>
        <w:t>”</w:t>
      </w:r>
      <w:r>
        <w:rPr>
          <w:snapToGrid w:val="0"/>
        </w:rPr>
        <w:t>).</w:t>
      </w:r>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The Town of Cambridge may transfer such of the funds in the Account as it thinks fit into a reserve fund.</w:t>
      </w:r>
    </w:p>
    <w:p>
      <w:pPr>
        <w:pStyle w:val="Subsection"/>
        <w:rPr>
          <w:snapToGrid w:val="0"/>
        </w:rPr>
      </w:pPr>
      <w:r>
        <w:rPr>
          <w:snapToGrid w:val="0"/>
        </w:rPr>
        <w:tab/>
        <w:t>(4)</w:t>
      </w:r>
      <w:r>
        <w:rPr>
          <w:snapToGrid w:val="0"/>
        </w:rPr>
        <w:tab/>
        <w:t>The Town of Cambridge may invest such of the funds in the Account as it thinks fit in any manner that a trustee may lawfully invest trust funds.</w:t>
      </w:r>
    </w:p>
    <w:p>
      <w:pPr>
        <w:pStyle w:val="Subsection"/>
        <w:rPr>
          <w:snapToGrid w:val="0"/>
        </w:rPr>
      </w:pPr>
      <w:r>
        <w:rPr>
          <w:snapToGrid w:val="0"/>
        </w:rPr>
        <w:tab/>
        <w:t>(5)</w:t>
      </w:r>
      <w:r>
        <w:rPr>
          <w:snapToGrid w:val="0"/>
        </w:rPr>
        <w:tab/>
        <w:t>Moneys in the Account shall be applied by the Town of Cambridge in the development of the said lands.</w:t>
      </w:r>
    </w:p>
    <w:p>
      <w:pPr>
        <w:pStyle w:val="Footnotesection"/>
      </w:pPr>
      <w:r>
        <w:tab/>
        <w:t>[Section 41 inserted by No. 38 of 1993 s.21.]</w:t>
      </w:r>
    </w:p>
    <w:p>
      <w:pPr>
        <w:pStyle w:val="Heading2"/>
      </w:pPr>
      <w:bookmarkStart w:id="37" w:name="_Toc122854046"/>
      <w:bookmarkStart w:id="38" w:name="_Toc122854079"/>
      <w:bookmarkStart w:id="39" w:name="_Toc122854632"/>
      <w:bookmarkStart w:id="40" w:name="_Toc122860904"/>
      <w:r>
        <w:rPr>
          <w:rStyle w:val="CharPartNo"/>
        </w:rPr>
        <w:t>Part VII</w:t>
      </w:r>
      <w:r>
        <w:rPr>
          <w:rStyle w:val="CharDivNo"/>
        </w:rPr>
        <w:t> </w:t>
      </w:r>
      <w:r>
        <w:t>—</w:t>
      </w:r>
      <w:r>
        <w:rPr>
          <w:rStyle w:val="CharDivText"/>
        </w:rPr>
        <w:t> </w:t>
      </w:r>
      <w:r>
        <w:rPr>
          <w:rStyle w:val="CharPartText"/>
        </w:rPr>
        <w:t>Local laws</w:t>
      </w:r>
      <w:bookmarkEnd w:id="37"/>
      <w:bookmarkEnd w:id="38"/>
      <w:bookmarkEnd w:id="39"/>
      <w:bookmarkEnd w:id="40"/>
    </w:p>
    <w:p>
      <w:pPr>
        <w:pStyle w:val="Footnoteheading"/>
      </w:pPr>
      <w:r>
        <w:tab/>
        <w:t xml:space="preserve">[Heading amended by No. 57 of 1997 s.27(1).] </w:t>
      </w:r>
    </w:p>
    <w:p>
      <w:pPr>
        <w:pStyle w:val="Heading5"/>
        <w:rPr>
          <w:snapToGrid w:val="0"/>
        </w:rPr>
      </w:pPr>
      <w:bookmarkStart w:id="41" w:name="_Toc411418155"/>
      <w:bookmarkStart w:id="42" w:name="_Toc499093714"/>
      <w:bookmarkStart w:id="43" w:name="_Toc122860905"/>
      <w:r>
        <w:rPr>
          <w:rStyle w:val="CharSectno"/>
        </w:rPr>
        <w:t>42</w:t>
      </w:r>
      <w:r>
        <w:rPr>
          <w:snapToGrid w:val="0"/>
        </w:rPr>
        <w:t>.</w:t>
      </w:r>
      <w:r>
        <w:rPr>
          <w:snapToGrid w:val="0"/>
        </w:rPr>
        <w:tab/>
        <w:t>Additional powers of making local laws</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Town of Cambridge may make local laws in accordance with subdivision 2 of Division 2 of Part 3 of the </w:t>
      </w:r>
      <w:r>
        <w:rPr>
          <w:i/>
          <w:snapToGrid w:val="0"/>
        </w:rPr>
        <w:t>Local Government Act 1995</w:t>
      </w:r>
      <w:r>
        <w:rPr>
          <w:snapToGrid w:val="0"/>
        </w:rPr>
        <w:t xml:space="preserve"> to have effect within “the said lands” as to the following matters: — </w:t>
      </w:r>
    </w:p>
    <w:p>
      <w:pPr>
        <w:pStyle w:val="Ednotepara"/>
        <w:rPr>
          <w:snapToGrid w:val="0"/>
        </w:rPr>
      </w:pPr>
      <w:r>
        <w:tab/>
      </w:r>
      <w:r>
        <w:rPr>
          <w:snapToGrid w:val="0"/>
        </w:rPr>
        <w:t>[</w:t>
      </w:r>
      <w:r>
        <w:t>(1)</w:t>
      </w:r>
      <w:r>
        <w:tab/>
      </w:r>
      <w:r>
        <w:rPr>
          <w:snapToGrid w:val="0"/>
        </w:rPr>
        <w:t xml:space="preserve">Deleted] </w:t>
      </w:r>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 </w:t>
      </w:r>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 xml:space="preserve">[Section 42 amended by No. 113 of 1965 s.8; No. 38 of 1993 s.22; No. 14 of 1996 s.4; No. 57 of 1997 s.27(2).] </w:t>
      </w:r>
    </w:p>
    <w:p>
      <w:pPr>
        <w:pStyle w:val="Heading5"/>
        <w:rPr>
          <w:snapToGrid w:val="0"/>
        </w:rPr>
      </w:pPr>
      <w:bookmarkStart w:id="44" w:name="_Toc411418156"/>
      <w:bookmarkStart w:id="45" w:name="_Toc499093715"/>
      <w:bookmarkStart w:id="46" w:name="_Toc122860906"/>
      <w:r>
        <w:rPr>
          <w:rStyle w:val="CharSectno"/>
        </w:rPr>
        <w:t>43</w:t>
      </w:r>
      <w:r>
        <w:rPr>
          <w:snapToGrid w:val="0"/>
        </w:rPr>
        <w:t>.</w:t>
      </w:r>
      <w:r>
        <w:rPr>
          <w:snapToGrid w:val="0"/>
        </w:rPr>
        <w:tab/>
        <w:t>Power to levy tolls and charges</w:t>
      </w:r>
      <w:bookmarkEnd w:id="44"/>
      <w:bookmarkEnd w:id="45"/>
      <w:bookmarkEnd w:id="46"/>
      <w:r>
        <w:rPr>
          <w:snapToGrid w:val="0"/>
        </w:rPr>
        <w:t xml:space="preserve"> </w:t>
      </w:r>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 xml:space="preserve">[Section 43 amended by No. 14 of 1996 s.4.] </w:t>
      </w:r>
    </w:p>
    <w:p>
      <w:pPr>
        <w:pStyle w:val="Heading2"/>
      </w:pPr>
      <w:bookmarkStart w:id="47" w:name="_Toc122854049"/>
      <w:bookmarkStart w:id="48" w:name="_Toc122854082"/>
      <w:bookmarkStart w:id="49" w:name="_Toc122854635"/>
      <w:bookmarkStart w:id="50" w:name="_Toc122860907"/>
      <w:r>
        <w:rPr>
          <w:rStyle w:val="CharPartNo"/>
        </w:rPr>
        <w:t>Part VIII</w:t>
      </w:r>
      <w:r>
        <w:rPr>
          <w:rStyle w:val="CharDivNo"/>
        </w:rPr>
        <w:t> </w:t>
      </w:r>
      <w:r>
        <w:t>—</w:t>
      </w:r>
      <w:r>
        <w:rPr>
          <w:rStyle w:val="CharDivText"/>
        </w:rPr>
        <w:t> </w:t>
      </w:r>
      <w:r>
        <w:rPr>
          <w:rStyle w:val="CharPartText"/>
        </w:rPr>
        <w:t>General</w:t>
      </w:r>
      <w:bookmarkEnd w:id="47"/>
      <w:bookmarkEnd w:id="48"/>
      <w:bookmarkEnd w:id="49"/>
      <w:bookmarkEnd w:id="50"/>
      <w:r>
        <w:rPr>
          <w:rStyle w:val="CharPartText"/>
        </w:rPr>
        <w:t xml:space="preserve"> </w:t>
      </w:r>
    </w:p>
    <w:p>
      <w:pPr>
        <w:pStyle w:val="Heading5"/>
        <w:rPr>
          <w:snapToGrid w:val="0"/>
        </w:rPr>
      </w:pPr>
      <w:bookmarkStart w:id="51" w:name="_Toc411418157"/>
      <w:bookmarkStart w:id="52" w:name="_Toc499093716"/>
      <w:bookmarkStart w:id="53" w:name="_Toc122860908"/>
      <w:r>
        <w:rPr>
          <w:rStyle w:val="CharSectno"/>
        </w:rPr>
        <w:t>44</w:t>
      </w:r>
      <w:r>
        <w:rPr>
          <w:snapToGrid w:val="0"/>
        </w:rPr>
        <w:t>.</w:t>
      </w:r>
      <w:r>
        <w:rPr>
          <w:snapToGrid w:val="0"/>
        </w:rPr>
        <w:tab/>
        <w:t xml:space="preserve">Application of </w:t>
      </w:r>
      <w:r>
        <w:rPr>
          <w:i/>
          <w:snapToGrid w:val="0"/>
        </w:rPr>
        <w:t>Local Government Act 1995</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 xml:space="preserve">[Section 44 amended by No. 38 of 1993 s.22; No. 14 of 1996 s.4.] </w:t>
      </w:r>
    </w:p>
    <w:p>
      <w:pPr>
        <w:pStyle w:val="Heading5"/>
        <w:rPr>
          <w:snapToGrid w:val="0"/>
        </w:rPr>
      </w:pPr>
      <w:bookmarkStart w:id="54" w:name="_Toc411418158"/>
      <w:bookmarkStart w:id="55" w:name="_Toc499093717"/>
      <w:bookmarkStart w:id="56" w:name="_Toc122860909"/>
      <w:r>
        <w:rPr>
          <w:rStyle w:val="CharSectno"/>
        </w:rPr>
        <w:t>45</w:t>
      </w:r>
      <w:r>
        <w:rPr>
          <w:snapToGrid w:val="0"/>
        </w:rPr>
        <w:t>.</w:t>
      </w:r>
      <w:r>
        <w:rPr>
          <w:snapToGrid w:val="0"/>
        </w:rPr>
        <w:tab/>
        <w:t>Liquor license for premises within said lands not to be granted without local governments consent</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No license under the </w:t>
      </w:r>
      <w:r>
        <w:rPr>
          <w:i/>
          <w:snapToGrid w:val="0"/>
        </w:rPr>
        <w:t>Liquor Licensing Act 1988</w:t>
      </w:r>
      <w:r>
        <w:rPr>
          <w:snapToGrid w:val="0"/>
        </w:rPr>
        <w:t>, or any statutory amendment or modification thereof shall be granted by any licensing authority to any person in respect of any building erected or to be erected on any part of the said lands without the consent in writing of the Town of Cambridge is first obtained.</w:t>
      </w:r>
    </w:p>
    <w:p>
      <w:pPr>
        <w:pStyle w:val="Footnotesection"/>
      </w:pPr>
      <w:r>
        <w:tab/>
        <w:t xml:space="preserve">[Section 45 amended by No. 38 of 1993 s.22; No. 14 of 1996 s.4.] </w:t>
      </w:r>
    </w:p>
    <w:p>
      <w:pPr>
        <w:pStyle w:val="Heading5"/>
        <w:rPr>
          <w:snapToGrid w:val="0"/>
        </w:rPr>
      </w:pPr>
      <w:bookmarkStart w:id="57" w:name="_Toc411418159"/>
      <w:bookmarkStart w:id="58" w:name="_Toc499093718"/>
      <w:bookmarkStart w:id="59" w:name="_Toc122860910"/>
      <w:r>
        <w:rPr>
          <w:rStyle w:val="CharSectno"/>
        </w:rPr>
        <w:t>46</w:t>
      </w:r>
      <w:r>
        <w:rPr>
          <w:snapToGrid w:val="0"/>
        </w:rPr>
        <w:t>.</w:t>
      </w:r>
      <w:r>
        <w:rPr>
          <w:snapToGrid w:val="0"/>
        </w:rPr>
        <w:tab/>
        <w:t>Purchaser of land to hold same subject to this Act</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 — </w:t>
      </w:r>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00"/>
        <w:rPr>
          <w:snapToGrid w:val="0"/>
        </w:rPr>
      </w:pPr>
      <w:r>
        <w:rPr>
          <w:snapToGrid w:val="0"/>
        </w:rPr>
        <w:tab/>
        <w:t>(2)</w:t>
      </w:r>
      <w:r>
        <w:rPr>
          <w:snapToGrid w:val="0"/>
        </w:rPr>
        <w:tab/>
        <w:t xml:space="preserve">Subsection (1) shall not apply to any of the said lands which before the commencement of this subsection have been acquired from the City of Perth by the Workers’ Homes Board under and for the purposes of the </w:t>
      </w:r>
      <w:r>
        <w:rPr>
          <w:i/>
          <w:snapToGrid w:val="0"/>
        </w:rPr>
        <w:t>Workers’ Homes Act 1911</w:t>
      </w:r>
      <w:r>
        <w:rPr>
          <w:snapToGrid w:val="0"/>
          <w:vertAlign w:val="superscript"/>
        </w:rPr>
        <w:t> 2</w:t>
      </w:r>
      <w:r>
        <w:rPr>
          <w:snapToGrid w:val="0"/>
        </w:rPr>
        <w:t>, whether by purchase or otherwise, or to any of the said lands which after the commencement of this subsection may at any time be acquired from the City of Perth by the said Workers’ Homes Board for the purposes aforesaid and of which the said Workers’ Homes Board has become registered, or may hereafter become or be entitled to be registered as the proprietor of an estate in freehold.</w:t>
      </w:r>
    </w:p>
    <w:p>
      <w:pPr>
        <w:pStyle w:val="Subsection"/>
        <w:spacing w:before="200"/>
        <w:rPr>
          <w:snapToGrid w:val="0"/>
        </w:rPr>
      </w:pPr>
      <w:r>
        <w:rPr>
          <w:snapToGrid w:val="0"/>
        </w:rPr>
        <w:tab/>
        <w:t>(3)</w:t>
      </w:r>
      <w:r>
        <w:rPr>
          <w:snapToGrid w:val="0"/>
        </w:rPr>
        <w:tab/>
        <w:t>In the case of any of the said lands of which prior to the commencement of subsection (2) the Workers’ Homes Board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 and without payment of any fee, cancel the memorandum or statement indorsed prior to the commencement of subsection (2) upon the certificate of title of such lands, as required by subsection (1).</w:t>
      </w:r>
    </w:p>
    <w:p>
      <w:pPr>
        <w:pStyle w:val="Subsection"/>
        <w:spacing w:before="200"/>
        <w:rPr>
          <w:snapToGrid w:val="0"/>
        </w:rPr>
      </w:pPr>
      <w:r>
        <w:rPr>
          <w:snapToGrid w:val="0"/>
        </w:rPr>
        <w:tab/>
        <w:t>(4)</w:t>
      </w:r>
      <w:r>
        <w:rPr>
          <w:snapToGrid w:val="0"/>
        </w:rPr>
        <w:tab/>
        <w:t xml:space="preserve">Whenever after the commencement of subsection (2) the Workers’ Homes Board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2</w:t>
      </w:r>
      <w:r>
        <w:rPr>
          <w:snapToGrid w:val="0"/>
        </w:rPr>
        <w:t>, a notice to the Registrar of Titles under the seal of the said Board that the said lands have been so acquired under and for the purposes of the said Act shall be sufficient notice to the said Registrar that subsection (1) does not apply to the said lands as mentioned and described in the notice given by the said Board as aforesaid.</w:t>
      </w:r>
    </w:p>
    <w:p>
      <w:pPr>
        <w:pStyle w:val="Footnotesection"/>
      </w:pPr>
      <w:r>
        <w:tab/>
        <w:t xml:space="preserve">[Section 46 amended by No. 15 of 1936 s.2; No. 38 of 1993 s.22; No. 14 of 1996 s.4.] </w:t>
      </w:r>
    </w:p>
    <w:p>
      <w:pPr>
        <w:pStyle w:val="Ednotesection"/>
      </w:pPr>
      <w:r>
        <w:t>[</w:t>
      </w:r>
      <w:r>
        <w:rPr>
          <w:b/>
        </w:rPr>
        <w:t>47.</w:t>
      </w:r>
      <w:r>
        <w:tab/>
        <w:t xml:space="preserve">Repealed by No. 111 of 1979 s.3(2).]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60" w:name="_Toc122854053"/>
      <w:bookmarkStart w:id="61" w:name="_Toc122854086"/>
      <w:bookmarkStart w:id="62" w:name="_Toc122854639"/>
      <w:bookmarkStart w:id="63" w:name="_Toc122860911"/>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Cambridge Endowment Lands Act 1920</w:t>
      </w:r>
      <w:r>
        <w:rPr>
          <w:snapToGrid w:val="0"/>
        </w:rPr>
        <w:t xml:space="preserve"> and includes the amendments made by the other written laws referred to in the following table.</w:t>
      </w:r>
    </w:p>
    <w:p>
      <w:pPr>
        <w:pStyle w:val="nHeading3"/>
        <w:rPr>
          <w:snapToGrid w:val="0"/>
        </w:rPr>
      </w:pPr>
      <w:bookmarkStart w:id="64" w:name="_Toc122860912"/>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City of Perth Endowment Lands Act 1920</w:t>
            </w:r>
          </w:p>
        </w:tc>
        <w:tc>
          <w:tcPr>
            <w:tcW w:w="1134" w:type="dxa"/>
          </w:tcPr>
          <w:p>
            <w:pPr>
              <w:pStyle w:val="nTable"/>
              <w:spacing w:after="40"/>
              <w:rPr>
                <w:sz w:val="19"/>
              </w:rPr>
            </w:pPr>
            <w:r>
              <w:rPr>
                <w:sz w:val="19"/>
              </w:rPr>
              <w:t>31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i/>
                <w:sz w:val="19"/>
              </w:rPr>
            </w:pPr>
            <w:r>
              <w:rPr>
                <w:i/>
                <w:sz w:val="19"/>
              </w:rPr>
              <w:t>City of Perth Endowment Lands Act Amendment Act 1936</w:t>
            </w:r>
          </w:p>
        </w:tc>
        <w:tc>
          <w:tcPr>
            <w:tcW w:w="1134" w:type="dxa"/>
          </w:tcPr>
          <w:p>
            <w:pPr>
              <w:pStyle w:val="nTable"/>
              <w:spacing w:after="40"/>
              <w:rPr>
                <w:sz w:val="19"/>
              </w:rPr>
            </w:pPr>
            <w:r>
              <w:rPr>
                <w:sz w:val="19"/>
              </w:rPr>
              <w:t>15 of 1936</w:t>
            </w:r>
          </w:p>
        </w:tc>
        <w:tc>
          <w:tcPr>
            <w:tcW w:w="1134" w:type="dxa"/>
          </w:tcPr>
          <w:p>
            <w:pPr>
              <w:pStyle w:val="nTable"/>
              <w:spacing w:after="40"/>
              <w:rPr>
                <w:sz w:val="19"/>
              </w:rPr>
            </w:pPr>
            <w:r>
              <w:rPr>
                <w:sz w:val="19"/>
              </w:rPr>
              <w:t>3 Dec 1936</w:t>
            </w:r>
          </w:p>
        </w:tc>
        <w:tc>
          <w:tcPr>
            <w:tcW w:w="2551" w:type="dxa"/>
          </w:tcPr>
          <w:p>
            <w:pPr>
              <w:pStyle w:val="nTable"/>
              <w:spacing w:after="40"/>
              <w:rPr>
                <w:sz w:val="19"/>
              </w:rPr>
            </w:pPr>
            <w:r>
              <w:rPr>
                <w:sz w:val="19"/>
              </w:rPr>
              <w:t>3 Dec 1936</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14 Feb 1966</w:t>
            </w:r>
          </w:p>
        </w:tc>
        <w:tc>
          <w:tcPr>
            <w:tcW w:w="2551" w:type="dxa"/>
          </w:tcPr>
          <w:p>
            <w:pPr>
              <w:pStyle w:val="nTable"/>
              <w:spacing w:after="40"/>
              <w:rPr>
                <w:sz w:val="19"/>
              </w:rPr>
            </w:pPr>
            <w:r>
              <w:rPr>
                <w:sz w:val="19"/>
              </w:rPr>
              <w:t>Sections 4</w:t>
            </w:r>
            <w:r>
              <w:rPr>
                <w:sz w:val="19"/>
              </w:rPr>
              <w:noBreakHyphen/>
              <w:t>9 (incl.) operative 14 Feb 1966: Balance on Assent</w:t>
            </w:r>
          </w:p>
        </w:tc>
      </w:tr>
      <w:tr>
        <w:trPr>
          <w:cantSplit/>
        </w:trPr>
        <w:tc>
          <w:tcPr>
            <w:tcW w:w="2268" w:type="dxa"/>
          </w:tcPr>
          <w:p>
            <w:pPr>
              <w:pStyle w:val="nTable"/>
              <w:spacing w:after="40"/>
              <w:ind w:right="113"/>
              <w:rPr>
                <w:sz w:val="19"/>
              </w:rPr>
            </w:pPr>
            <w:r>
              <w:rPr>
                <w:i/>
                <w:sz w:val="19"/>
              </w:rPr>
              <w:t>City of Perth Endowment Lands Act Amendment Act (No. 2) 1970</w:t>
            </w:r>
          </w:p>
        </w:tc>
        <w:tc>
          <w:tcPr>
            <w:tcW w:w="1134" w:type="dxa"/>
          </w:tcPr>
          <w:p>
            <w:pPr>
              <w:pStyle w:val="nTable"/>
              <w:spacing w:after="40"/>
              <w:rPr>
                <w:sz w:val="19"/>
              </w:rPr>
            </w:pPr>
            <w:r>
              <w:rPr>
                <w:sz w:val="19"/>
              </w:rPr>
              <w:t>103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 xml:space="preserve">Acts Amendment and Repeal (Valuation of Land) Act 1978 </w:t>
            </w:r>
            <w:r>
              <w:rPr>
                <w:sz w:val="19"/>
              </w:rPr>
              <w:t>Pt 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section 2 and </w:t>
            </w:r>
            <w:r>
              <w:rPr>
                <w:i/>
                <w:sz w:val="19"/>
              </w:rPr>
              <w:t>Gazette</w:t>
            </w:r>
            <w:r>
              <w:rPr>
                <w:sz w:val="19"/>
              </w:rPr>
              <w:t xml:space="preserve"> 11 May 1979 p.1211)</w:t>
            </w:r>
          </w:p>
        </w:tc>
      </w:tr>
      <w:tr>
        <w:trPr>
          <w:cantSplit/>
        </w:trPr>
        <w:tc>
          <w:tcPr>
            <w:tcW w:w="2268" w:type="dxa"/>
          </w:tcPr>
          <w:p>
            <w:pPr>
              <w:pStyle w:val="nTable"/>
              <w:spacing w:after="40"/>
              <w:ind w:right="113"/>
              <w:rPr>
                <w:sz w:val="19"/>
              </w:rPr>
            </w:pPr>
            <w:r>
              <w:rPr>
                <w:i/>
                <w:sz w:val="19"/>
              </w:rPr>
              <w:t xml:space="preserve">State Energy Commission Act 1979 </w:t>
            </w:r>
            <w:r>
              <w:rPr>
                <w:sz w:val="19"/>
              </w:rPr>
              <w:t>s. 3(2)</w:t>
            </w:r>
          </w:p>
        </w:tc>
        <w:tc>
          <w:tcPr>
            <w:tcW w:w="1134" w:type="dxa"/>
          </w:tcPr>
          <w:p>
            <w:pPr>
              <w:pStyle w:val="nTable"/>
              <w:spacing w:after="40"/>
              <w:rPr>
                <w:sz w:val="19"/>
              </w:rPr>
            </w:pPr>
            <w:r>
              <w:rPr>
                <w:sz w:val="19"/>
              </w:rPr>
              <w:t>111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Feb 1980 (see section 2 and </w:t>
            </w:r>
            <w:r>
              <w:rPr>
                <w:i/>
                <w:sz w:val="19"/>
              </w:rPr>
              <w:t>Gazette</w:t>
            </w:r>
            <w:r>
              <w:rPr>
                <w:sz w:val="19"/>
              </w:rPr>
              <w:t xml:space="preserve"> 1 Feb 1980 p.284)</w:t>
            </w:r>
          </w:p>
        </w:tc>
      </w:tr>
      <w:tr>
        <w:trPr>
          <w:cantSplit/>
        </w:trPr>
        <w:tc>
          <w:tcPr>
            <w:tcW w:w="2268" w:type="dxa"/>
          </w:tcPr>
          <w:p>
            <w:pPr>
              <w:pStyle w:val="nTable"/>
              <w:spacing w:after="40"/>
              <w:ind w:right="113"/>
              <w:rPr>
                <w:i/>
                <w:sz w:val="19"/>
              </w:rPr>
            </w:pPr>
            <w:r>
              <w:rPr>
                <w:i/>
                <w:sz w:val="19"/>
              </w:rPr>
              <w:t>City of Perth Endowment Lands Amendment Act 1980</w:t>
            </w:r>
          </w:p>
        </w:tc>
        <w:tc>
          <w:tcPr>
            <w:tcW w:w="1134" w:type="dxa"/>
          </w:tcPr>
          <w:p>
            <w:pPr>
              <w:pStyle w:val="nTable"/>
              <w:spacing w:after="40"/>
              <w:rPr>
                <w:sz w:val="19"/>
              </w:rPr>
            </w:pPr>
            <w:r>
              <w:rPr>
                <w:sz w:val="19"/>
              </w:rPr>
              <w:t>2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25 Aug 1980</w:t>
            </w:r>
          </w:p>
        </w:tc>
      </w:tr>
      <w:tr>
        <w:trPr>
          <w:cantSplit/>
        </w:trPr>
        <w:tc>
          <w:tcPr>
            <w:tcW w:w="2268" w:type="dxa"/>
          </w:tcPr>
          <w:p>
            <w:pPr>
              <w:pStyle w:val="nTable"/>
              <w:spacing w:after="40"/>
              <w:ind w:right="113"/>
              <w:rPr>
                <w:sz w:val="19"/>
              </w:rPr>
            </w:pPr>
            <w:r>
              <w:rPr>
                <w:i/>
                <w:sz w:val="19"/>
              </w:rPr>
              <w:t>City of Perth Endowment Lands Amendment Act 1981</w:t>
            </w:r>
          </w:p>
        </w:tc>
        <w:tc>
          <w:tcPr>
            <w:tcW w:w="1134" w:type="dxa"/>
          </w:tcPr>
          <w:p>
            <w:pPr>
              <w:pStyle w:val="nTable"/>
              <w:spacing w:after="40"/>
              <w:rPr>
                <w:sz w:val="19"/>
              </w:rPr>
            </w:pPr>
            <w:r>
              <w:rPr>
                <w:sz w:val="19"/>
              </w:rPr>
              <w:t>7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18 May 1981</w:t>
            </w:r>
          </w:p>
        </w:tc>
      </w:tr>
      <w:tr>
        <w:trPr>
          <w:cantSplit/>
        </w:trPr>
        <w:tc>
          <w:tcPr>
            <w:tcW w:w="2268" w:type="dxa"/>
          </w:tcPr>
          <w:p>
            <w:pPr>
              <w:pStyle w:val="nTable"/>
              <w:spacing w:after="40"/>
              <w:ind w:right="113"/>
              <w:rPr>
                <w:sz w:val="19"/>
              </w:rPr>
            </w:pPr>
            <w:r>
              <w:rPr>
                <w:i/>
                <w:sz w:val="19"/>
              </w:rPr>
              <w:t xml:space="preserve">City of Perth Restructuring Act 1993 </w:t>
            </w:r>
            <w:r>
              <w:rPr>
                <w:sz w:val="19"/>
              </w:rPr>
              <w:t>Pt. 5</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ss. 2(3) and 3(1))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27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Borders>
              <w:bottom w:val="single" w:sz="8" w:space="0" w:color="auto"/>
            </w:tcBorders>
          </w:tcPr>
          <w:p>
            <w:pPr>
              <w:pStyle w:val="nTable"/>
              <w:keepNext/>
              <w:keepLines/>
              <w:spacing w:after="40"/>
              <w:ind w:right="113"/>
              <w:rPr>
                <w:iCs/>
                <w:sz w:val="19"/>
              </w:rPr>
            </w:pPr>
            <w:r>
              <w:rPr>
                <w:i/>
                <w:sz w:val="19"/>
              </w:rPr>
              <w:t>Perry Lakes Redevelopment Act 2005</w:t>
            </w:r>
            <w:r>
              <w:rPr>
                <w:iCs/>
                <w:sz w:val="19"/>
              </w:rPr>
              <w:t xml:space="preserve"> Pt. 6</w:t>
            </w:r>
          </w:p>
        </w:tc>
        <w:tc>
          <w:tcPr>
            <w:tcW w:w="1134" w:type="dxa"/>
            <w:tcBorders>
              <w:bottom w:val="single" w:sz="8" w:space="0" w:color="auto"/>
            </w:tcBorders>
          </w:tcPr>
          <w:p>
            <w:pPr>
              <w:pStyle w:val="nTable"/>
              <w:keepNext/>
              <w:keepLines/>
              <w:spacing w:after="40"/>
              <w:rPr>
                <w:sz w:val="19"/>
              </w:rPr>
            </w:pPr>
            <w:r>
              <w:rPr>
                <w:sz w:val="19"/>
              </w:rPr>
              <w:t>43 of 2005</w:t>
            </w:r>
          </w:p>
        </w:tc>
        <w:tc>
          <w:tcPr>
            <w:tcW w:w="1134" w:type="dxa"/>
            <w:tcBorders>
              <w:bottom w:val="single" w:sz="8" w:space="0" w:color="auto"/>
            </w:tcBorders>
          </w:tcPr>
          <w:p>
            <w:pPr>
              <w:pStyle w:val="nTable"/>
              <w:keepNext/>
              <w:keepLines/>
              <w:spacing w:after="40"/>
              <w:rPr>
                <w:sz w:val="19"/>
              </w:rPr>
            </w:pPr>
            <w:r>
              <w:rPr>
                <w:sz w:val="19"/>
              </w:rPr>
              <w:t>19 Dec 2005</w:t>
            </w:r>
          </w:p>
        </w:tc>
        <w:tc>
          <w:tcPr>
            <w:tcW w:w="2551" w:type="dxa"/>
            <w:tcBorders>
              <w:bottom w:val="single" w:sz="8" w:space="0" w:color="auto"/>
            </w:tcBorders>
          </w:tcPr>
          <w:p>
            <w:pPr>
              <w:pStyle w:val="nTable"/>
              <w:keepNext/>
              <w:keepLines/>
              <w:spacing w:after="40"/>
              <w:rPr>
                <w:sz w:val="19"/>
              </w:rPr>
            </w:pPr>
            <w:r>
              <w:rPr>
                <w:sz w:val="19"/>
              </w:rPr>
              <w:t>19 Dec 2005 (see s. 2(1))</w:t>
            </w:r>
          </w:p>
        </w:tc>
      </w:tr>
    </w:tbl>
    <w:p>
      <w:pPr>
        <w:pStyle w:val="nSubsection"/>
        <w:rPr>
          <w:snapToGrid w:val="0"/>
        </w:rPr>
      </w:pPr>
      <w:r>
        <w:rPr>
          <w:snapToGrid w:val="0"/>
          <w:vertAlign w:val="superscript"/>
        </w:rPr>
        <w:t>2</w:t>
      </w:r>
      <w:r>
        <w:rPr>
          <w:snapToGrid w:val="0"/>
        </w:rPr>
        <w:tab/>
        <w:t xml:space="preserve">Repealed by the </w:t>
      </w:r>
      <w:r>
        <w:rPr>
          <w:i/>
          <w:snapToGrid w:val="0"/>
        </w:rPr>
        <w:t>Housing Act 1946</w:t>
      </w:r>
      <w:r>
        <w:rPr>
          <w:snapToGrid w:val="0"/>
        </w:rPr>
        <w:t xml:space="preserve"> which was repealed by the </w:t>
      </w:r>
      <w:r>
        <w:rPr>
          <w:i/>
          <w:snapToGrid w:val="0"/>
        </w:rPr>
        <w:t>Housing Act 1980</w:t>
      </w:r>
      <w:r>
        <w:rPr>
          <w:snapToGrid w:val="0"/>
        </w:rPr>
        <w:t xml:space="preserve"> (No. 58 of 1980).</w:t>
      </w:r>
    </w:p>
    <w:p>
      <w:pPr>
        <w:pStyle w:val="nSubsection"/>
        <w:rPr>
          <w:snapToGrid w:val="0"/>
        </w:rPr>
      </w:pPr>
      <w:r>
        <w:rPr>
          <w:snapToGrid w:val="0"/>
          <w:vertAlign w:val="superscript"/>
        </w:rPr>
        <w:t>3</w:t>
      </w:r>
      <w:r>
        <w:rPr>
          <w:snapToGrid w:val="0"/>
        </w:rPr>
        <w:tab/>
        <w:t xml:space="preserve">Sections 23 and 24 of the </w:t>
      </w:r>
      <w:r>
        <w:rPr>
          <w:i/>
          <w:snapToGrid w:val="0"/>
        </w:rPr>
        <w:t>City of Perth Restructuring Act 1993</w:t>
      </w:r>
      <w:r>
        <w:rPr>
          <w:snapToGrid w:val="0"/>
        </w:rPr>
        <w:t xml:space="preserve"> (No. 38 of 1993) read as follows —</w:t>
      </w:r>
    </w:p>
    <w:p>
      <w:pPr>
        <w:pStyle w:val="MiscOpen"/>
        <w:rPr>
          <w:snapToGrid w:val="0"/>
        </w:rPr>
      </w:pPr>
      <w:r>
        <w:rPr>
          <w:snapToGrid w:val="0"/>
        </w:rPr>
        <w:t>“</w:t>
      </w:r>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laws made under the Endowment Act and in force immediately before division day continue to apply in relation to the said lands (as defined in that Act) on and after division day as if they had been made under that Act by the Town of Cambridge and may be amended or repealed by that Town.</w:t>
      </w:r>
    </w:p>
    <w:p>
      <w:pPr>
        <w:pStyle w:val="nzHeading5"/>
        <w:rPr>
          <w:snapToGrid w:val="0"/>
        </w:rPr>
      </w:pPr>
      <w:r>
        <w:rPr>
          <w:snapToGrid w:val="0"/>
        </w:rPr>
        <w:t>24.</w:t>
      </w:r>
      <w:r>
        <w:rPr>
          <w:snapToGrid w:val="0"/>
        </w:rPr>
        <w:tab/>
        <w:t>Transfer of lands to Town of Cambridge</w:t>
      </w:r>
    </w:p>
    <w:p>
      <w:pPr>
        <w:pStyle w:val="nzSubsection"/>
        <w:rPr>
          <w:snapToGrid w:val="0"/>
        </w:rPr>
      </w:pPr>
      <w:r>
        <w:rPr>
          <w:snapToGrid w:val="0"/>
        </w:rPr>
        <w:tab/>
        <w:t>(1)</w:t>
      </w:r>
      <w:r>
        <w:rPr>
          <w:snapToGrid w:val="0"/>
        </w:rPr>
        <w:tab/>
        <w:t xml:space="preserve">In this section, </w:t>
      </w:r>
      <w:r>
        <w:rPr>
          <w:b/>
          <w:snapToGrid w:val="0"/>
        </w:rPr>
        <w:t>“land”</w:t>
      </w:r>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On division day, Reserve ↑16921 is vested in the Town of Cambridge.</w:t>
      </w:r>
    </w:p>
    <w:p>
      <w:pPr>
        <w:pStyle w:val="nzSubsection"/>
        <w:rPr>
          <w:snapToGrid w:val="0"/>
        </w:rPr>
      </w:pPr>
      <w:r>
        <w:rPr>
          <w:snapToGrid w:val="0"/>
        </w:rPr>
        <w:tab/>
        <w:t>(4)</w:t>
      </w:r>
      <w:r>
        <w:rPr>
          <w:snapToGrid w:val="0"/>
        </w:rPr>
        <w:tab/>
        <w:t>The Town of Cambridge is not liable to indemnify the City of Perth for any expenses incurred before division day in connection with land transferred under subsections (2) and (3).</w:t>
      </w:r>
    </w:p>
    <w:p>
      <w:pPr>
        <w:pStyle w:val="MiscClose"/>
      </w:pPr>
      <w: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AE37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F4E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4AE6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563A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C7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8108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21874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35943"/>
    <w:docVar w:name="WAFER_20151207135943" w:val="RemoveTrackChanges"/>
    <w:docVar w:name="WAFER_20151207135943_GUID" w:val="f9042809-4acf-4b75-97c5-eba8adb8d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3249</Words>
  <Characters>15015</Characters>
  <Application>Microsoft Office Word</Application>
  <DocSecurity>0</DocSecurity>
  <Lines>469</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1920 - 02-b0-03</dc:title>
  <dc:subject/>
  <dc:creator/>
  <cp:keywords/>
  <dc:description/>
  <cp:lastModifiedBy>svcMRProcess</cp:lastModifiedBy>
  <cp:revision>4</cp:revision>
  <cp:lastPrinted>2000-11-21T01:53:00Z</cp:lastPrinted>
  <dcterms:created xsi:type="dcterms:W3CDTF">2015-12-08T16:14:00Z</dcterms:created>
  <dcterms:modified xsi:type="dcterms:W3CDTF">2015-12-08T16:14:00Z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101</vt:i4>
  </property>
  <property fmtid="{D5CDD505-2E9C-101B-9397-08002B2CF9AE}" pid="6" name="AsAtDate">
    <vt:lpwstr>19 Dec 2005</vt:lpwstr>
  </property>
  <property fmtid="{D5CDD505-2E9C-101B-9397-08002B2CF9AE}" pid="7" name="Suffix">
    <vt:lpwstr>02-b0-03</vt:lpwstr>
  </property>
</Properties>
</file>