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Stamp Act 1921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Stamp Act 1921</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_Toc131416023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_Toc131416024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_Toc131416025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_Toc131416027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_Toc131416028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_Toc131416029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_Toc131416030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_Toc131416031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_Toc131416032 \h </w:instrText>
      </w:r>
      <w:r>
        <w:fldChar w:fldCharType="separate"/>
      </w:r>
      <w:r>
        <w:t>12</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_Toc131416033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_Toc131416034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_Toc131416035 \h </w:instrText>
      </w:r>
      <w:r>
        <w:fldChar w:fldCharType="separate"/>
      </w:r>
      <w:r>
        <w:t>13</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_Toc131416037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_Toc131416038 \h </w:instrText>
      </w:r>
      <w:r>
        <w:fldChar w:fldCharType="separate"/>
      </w:r>
      <w:r>
        <w:t>16</w:t>
      </w:r>
      <w:r>
        <w:fldChar w:fldCharType="end"/>
      </w:r>
    </w:p>
    <w:p>
      <w:pPr>
        <w:pStyle w:val="TOC8"/>
        <w:rPr>
          <w:sz w:val="24"/>
          <w:szCs w:val="24"/>
        </w:rPr>
      </w:pPr>
      <w:r>
        <w:rPr>
          <w:szCs w:val="24"/>
        </w:rPr>
        <w:t>17A.</w:t>
      </w:r>
      <w:r>
        <w:rPr>
          <w:szCs w:val="24"/>
        </w:rPr>
        <w:tab/>
        <w:t>Time for payment of duty</w:t>
      </w:r>
      <w:r>
        <w:tab/>
      </w:r>
      <w:r>
        <w:fldChar w:fldCharType="begin"/>
      </w:r>
      <w:r>
        <w:instrText xml:space="preserve"> PAGEREF _Toc131416039 \h </w:instrText>
      </w:r>
      <w:r>
        <w:fldChar w:fldCharType="separate"/>
      </w:r>
      <w:r>
        <w:t>16</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_Toc131416040 \h </w:instrText>
      </w:r>
      <w:r>
        <w:fldChar w:fldCharType="separate"/>
      </w:r>
      <w:r>
        <w:t>17</w:t>
      </w:r>
      <w:r>
        <w:fldChar w:fldCharType="end"/>
      </w:r>
    </w:p>
    <w:p>
      <w:pPr>
        <w:pStyle w:val="TOC8"/>
        <w:rPr>
          <w:sz w:val="24"/>
          <w:szCs w:val="24"/>
        </w:rPr>
      </w:pPr>
      <w:r>
        <w:rPr>
          <w:szCs w:val="24"/>
        </w:rPr>
        <w:t>17B.</w:t>
      </w:r>
      <w:r>
        <w:rPr>
          <w:szCs w:val="24"/>
        </w:rPr>
        <w:tab/>
        <w:t>Requirement to lodge instrument</w:t>
      </w:r>
      <w:r>
        <w:tab/>
      </w:r>
      <w:r>
        <w:fldChar w:fldCharType="begin"/>
      </w:r>
      <w:r>
        <w:instrText xml:space="preserve"> PAGEREF _Toc131416041 \h </w:instrText>
      </w:r>
      <w:r>
        <w:fldChar w:fldCharType="separate"/>
      </w:r>
      <w:r>
        <w:t>17</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_Toc131416042 \h </w:instrText>
      </w:r>
      <w:r>
        <w:fldChar w:fldCharType="separate"/>
      </w:r>
      <w:r>
        <w:t>18</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_Toc131416043 \h </w:instrText>
      </w:r>
      <w:r>
        <w:fldChar w:fldCharType="separate"/>
      </w:r>
      <w:r>
        <w:t>19</w:t>
      </w:r>
      <w:r>
        <w:fldChar w:fldCharType="end"/>
      </w:r>
    </w:p>
    <w:p>
      <w:pPr>
        <w:pStyle w:val="TOC8"/>
        <w:rPr>
          <w:sz w:val="24"/>
          <w:szCs w:val="24"/>
        </w:rPr>
      </w:pPr>
      <w:r>
        <w:rPr>
          <w:szCs w:val="24"/>
        </w:rPr>
        <w:lastRenderedPageBreak/>
        <w:t>18</w:t>
      </w:r>
      <w:r>
        <w:rPr>
          <w:snapToGrid w:val="0"/>
          <w:szCs w:val="24"/>
        </w:rPr>
        <w:t>.</w:t>
      </w:r>
      <w:r>
        <w:rPr>
          <w:snapToGrid w:val="0"/>
          <w:szCs w:val="24"/>
        </w:rPr>
        <w:tab/>
        <w:t>How instruments to be written</w:t>
      </w:r>
      <w:r>
        <w:tab/>
      </w:r>
      <w:r>
        <w:fldChar w:fldCharType="begin"/>
      </w:r>
      <w:r>
        <w:instrText xml:space="preserve"> PAGEREF _Toc131416044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_Toc131416045 \h </w:instrText>
      </w:r>
      <w:r>
        <w:fldChar w:fldCharType="separate"/>
      </w:r>
      <w:r>
        <w:t>20</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_Toc131416046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_Toc131416047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_Toc131416048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_Toc131416049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_Toc131416050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_Toc131416051 \h </w:instrText>
      </w:r>
      <w:r>
        <w:fldChar w:fldCharType="separate"/>
      </w:r>
      <w:r>
        <w:t>30</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_Toc131416052 \h </w:instrText>
      </w:r>
      <w:r>
        <w:fldChar w:fldCharType="separate"/>
      </w:r>
      <w:r>
        <w:t>31</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_Toc131416053 \h </w:instrText>
      </w:r>
      <w:r>
        <w:fldChar w:fldCharType="separate"/>
      </w:r>
      <w:r>
        <w:t>32</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_Toc131416054 \h </w:instrText>
      </w:r>
      <w:r>
        <w:fldChar w:fldCharType="separate"/>
      </w:r>
      <w:r>
        <w:t>35</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_Toc131416055 \h </w:instrText>
      </w:r>
      <w:r>
        <w:fldChar w:fldCharType="separate"/>
      </w:r>
      <w:r>
        <w:t>36</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_Toc131416056 \h </w:instrText>
      </w:r>
      <w:r>
        <w:fldChar w:fldCharType="separate"/>
      </w:r>
      <w:r>
        <w:t>38</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_Toc131416057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_Toc131416058 \h </w:instrText>
      </w:r>
      <w:r>
        <w:fldChar w:fldCharType="separate"/>
      </w:r>
      <w:r>
        <w:t>40</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_Toc131416059 \h </w:instrText>
      </w:r>
      <w:r>
        <w:fldChar w:fldCharType="separate"/>
      </w:r>
      <w:r>
        <w:t>40</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_Toc131416060 \h </w:instrText>
      </w:r>
      <w:r>
        <w:fldChar w:fldCharType="separate"/>
      </w:r>
      <w:r>
        <w:t>40</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_Toc131416061 \h </w:instrText>
      </w:r>
      <w:r>
        <w:fldChar w:fldCharType="separate"/>
      </w:r>
      <w:r>
        <w:t>41</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Interpretation in Part IIIB</w:t>
      </w:r>
      <w:r>
        <w:tab/>
      </w:r>
      <w:r>
        <w:fldChar w:fldCharType="begin"/>
      </w:r>
      <w:r>
        <w:instrText xml:space="preserve"> PAGEREF _Toc131416063 \h </w:instrText>
      </w:r>
      <w:r>
        <w:fldChar w:fldCharType="separate"/>
      </w:r>
      <w:r>
        <w:t>43</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_Toc131416064 \h </w:instrText>
      </w:r>
      <w:r>
        <w:fldChar w:fldCharType="separate"/>
      </w:r>
      <w:r>
        <w:t>48</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_Toc131416065 \h </w:instrText>
      </w:r>
      <w:r>
        <w:fldChar w:fldCharType="separate"/>
      </w:r>
      <w:r>
        <w:t>50</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_Toc131416066 \h </w:instrText>
      </w:r>
      <w:r>
        <w:fldChar w:fldCharType="separate"/>
      </w:r>
      <w:r>
        <w:t>55</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_Toc131416067 \h </w:instrText>
      </w:r>
      <w:r>
        <w:fldChar w:fldCharType="separate"/>
      </w:r>
      <w:r>
        <w:t>56</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_Toc131416068 \h </w:instrText>
      </w:r>
      <w:r>
        <w:fldChar w:fldCharType="separate"/>
      </w:r>
      <w:r>
        <w:t>59</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_Toc131416069 \h </w:instrText>
      </w:r>
      <w:r>
        <w:fldChar w:fldCharType="separate"/>
      </w:r>
      <w:r>
        <w:t>60</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_Toc131416070 \h </w:instrText>
      </w:r>
      <w:r>
        <w:fldChar w:fldCharType="separate"/>
      </w:r>
      <w:r>
        <w:t>62</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_Toc131416071 \h </w:instrText>
      </w:r>
      <w:r>
        <w:fldChar w:fldCharType="separate"/>
      </w:r>
      <w:r>
        <w:t>63</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_Toc131416072 \h </w:instrText>
      </w:r>
      <w:r>
        <w:fldChar w:fldCharType="separate"/>
      </w:r>
      <w:r>
        <w:t>64</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_Toc131416073 \h </w:instrText>
      </w:r>
      <w:r>
        <w:fldChar w:fldCharType="separate"/>
      </w:r>
      <w:r>
        <w:t>66</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_Toc131416074 \h </w:instrText>
      </w:r>
      <w:r>
        <w:fldChar w:fldCharType="separate"/>
      </w:r>
      <w:r>
        <w:t>66</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_Toc131416075 \h </w:instrText>
      </w:r>
      <w:r>
        <w:fldChar w:fldCharType="separate"/>
      </w:r>
      <w:r>
        <w:t>67</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_Toc131416076 \h </w:instrText>
      </w:r>
      <w:r>
        <w:fldChar w:fldCharType="separate"/>
      </w:r>
      <w:r>
        <w:t>68</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_Toc131416077 \h </w:instrText>
      </w:r>
      <w:r>
        <w:fldChar w:fldCharType="separate"/>
      </w:r>
      <w:r>
        <w:t>68</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_Toc131416078 \h </w:instrText>
      </w:r>
      <w:r>
        <w:fldChar w:fldCharType="separate"/>
      </w:r>
      <w:r>
        <w:t>69</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_Toc131416079 \h </w:instrText>
      </w:r>
      <w:r>
        <w:fldChar w:fldCharType="separate"/>
      </w:r>
      <w:r>
        <w:t>69</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_Toc131416080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_Toc131416081 \h </w:instrText>
      </w:r>
      <w:r>
        <w:fldChar w:fldCharType="separate"/>
      </w:r>
      <w:r>
        <w:t>70</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_Toc131416082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_Toc131416083 \h </w:instrText>
      </w:r>
      <w:r>
        <w:fldChar w:fldCharType="separate"/>
      </w:r>
      <w:r>
        <w:t>73</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_Toc131416084 \h </w:instrText>
      </w:r>
      <w:r>
        <w:fldChar w:fldCharType="separate"/>
      </w:r>
      <w:r>
        <w:t>74</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_Toc131416085 \h </w:instrText>
      </w:r>
      <w:r>
        <w:fldChar w:fldCharType="separate"/>
      </w:r>
      <w:r>
        <w:t>74</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_Toc131416086 \h </w:instrText>
      </w:r>
      <w:r>
        <w:fldChar w:fldCharType="separate"/>
      </w:r>
      <w:r>
        <w:t>75</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_Toc131416087 \h </w:instrText>
      </w:r>
      <w:r>
        <w:fldChar w:fldCharType="separate"/>
      </w:r>
      <w:r>
        <w:t>77</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_Toc131416088 \h </w:instrText>
      </w:r>
      <w:r>
        <w:fldChar w:fldCharType="separate"/>
      </w:r>
      <w:r>
        <w:t>79</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_Toc131416089 \h </w:instrText>
      </w:r>
      <w:r>
        <w:fldChar w:fldCharType="separate"/>
      </w:r>
      <w:r>
        <w:t>80</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_Toc131416090 \h </w:instrText>
      </w:r>
      <w:r>
        <w:fldChar w:fldCharType="separate"/>
      </w:r>
      <w:r>
        <w:t>81</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_Toc131416091 \h </w:instrText>
      </w:r>
      <w:r>
        <w:fldChar w:fldCharType="separate"/>
      </w:r>
      <w:r>
        <w:t>82</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_Toc131416092 \h </w:instrText>
      </w:r>
      <w:r>
        <w:fldChar w:fldCharType="separate"/>
      </w:r>
      <w:r>
        <w:t>86</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_Toc131416093 \h </w:instrText>
      </w:r>
      <w:r>
        <w:fldChar w:fldCharType="separate"/>
      </w:r>
      <w:r>
        <w:t>88</w:t>
      </w:r>
      <w:r>
        <w:fldChar w:fldCharType="end"/>
      </w:r>
    </w:p>
    <w:p>
      <w:pPr>
        <w:pStyle w:val="TOC8"/>
        <w:rPr>
          <w:sz w:val="24"/>
          <w:szCs w:val="24"/>
        </w:rPr>
      </w:pPr>
      <w:r>
        <w:rPr>
          <w:szCs w:val="24"/>
        </w:rPr>
        <w:t>73DB.</w:t>
      </w:r>
      <w:r>
        <w:rPr>
          <w:szCs w:val="24"/>
        </w:rPr>
        <w:tab/>
        <w:t>Interpretation for sections 73DC, 73DD and 73DE</w:t>
      </w:r>
      <w:r>
        <w:tab/>
      </w:r>
      <w:r>
        <w:fldChar w:fldCharType="begin"/>
      </w:r>
      <w:r>
        <w:instrText xml:space="preserve"> PAGEREF _Toc131416094 \h </w:instrText>
      </w:r>
      <w:r>
        <w:fldChar w:fldCharType="separate"/>
      </w:r>
      <w:r>
        <w:t>89</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_Toc131416095 \h </w:instrText>
      </w:r>
      <w:r>
        <w:fldChar w:fldCharType="separate"/>
      </w:r>
      <w:r>
        <w:t>89</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_Toc131416096 \h </w:instrText>
      </w:r>
      <w:r>
        <w:fldChar w:fldCharType="separate"/>
      </w:r>
      <w:r>
        <w:t>91</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_Toc131416097 \h </w:instrText>
      </w:r>
      <w:r>
        <w:fldChar w:fldCharType="separate"/>
      </w:r>
      <w:r>
        <w:t>94</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_Toc131416098 \h </w:instrText>
      </w:r>
      <w:r>
        <w:fldChar w:fldCharType="separate"/>
      </w:r>
      <w:r>
        <w:t>94</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_Toc131416099 \h </w:instrText>
      </w:r>
      <w:r>
        <w:fldChar w:fldCharType="separate"/>
      </w:r>
      <w:r>
        <w:t>97</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_Toc131416100 \h </w:instrText>
      </w:r>
      <w:r>
        <w:fldChar w:fldCharType="separate"/>
      </w:r>
      <w:r>
        <w:t>98</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_Toc131416101 \h </w:instrText>
      </w:r>
      <w:r>
        <w:fldChar w:fldCharType="separate"/>
      </w:r>
      <w:r>
        <w:t>100</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_Toc131416102 \h </w:instrText>
      </w:r>
      <w:r>
        <w:fldChar w:fldCharType="separate"/>
      </w:r>
      <w:r>
        <w:t>105</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_Toc131416103 \h </w:instrText>
      </w:r>
      <w:r>
        <w:fldChar w:fldCharType="separate"/>
      </w:r>
      <w:r>
        <w:t>108</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_Toc131416104 \h </w:instrText>
      </w:r>
      <w:r>
        <w:fldChar w:fldCharType="separate"/>
      </w:r>
      <w:r>
        <w:t>114</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_Toc131416105 \h </w:instrText>
      </w:r>
      <w:r>
        <w:fldChar w:fldCharType="separate"/>
      </w:r>
      <w:r>
        <w:t>119</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_Toc131416106 \h </w:instrText>
      </w:r>
      <w:r>
        <w:fldChar w:fldCharType="separate"/>
      </w:r>
      <w:r>
        <w:t>121</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_Toc131416107 \h </w:instrText>
      </w:r>
      <w:r>
        <w:fldChar w:fldCharType="separate"/>
      </w:r>
      <w:r>
        <w:t>121</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_Toc131416108 \h </w:instrText>
      </w:r>
      <w:r>
        <w:fldChar w:fldCharType="separate"/>
      </w:r>
      <w:r>
        <w:t>122</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_Toc131416109 \h </w:instrText>
      </w:r>
      <w:r>
        <w:fldChar w:fldCharType="separate"/>
      </w:r>
      <w:r>
        <w:t>123</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_Toc131416110 \h </w:instrText>
      </w:r>
      <w:r>
        <w:fldChar w:fldCharType="separate"/>
      </w:r>
      <w:r>
        <w:t>123</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_Toc131416111 \h </w:instrText>
      </w:r>
      <w:r>
        <w:fldChar w:fldCharType="separate"/>
      </w:r>
      <w:r>
        <w:t>123</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_Toc131416112 \h </w:instrText>
      </w:r>
      <w:r>
        <w:fldChar w:fldCharType="separate"/>
      </w:r>
      <w:r>
        <w:t>125</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_Toc131416113 \h </w:instrText>
      </w:r>
      <w:r>
        <w:fldChar w:fldCharType="separate"/>
      </w:r>
      <w:r>
        <w:t>126</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_Toc131416114 \h </w:instrText>
      </w:r>
      <w:r>
        <w:fldChar w:fldCharType="separate"/>
      </w:r>
      <w:r>
        <w:t>129</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_Toc131416115 \h </w:instrText>
      </w:r>
      <w:r>
        <w:fldChar w:fldCharType="separate"/>
      </w:r>
      <w:r>
        <w:t>131</w:t>
      </w:r>
      <w:r>
        <w:fldChar w:fldCharType="end"/>
      </w:r>
    </w:p>
    <w:p>
      <w:pPr>
        <w:pStyle w:val="TOC2"/>
        <w:tabs>
          <w:tab w:val="right" w:leader="dot" w:pos="7086"/>
        </w:tabs>
        <w:rPr>
          <w:b w:val="0"/>
          <w:sz w:val="24"/>
          <w:szCs w:val="24"/>
        </w:rPr>
      </w:pPr>
      <w:r>
        <w:rPr>
          <w:szCs w:val="30"/>
        </w:rPr>
        <w:t>Part IIIBAA — Certain transfers of farming property </w:t>
      </w:r>
      <w:r>
        <w:rPr>
          <w:b w:val="0"/>
          <w:szCs w:val="30"/>
          <w:vertAlign w:val="superscript"/>
        </w:rPr>
        <w:t>5</w:t>
      </w:r>
    </w:p>
    <w:p>
      <w:pPr>
        <w:pStyle w:val="TOC8"/>
        <w:rPr>
          <w:sz w:val="24"/>
          <w:szCs w:val="24"/>
        </w:rPr>
      </w:pPr>
      <w:r>
        <w:rPr>
          <w:szCs w:val="24"/>
        </w:rPr>
        <w:t>75D</w:t>
      </w:r>
      <w:r>
        <w:rPr>
          <w:snapToGrid w:val="0"/>
          <w:szCs w:val="24"/>
        </w:rPr>
        <w:t>.</w:t>
      </w:r>
      <w:r>
        <w:rPr>
          <w:snapToGrid w:val="0"/>
          <w:szCs w:val="24"/>
        </w:rPr>
        <w:tab/>
        <w:t>Interpretation in Part IIIBAA</w:t>
      </w:r>
      <w:r>
        <w:tab/>
      </w:r>
      <w:r>
        <w:fldChar w:fldCharType="begin"/>
      </w:r>
      <w:r>
        <w:instrText xml:space="preserve"> PAGEREF _Toc131416117 \h </w:instrText>
      </w:r>
      <w:r>
        <w:fldChar w:fldCharType="separate"/>
      </w:r>
      <w:r>
        <w:t>132</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_Toc131416118 \h </w:instrText>
      </w:r>
      <w:r>
        <w:fldChar w:fldCharType="separate"/>
      </w:r>
      <w:r>
        <w:t>135</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_Toc131416119 \h </w:instrText>
      </w:r>
      <w:r>
        <w:fldChar w:fldCharType="separate"/>
      </w:r>
      <w:r>
        <w:t>138</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_Toc131416120 \h </w:instrText>
      </w:r>
      <w:r>
        <w:fldChar w:fldCharType="separate"/>
      </w:r>
      <w:r>
        <w:t>138</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_Toc131416121 \h </w:instrText>
      </w:r>
      <w:r>
        <w:fldChar w:fldCharType="separate"/>
      </w:r>
      <w:r>
        <w:t>139</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_Toc131416122 \h </w:instrText>
      </w:r>
      <w:r>
        <w:fldChar w:fldCharType="separate"/>
      </w:r>
      <w:r>
        <w:t>140</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_Toc131416123 \h </w:instrText>
      </w:r>
      <w:r>
        <w:fldChar w:fldCharType="separate"/>
      </w:r>
      <w:r>
        <w:t>143</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Interpretation in Part IIIBAAA</w:t>
      </w:r>
      <w:r>
        <w:tab/>
      </w:r>
      <w:r>
        <w:fldChar w:fldCharType="begin"/>
      </w:r>
      <w:r>
        <w:instrText xml:space="preserve"> PAGEREF _Toc131416125 \h </w:instrText>
      </w:r>
      <w:r>
        <w:fldChar w:fldCharType="separate"/>
      </w:r>
      <w:r>
        <w:t>145</w:t>
      </w:r>
      <w:r>
        <w:fldChar w:fldCharType="end"/>
      </w:r>
    </w:p>
    <w:p>
      <w:pPr>
        <w:pStyle w:val="TOC8"/>
        <w:rPr>
          <w:sz w:val="24"/>
          <w:szCs w:val="24"/>
        </w:rPr>
      </w:pPr>
      <w:r>
        <w:rPr>
          <w:szCs w:val="24"/>
        </w:rPr>
        <w:t>75JAA.</w:t>
      </w:r>
      <w:r>
        <w:rPr>
          <w:szCs w:val="24"/>
        </w:rPr>
        <w:tab/>
        <w:t>Meaning of dormant body corporate</w:t>
      </w:r>
      <w:r>
        <w:tab/>
      </w:r>
      <w:r>
        <w:fldChar w:fldCharType="begin"/>
      </w:r>
      <w:r>
        <w:instrText xml:space="preserve"> PAGEREF _Toc131416126 \h </w:instrText>
      </w:r>
      <w:r>
        <w:fldChar w:fldCharType="separate"/>
      </w:r>
      <w:r>
        <w:t>146</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_Toc131416127 \h </w:instrText>
      </w:r>
      <w:r>
        <w:fldChar w:fldCharType="separate"/>
      </w:r>
      <w:r>
        <w:t>148</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_Toc131416128 \h </w:instrText>
      </w:r>
      <w:r>
        <w:fldChar w:fldCharType="separate"/>
      </w:r>
      <w:r>
        <w:t>150</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_Toc131416129 \h </w:instrText>
      </w:r>
      <w:r>
        <w:fldChar w:fldCharType="separate"/>
      </w:r>
      <w:r>
        <w:t>159</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_Toc131416130 \h </w:instrText>
      </w:r>
      <w:r>
        <w:fldChar w:fldCharType="separate"/>
      </w:r>
      <w:r>
        <w:t>159</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_Toc131416131 \h </w:instrText>
      </w:r>
      <w:r>
        <w:fldChar w:fldCharType="separate"/>
      </w:r>
      <w:r>
        <w:t>161</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_Toc131416132 \h </w:instrText>
      </w:r>
      <w:r>
        <w:fldChar w:fldCharType="separate"/>
      </w:r>
      <w:r>
        <w:t>162</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_Toc131416133 \h </w:instrText>
      </w:r>
      <w:r>
        <w:fldChar w:fldCharType="separate"/>
      </w:r>
      <w:r>
        <w:t>163</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_Toc131416134 \h </w:instrText>
      </w:r>
      <w:r>
        <w:fldChar w:fldCharType="separate"/>
      </w:r>
      <w:r>
        <w:t>166</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_Toc131416135 \h </w:instrText>
      </w:r>
      <w:r>
        <w:fldChar w:fldCharType="separate"/>
      </w:r>
      <w:r>
        <w:t>167</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76</w:t>
      </w:r>
      <w:r>
        <w:rPr>
          <w:snapToGrid w:val="0"/>
          <w:szCs w:val="24"/>
        </w:rPr>
        <w:t>.</w:t>
      </w:r>
      <w:r>
        <w:rPr>
          <w:snapToGrid w:val="0"/>
          <w:szCs w:val="24"/>
        </w:rPr>
        <w:tab/>
        <w:t>Interpretation in Part IIIBA</w:t>
      </w:r>
      <w:r>
        <w:tab/>
      </w:r>
      <w:r>
        <w:fldChar w:fldCharType="begin"/>
      </w:r>
      <w:r>
        <w:instrText xml:space="preserve"> PAGEREF _Toc131416138 \h </w:instrText>
      </w:r>
      <w:r>
        <w:fldChar w:fldCharType="separate"/>
      </w:r>
      <w:r>
        <w:t>169</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_Toc131416139 \h </w:instrText>
      </w:r>
      <w:r>
        <w:fldChar w:fldCharType="separate"/>
      </w:r>
      <w:r>
        <w:t>177</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_Toc131416140 \h </w:instrText>
      </w:r>
      <w:r>
        <w:fldChar w:fldCharType="separate"/>
      </w:r>
      <w:r>
        <w:t>178</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_Toc131416141 \h </w:instrText>
      </w:r>
      <w:r>
        <w:fldChar w:fldCharType="separate"/>
      </w:r>
      <w:r>
        <w:t>178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_Toc131416143 \h </w:instrText>
      </w:r>
      <w:r>
        <w:fldChar w:fldCharType="separate"/>
      </w:r>
      <w:r>
        <w:t>180</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_Toc131416144 \h </w:instrText>
      </w:r>
      <w:r>
        <w:fldChar w:fldCharType="separate"/>
      </w:r>
      <w:r>
        <w:t>183</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_Toc131416145 \h </w:instrText>
      </w:r>
      <w:r>
        <w:fldChar w:fldCharType="separate"/>
      </w:r>
      <w:r>
        <w:t>185</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_Toc131416146 \h </w:instrText>
      </w:r>
      <w:r>
        <w:fldChar w:fldCharType="separate"/>
      </w:r>
      <w:r>
        <w:t>190</w:t>
      </w:r>
      <w:r>
        <w:fldChar w:fldCharType="end"/>
      </w:r>
    </w:p>
    <w:p>
      <w:pPr>
        <w:pStyle w:val="TOC8"/>
        <w:rPr>
          <w:sz w:val="24"/>
          <w:szCs w:val="24"/>
        </w:rPr>
      </w:pPr>
      <w:r>
        <w:rPr>
          <w:szCs w:val="24"/>
        </w:rPr>
        <w:t>76AK.</w:t>
      </w:r>
      <w:r>
        <w:rPr>
          <w:szCs w:val="24"/>
        </w:rPr>
        <w:tab/>
        <w:t>Meaning of “interest”, “majority interest” or “further interest”</w:t>
      </w:r>
      <w:r>
        <w:tab/>
      </w:r>
      <w:r>
        <w:fldChar w:fldCharType="begin"/>
      </w:r>
      <w:r>
        <w:instrText xml:space="preserve"> PAGEREF _Toc131416147 \h </w:instrText>
      </w:r>
      <w:r>
        <w:fldChar w:fldCharType="separate"/>
      </w:r>
      <w:r>
        <w:t>192</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_Toc131416148 \h </w:instrText>
      </w:r>
      <w:r>
        <w:fldChar w:fldCharType="separate"/>
      </w:r>
      <w:r>
        <w:t>193</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_Toc131416149 \h </w:instrText>
      </w:r>
      <w:r>
        <w:fldChar w:fldCharType="separate"/>
      </w:r>
      <w:r>
        <w:t>196</w:t>
      </w:r>
      <w:r>
        <w:fldChar w:fldCharType="end"/>
      </w:r>
    </w:p>
    <w:p>
      <w:pPr>
        <w:pStyle w:val="TOC4"/>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_Toc131416151 \h </w:instrText>
      </w:r>
      <w:r>
        <w:fldChar w:fldCharType="separate"/>
      </w:r>
      <w:r>
        <w:t>196</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_Toc131416152 \h </w:instrText>
      </w:r>
      <w:r>
        <w:fldChar w:fldCharType="separate"/>
      </w:r>
      <w:r>
        <w:t>199</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_Toc131416153 \h </w:instrText>
      </w:r>
      <w:r>
        <w:fldChar w:fldCharType="separate"/>
      </w:r>
      <w:r>
        <w:t>201</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_Toc131416154 \h </w:instrText>
      </w:r>
      <w:r>
        <w:fldChar w:fldCharType="separate"/>
      </w:r>
      <w:r>
        <w:t>207</w:t>
      </w:r>
      <w:r>
        <w:fldChar w:fldCharType="end"/>
      </w:r>
    </w:p>
    <w:p>
      <w:pPr>
        <w:pStyle w:val="TOC8"/>
        <w:rPr>
          <w:sz w:val="24"/>
          <w:szCs w:val="24"/>
        </w:rPr>
      </w:pPr>
      <w:r>
        <w:rPr>
          <w:szCs w:val="24"/>
        </w:rPr>
        <w:t>76AR.</w:t>
      </w:r>
      <w:r>
        <w:rPr>
          <w:szCs w:val="24"/>
        </w:rPr>
        <w:tab/>
        <w:t>Meaning of “interest”, “majority interest” or “further interest”</w:t>
      </w:r>
      <w:r>
        <w:tab/>
      </w:r>
      <w:r>
        <w:fldChar w:fldCharType="begin"/>
      </w:r>
      <w:r>
        <w:instrText xml:space="preserve"> PAGEREF _Toc131416155 \h </w:instrText>
      </w:r>
      <w:r>
        <w:fldChar w:fldCharType="separate"/>
      </w:r>
      <w:r>
        <w:t>209</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_Toc131416156 \h </w:instrText>
      </w:r>
      <w:r>
        <w:fldChar w:fldCharType="separate"/>
      </w:r>
      <w:r>
        <w:t>212</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_Toc131416158 \h </w:instrText>
      </w:r>
      <w:r>
        <w:fldChar w:fldCharType="separate"/>
      </w:r>
      <w:r>
        <w:t>214</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_Toc131416159 \h </w:instrText>
      </w:r>
      <w:r>
        <w:fldChar w:fldCharType="separate"/>
      </w:r>
      <w:r>
        <w:t>219</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_Toc131416160 \h </w:instrText>
      </w:r>
      <w:r>
        <w:fldChar w:fldCharType="separate"/>
      </w:r>
      <w:r>
        <w:t>221</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_Toc131416161 \h </w:instrText>
      </w:r>
      <w:r>
        <w:fldChar w:fldCharType="separate"/>
      </w:r>
      <w:r>
        <w:t>226</w:t>
      </w:r>
      <w:r>
        <w:fldChar w:fldCharType="end"/>
      </w:r>
    </w:p>
    <w:p>
      <w:pPr>
        <w:pStyle w:val="TOC8"/>
        <w:rPr>
          <w:sz w:val="24"/>
          <w:szCs w:val="24"/>
        </w:rPr>
      </w:pPr>
      <w:r>
        <w:rPr>
          <w:szCs w:val="24"/>
        </w:rPr>
        <w:t>76ATD.</w:t>
      </w:r>
      <w:r>
        <w:rPr>
          <w:szCs w:val="24"/>
        </w:rPr>
        <w:tab/>
        <w:t>Meaning of “interest”, “controlling interest” or “additional interest”</w:t>
      </w:r>
      <w:r>
        <w:tab/>
      </w:r>
      <w:r>
        <w:fldChar w:fldCharType="begin"/>
      </w:r>
      <w:r>
        <w:instrText xml:space="preserve"> PAGEREF _Toc131416162 \h </w:instrText>
      </w:r>
      <w:r>
        <w:fldChar w:fldCharType="separate"/>
      </w:r>
      <w:r>
        <w:t>227</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_Toc131416163 \h </w:instrText>
      </w:r>
      <w:r>
        <w:fldChar w:fldCharType="separate"/>
      </w:r>
      <w:r>
        <w:t>228</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_Toc131416164 \h </w:instrText>
      </w:r>
      <w:r>
        <w:fldChar w:fldCharType="separate"/>
      </w:r>
      <w:r>
        <w:t>231</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_Toc131416166 \h </w:instrText>
      </w:r>
      <w:r>
        <w:fldChar w:fldCharType="separate"/>
      </w:r>
      <w:r>
        <w:t>232</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_Toc131416167 \h </w:instrText>
      </w:r>
      <w:r>
        <w:fldChar w:fldCharType="separate"/>
      </w:r>
      <w:r>
        <w:t>236</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_Toc131416168 \h </w:instrText>
      </w:r>
      <w:r>
        <w:fldChar w:fldCharType="separate"/>
      </w:r>
      <w:r>
        <w:t>239</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_Toc131416169 \h </w:instrText>
      </w:r>
      <w:r>
        <w:fldChar w:fldCharType="separate"/>
      </w:r>
      <w:r>
        <w:t>245</w:t>
      </w:r>
      <w:r>
        <w:fldChar w:fldCharType="end"/>
      </w:r>
    </w:p>
    <w:p>
      <w:pPr>
        <w:pStyle w:val="TOC8"/>
        <w:rPr>
          <w:sz w:val="24"/>
          <w:szCs w:val="24"/>
        </w:rPr>
      </w:pPr>
      <w:r>
        <w:rPr>
          <w:szCs w:val="24"/>
        </w:rPr>
        <w:t>76ATK.</w:t>
      </w:r>
      <w:r>
        <w:rPr>
          <w:szCs w:val="24"/>
        </w:rPr>
        <w:tab/>
        <w:t>Meaning of “interest”, “controlling interest” or “additional interest”</w:t>
      </w:r>
      <w:r>
        <w:tab/>
      </w:r>
      <w:r>
        <w:fldChar w:fldCharType="begin"/>
      </w:r>
      <w:r>
        <w:instrText xml:space="preserve"> PAGEREF _Toc131416170 \h </w:instrText>
      </w:r>
      <w:r>
        <w:fldChar w:fldCharType="separate"/>
      </w:r>
      <w:r>
        <w:t>245</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_Toc131416171 \h </w:instrText>
      </w:r>
      <w:r>
        <w:fldChar w:fldCharType="separate"/>
      </w:r>
      <w:r>
        <w:t>248</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_Toc131416173 \h </w:instrText>
      </w:r>
      <w:r>
        <w:fldChar w:fldCharType="separate"/>
      </w:r>
      <w:r>
        <w:t>251</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_Toc131416175 \h </w:instrText>
      </w:r>
      <w:r>
        <w:fldChar w:fldCharType="separate"/>
      </w:r>
      <w:r>
        <w:t>252</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_Toc131416176 \h </w:instrText>
      </w:r>
      <w:r>
        <w:fldChar w:fldCharType="separate"/>
      </w:r>
      <w:r>
        <w:t>254</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_Toc131416177 \h </w:instrText>
      </w:r>
      <w:r>
        <w:fldChar w:fldCharType="separate"/>
      </w:r>
      <w:r>
        <w:t>254</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76B.</w:t>
      </w:r>
      <w:r>
        <w:rPr>
          <w:szCs w:val="24"/>
        </w:rPr>
        <w:tab/>
        <w:t>Interpretation in Part IIIC</w:t>
      </w:r>
      <w:r>
        <w:tab/>
      </w:r>
      <w:r>
        <w:fldChar w:fldCharType="begin"/>
      </w:r>
      <w:r>
        <w:instrText xml:space="preserve"> PAGEREF _Toc131416179 \h </w:instrText>
      </w:r>
      <w:r>
        <w:fldChar w:fldCharType="separate"/>
      </w:r>
      <w:r>
        <w:t>255</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_Toc131416180 \h </w:instrText>
      </w:r>
      <w:r>
        <w:fldChar w:fldCharType="separate"/>
      </w:r>
      <w:r>
        <w:t>258</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_Toc131416181 \h </w:instrText>
      </w:r>
      <w:r>
        <w:fldChar w:fldCharType="separate"/>
      </w:r>
      <w:r>
        <w:t>261</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_Toc131416182 \h </w:instrText>
      </w:r>
      <w:r>
        <w:fldChar w:fldCharType="separate"/>
      </w:r>
      <w:r>
        <w:t>264</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_Toc131416183 \h </w:instrText>
      </w:r>
      <w:r>
        <w:fldChar w:fldCharType="separate"/>
      </w:r>
      <w:r>
        <w:t>264</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_Toc131416184 \h </w:instrText>
      </w:r>
      <w:r>
        <w:fldChar w:fldCharType="separate"/>
      </w:r>
      <w:r>
        <w:t>265</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_Toc131416185 \h </w:instrText>
      </w:r>
      <w:r>
        <w:fldChar w:fldCharType="separate"/>
      </w:r>
      <w:r>
        <w:t>265</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_Toc131416186 \h </w:instrText>
      </w:r>
      <w:r>
        <w:fldChar w:fldCharType="separate"/>
      </w:r>
      <w:r>
        <w:t>266</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_Toc131416187 \h </w:instrText>
      </w:r>
      <w:r>
        <w:fldChar w:fldCharType="separate"/>
      </w:r>
      <w:r>
        <w:t>267</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_Toc131416188 \h </w:instrText>
      </w:r>
      <w:r>
        <w:fldChar w:fldCharType="separate"/>
      </w:r>
      <w:r>
        <w:t>268</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_Toc131416189 \h </w:instrText>
      </w:r>
      <w:r>
        <w:fldChar w:fldCharType="separate"/>
      </w:r>
      <w:r>
        <w:t>268</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_Toc131416190 \h </w:instrText>
      </w:r>
      <w:r>
        <w:fldChar w:fldCharType="separate"/>
      </w:r>
      <w:r>
        <w:t>269</w:t>
      </w:r>
      <w:r>
        <w:fldChar w:fldCharType="end"/>
      </w:r>
    </w:p>
    <w:p>
      <w:pPr>
        <w:pStyle w:val="TOC8"/>
        <w:rPr>
          <w:sz w:val="24"/>
          <w:szCs w:val="24"/>
        </w:rPr>
      </w:pPr>
      <w:r>
        <w:rPr>
          <w:szCs w:val="24"/>
        </w:rPr>
        <w:t>76N.</w:t>
      </w:r>
      <w:r>
        <w:rPr>
          <w:szCs w:val="24"/>
        </w:rPr>
        <w:tab/>
        <w:t>Records</w:t>
      </w:r>
      <w:r>
        <w:tab/>
      </w:r>
      <w:r>
        <w:fldChar w:fldCharType="begin"/>
      </w:r>
      <w:r>
        <w:instrText xml:space="preserve"> PAGEREF _Toc131416191 \h </w:instrText>
      </w:r>
      <w:r>
        <w:fldChar w:fldCharType="separate"/>
      </w:r>
      <w:r>
        <w:t>269</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_Toc131416193 \h </w:instrText>
      </w:r>
      <w:r>
        <w:fldChar w:fldCharType="separate"/>
      </w:r>
      <w:r>
        <w:t>270</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_Toc131416194 \h </w:instrText>
      </w:r>
      <w:r>
        <w:fldChar w:fldCharType="separate"/>
      </w:r>
      <w:r>
        <w:t>270</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_Toc131416195 \h </w:instrText>
      </w:r>
      <w:r>
        <w:fldChar w:fldCharType="separate"/>
      </w:r>
      <w:r>
        <w:t>272</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_Toc131416196 \h </w:instrText>
      </w:r>
      <w:r>
        <w:fldChar w:fldCharType="separate"/>
      </w:r>
      <w:r>
        <w:t>273</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_Toc131416197 \h </w:instrText>
      </w:r>
      <w:r>
        <w:fldChar w:fldCharType="separate"/>
      </w:r>
      <w:r>
        <w:t>274</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Definitions</w:t>
      </w:r>
      <w:r>
        <w:tab/>
      </w:r>
      <w:r>
        <w:fldChar w:fldCharType="begin"/>
      </w:r>
      <w:r>
        <w:instrText xml:space="preserve"> PAGEREF _Toc131416200 \h </w:instrText>
      </w:r>
      <w:r>
        <w:fldChar w:fldCharType="separate"/>
      </w:r>
      <w:r>
        <w:t>275</w:t>
      </w:r>
      <w:r>
        <w:fldChar w:fldCharType="end"/>
      </w:r>
    </w:p>
    <w:p>
      <w:pPr>
        <w:pStyle w:val="TOC8"/>
        <w:rPr>
          <w:sz w:val="24"/>
          <w:szCs w:val="24"/>
        </w:rPr>
      </w:pPr>
      <w:r>
        <w:rPr>
          <w:szCs w:val="24"/>
        </w:rPr>
        <w:t>82.</w:t>
      </w:r>
      <w:r>
        <w:rPr>
          <w:szCs w:val="24"/>
        </w:rPr>
        <w:tab/>
        <w:t>Mortgages</w:t>
      </w:r>
      <w:r>
        <w:tab/>
      </w:r>
      <w:r>
        <w:fldChar w:fldCharType="begin"/>
      </w:r>
      <w:r>
        <w:instrText xml:space="preserve"> PAGEREF _Toc131416201 \h </w:instrText>
      </w:r>
      <w:r>
        <w:fldChar w:fldCharType="separate"/>
      </w:r>
      <w:r>
        <w:t>276</w:t>
      </w:r>
      <w:r>
        <w:fldChar w:fldCharType="end"/>
      </w:r>
    </w:p>
    <w:p>
      <w:pPr>
        <w:pStyle w:val="TOC8"/>
        <w:rPr>
          <w:sz w:val="24"/>
          <w:szCs w:val="24"/>
        </w:rPr>
      </w:pPr>
      <w:r>
        <w:rPr>
          <w:szCs w:val="24"/>
        </w:rPr>
        <w:t>83.</w:t>
      </w:r>
      <w:r>
        <w:rPr>
          <w:szCs w:val="24"/>
        </w:rPr>
        <w:tab/>
        <w:t>Advances</w:t>
      </w:r>
      <w:r>
        <w:tab/>
      </w:r>
      <w:r>
        <w:fldChar w:fldCharType="begin"/>
      </w:r>
      <w:r>
        <w:instrText xml:space="preserve"> PAGEREF _Toc131416202 \h </w:instrText>
      </w:r>
      <w:r>
        <w:fldChar w:fldCharType="separate"/>
      </w:r>
      <w:r>
        <w:t>277</w:t>
      </w:r>
      <w:r>
        <w:fldChar w:fldCharType="end"/>
      </w:r>
    </w:p>
    <w:p>
      <w:pPr>
        <w:pStyle w:val="TOC8"/>
        <w:rPr>
          <w:sz w:val="24"/>
          <w:szCs w:val="24"/>
        </w:rPr>
      </w:pPr>
      <w:r>
        <w:rPr>
          <w:szCs w:val="24"/>
        </w:rPr>
        <w:t>84.</w:t>
      </w:r>
      <w:r>
        <w:rPr>
          <w:szCs w:val="24"/>
        </w:rPr>
        <w:tab/>
        <w:t>Loans</w:t>
      </w:r>
      <w:r>
        <w:tab/>
      </w:r>
      <w:r>
        <w:fldChar w:fldCharType="begin"/>
      </w:r>
      <w:r>
        <w:instrText xml:space="preserve"> PAGEREF _Toc131416203 \h </w:instrText>
      </w:r>
      <w:r>
        <w:fldChar w:fldCharType="separate"/>
      </w:r>
      <w:r>
        <w:t>277</w:t>
      </w:r>
      <w:r>
        <w:fldChar w:fldCharType="end"/>
      </w:r>
    </w:p>
    <w:p>
      <w:pPr>
        <w:pStyle w:val="TOC8"/>
        <w:rPr>
          <w:sz w:val="24"/>
          <w:szCs w:val="24"/>
        </w:rPr>
      </w:pPr>
      <w:r>
        <w:rPr>
          <w:szCs w:val="24"/>
        </w:rPr>
        <w:t>85.</w:t>
      </w:r>
      <w:r>
        <w:rPr>
          <w:szCs w:val="24"/>
        </w:rPr>
        <w:tab/>
        <w:t>Home mortgages</w:t>
      </w:r>
      <w:r>
        <w:tab/>
      </w:r>
      <w:r>
        <w:fldChar w:fldCharType="begin"/>
      </w:r>
      <w:r>
        <w:instrText xml:space="preserve"> PAGEREF _Toc131416204 \h </w:instrText>
      </w:r>
      <w:r>
        <w:fldChar w:fldCharType="separate"/>
      </w:r>
      <w:r>
        <w:t>278</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86.</w:t>
      </w:r>
      <w:r>
        <w:rPr>
          <w:szCs w:val="24"/>
        </w:rPr>
        <w:tab/>
        <w:t>Assessing mortgage duty</w:t>
      </w:r>
      <w:r>
        <w:tab/>
      </w:r>
      <w:r>
        <w:fldChar w:fldCharType="begin"/>
      </w:r>
      <w:r>
        <w:instrText xml:space="preserve"> PAGEREF _Toc131416206 \h </w:instrText>
      </w:r>
      <w:r>
        <w:fldChar w:fldCharType="separate"/>
      </w:r>
      <w:r>
        <w:t>279</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_Toc131416207 \h </w:instrText>
      </w:r>
      <w:r>
        <w:fldChar w:fldCharType="separate"/>
      </w:r>
      <w:r>
        <w:t>279</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_Toc131416208 \h </w:instrText>
      </w:r>
      <w:r>
        <w:fldChar w:fldCharType="separate"/>
      </w:r>
      <w:r>
        <w:t>281</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_Toc131416209 \h </w:instrText>
      </w:r>
      <w:r>
        <w:fldChar w:fldCharType="separate"/>
      </w:r>
      <w:r>
        <w:t>282</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_Toc131416210 \h </w:instrText>
      </w:r>
      <w:r>
        <w:fldChar w:fldCharType="separate"/>
      </w:r>
      <w:r>
        <w:t>283</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_Toc131416212 \h </w:instrText>
      </w:r>
      <w:r>
        <w:fldChar w:fldCharType="separate"/>
      </w:r>
      <w:r>
        <w:t>284</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_Toc131416213 \h </w:instrText>
      </w:r>
      <w:r>
        <w:fldChar w:fldCharType="separate"/>
      </w:r>
      <w:r>
        <w:t>285</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_Toc131416214 \h </w:instrText>
      </w:r>
      <w:r>
        <w:fldChar w:fldCharType="separate"/>
      </w:r>
      <w:r>
        <w:t>285</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_Toc131416215 \h </w:instrText>
      </w:r>
      <w:r>
        <w:fldChar w:fldCharType="separate"/>
      </w:r>
      <w:r>
        <w:t>287</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_Toc131416216 \h </w:instrText>
      </w:r>
      <w:r>
        <w:fldChar w:fldCharType="separate"/>
      </w:r>
      <w:r>
        <w:t>287</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_Toc131416217 \h </w:instrText>
      </w:r>
      <w:r>
        <w:fldChar w:fldCharType="separate"/>
      </w:r>
      <w:r>
        <w:t>288</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_Toc131416218 \h </w:instrText>
      </w:r>
      <w:r>
        <w:fldChar w:fldCharType="separate"/>
      </w:r>
      <w:r>
        <w:t>289</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_Toc131416219 \h </w:instrText>
      </w:r>
      <w:r>
        <w:fldChar w:fldCharType="separate"/>
      </w:r>
      <w:r>
        <w:t>289</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_Toc131416220 \h </w:instrText>
      </w:r>
      <w:r>
        <w:fldChar w:fldCharType="separate"/>
      </w:r>
      <w:r>
        <w:t>289</w:t>
      </w:r>
      <w:r>
        <w:fldChar w:fldCharType="end"/>
      </w:r>
    </w:p>
    <w:p>
      <w:pPr>
        <w:pStyle w:val="TOC2"/>
        <w:tabs>
          <w:tab w:val="right" w:leader="dot" w:pos="7086"/>
        </w:tabs>
        <w:rPr>
          <w:b w:val="0"/>
          <w:sz w:val="24"/>
          <w:szCs w:val="24"/>
        </w:rPr>
      </w:pPr>
      <w:r>
        <w:rPr>
          <w:szCs w:val="30"/>
        </w:rPr>
        <w:t>Part IIIF</w:t>
      </w:r>
      <w:r>
        <w:rPr>
          <w:b w:val="0"/>
          <w:szCs w:val="30"/>
        </w:rPr>
        <w:t> </w:t>
      </w:r>
      <w:r>
        <w:rPr>
          <w:szCs w:val="30"/>
        </w:rPr>
        <w:t>—</w:t>
      </w:r>
      <w:r>
        <w:rPr>
          <w:b w:val="0"/>
          <w:szCs w:val="30"/>
        </w:rPr>
        <w:t> </w:t>
      </w:r>
      <w:r>
        <w:rPr>
          <w:szCs w:val="30"/>
        </w:rPr>
        <w:t>Insurance</w:t>
      </w:r>
    </w:p>
    <w:p>
      <w:pPr>
        <w:pStyle w:val="TOC4"/>
        <w:tabs>
          <w:tab w:val="right" w:leader="dot" w:pos="7086"/>
        </w:tabs>
        <w:rPr>
          <w:b w:val="0"/>
          <w:sz w:val="24"/>
          <w:szCs w:val="24"/>
        </w:rPr>
      </w:pPr>
      <w:r>
        <w:rPr>
          <w:szCs w:val="26"/>
        </w:rPr>
        <w:t>Division 1 — Interpretation in Part IIIF and connection to the State</w:t>
      </w:r>
    </w:p>
    <w:p>
      <w:pPr>
        <w:pStyle w:val="TOC8"/>
        <w:rPr>
          <w:sz w:val="24"/>
          <w:szCs w:val="24"/>
        </w:rPr>
      </w:pPr>
      <w:r>
        <w:rPr>
          <w:szCs w:val="24"/>
        </w:rPr>
        <w:t>92.</w:t>
      </w:r>
      <w:r>
        <w:rPr>
          <w:szCs w:val="24"/>
        </w:rPr>
        <w:tab/>
        <w:t>Terms used in this Part</w:t>
      </w:r>
      <w:r>
        <w:tab/>
      </w:r>
      <w:r>
        <w:fldChar w:fldCharType="begin"/>
      </w:r>
      <w:r>
        <w:instrText xml:space="preserve"> PAGEREF _Toc131416223 \h </w:instrText>
      </w:r>
      <w:r>
        <w:fldChar w:fldCharType="separate"/>
      </w:r>
      <w:r>
        <w:t>291</w:t>
      </w:r>
      <w:r>
        <w:fldChar w:fldCharType="end"/>
      </w:r>
    </w:p>
    <w:p>
      <w:pPr>
        <w:pStyle w:val="TOC8"/>
        <w:rPr>
          <w:sz w:val="24"/>
          <w:szCs w:val="24"/>
        </w:rPr>
      </w:pPr>
      <w:r>
        <w:rPr>
          <w:szCs w:val="24"/>
        </w:rPr>
        <w:t>92A.</w:t>
      </w:r>
      <w:r>
        <w:rPr>
          <w:szCs w:val="24"/>
        </w:rPr>
        <w:tab/>
        <w:t>Meaning of general insurance and connection to the State</w:t>
      </w:r>
      <w:r>
        <w:tab/>
      </w:r>
      <w:r>
        <w:fldChar w:fldCharType="begin"/>
      </w:r>
      <w:r>
        <w:instrText xml:space="preserve"> PAGEREF _Toc131416224 \h </w:instrText>
      </w:r>
      <w:r>
        <w:fldChar w:fldCharType="separate"/>
      </w:r>
      <w:r>
        <w:t>293</w:t>
      </w:r>
      <w:r>
        <w:fldChar w:fldCharType="end"/>
      </w:r>
    </w:p>
    <w:p>
      <w:pPr>
        <w:pStyle w:val="TOC8"/>
        <w:rPr>
          <w:sz w:val="24"/>
          <w:szCs w:val="24"/>
        </w:rPr>
      </w:pPr>
      <w:r>
        <w:rPr>
          <w:szCs w:val="24"/>
        </w:rPr>
        <w:t>92B.</w:t>
      </w:r>
      <w:r>
        <w:rPr>
          <w:szCs w:val="24"/>
        </w:rPr>
        <w:tab/>
        <w:t>Additional insurance — life riders</w:t>
      </w:r>
      <w:r>
        <w:tab/>
      </w:r>
      <w:r>
        <w:fldChar w:fldCharType="begin"/>
      </w:r>
      <w:r>
        <w:instrText xml:space="preserve"> PAGEREF _Toc131416225 \h </w:instrText>
      </w:r>
      <w:r>
        <w:fldChar w:fldCharType="separate"/>
      </w:r>
      <w:r>
        <w:t>294</w:t>
      </w:r>
      <w:r>
        <w:fldChar w:fldCharType="end"/>
      </w:r>
    </w:p>
    <w:p>
      <w:pPr>
        <w:pStyle w:val="TOC8"/>
        <w:rPr>
          <w:sz w:val="24"/>
          <w:szCs w:val="24"/>
        </w:rPr>
      </w:pPr>
      <w:r>
        <w:rPr>
          <w:szCs w:val="24"/>
        </w:rPr>
        <w:t>92C.</w:t>
      </w:r>
      <w:r>
        <w:rPr>
          <w:szCs w:val="24"/>
        </w:rPr>
        <w:tab/>
        <w:t>Payment of premiums</w:t>
      </w:r>
      <w:r>
        <w:tab/>
      </w:r>
      <w:r>
        <w:fldChar w:fldCharType="begin"/>
      </w:r>
      <w:r>
        <w:instrText xml:space="preserve"> PAGEREF _Toc131416226 \h </w:instrText>
      </w:r>
      <w:r>
        <w:fldChar w:fldCharType="separate"/>
      </w:r>
      <w:r>
        <w:t>295</w:t>
      </w:r>
      <w:r>
        <w:fldChar w:fldCharType="end"/>
      </w:r>
    </w:p>
    <w:p>
      <w:pPr>
        <w:pStyle w:val="TOC4"/>
        <w:tabs>
          <w:tab w:val="right" w:leader="dot" w:pos="7086"/>
        </w:tabs>
        <w:rPr>
          <w:b w:val="0"/>
          <w:sz w:val="24"/>
          <w:szCs w:val="24"/>
        </w:rPr>
      </w:pPr>
      <w:r>
        <w:rPr>
          <w:szCs w:val="26"/>
        </w:rPr>
        <w:t>Division 2 — Registration of insurers</w:t>
      </w:r>
    </w:p>
    <w:p>
      <w:pPr>
        <w:pStyle w:val="TOC8"/>
        <w:rPr>
          <w:sz w:val="24"/>
          <w:szCs w:val="24"/>
        </w:rPr>
      </w:pPr>
      <w:r>
        <w:rPr>
          <w:szCs w:val="24"/>
        </w:rPr>
        <w:t>93.</w:t>
      </w:r>
      <w:r>
        <w:rPr>
          <w:szCs w:val="24"/>
        </w:rPr>
        <w:tab/>
        <w:t>Insurers to be registered</w:t>
      </w:r>
      <w:r>
        <w:tab/>
      </w:r>
      <w:r>
        <w:fldChar w:fldCharType="begin"/>
      </w:r>
      <w:r>
        <w:instrText xml:space="preserve"> PAGEREF _Toc131416228 \h </w:instrText>
      </w:r>
      <w:r>
        <w:fldChar w:fldCharType="separate"/>
      </w:r>
      <w:r>
        <w:t>295</w:t>
      </w:r>
      <w:r>
        <w:fldChar w:fldCharType="end"/>
      </w:r>
    </w:p>
    <w:p>
      <w:pPr>
        <w:pStyle w:val="TOC8"/>
        <w:rPr>
          <w:sz w:val="24"/>
          <w:szCs w:val="24"/>
        </w:rPr>
      </w:pPr>
      <w:r>
        <w:rPr>
          <w:szCs w:val="24"/>
        </w:rPr>
        <w:t>93A.</w:t>
      </w:r>
      <w:r>
        <w:rPr>
          <w:szCs w:val="24"/>
        </w:rPr>
        <w:tab/>
        <w:t>Registration of insurers</w:t>
      </w:r>
      <w:r>
        <w:tab/>
      </w:r>
      <w:r>
        <w:fldChar w:fldCharType="begin"/>
      </w:r>
      <w:r>
        <w:instrText xml:space="preserve"> PAGEREF _Toc131416229 \h </w:instrText>
      </w:r>
      <w:r>
        <w:fldChar w:fldCharType="separate"/>
      </w:r>
      <w:r>
        <w:t>296</w:t>
      </w:r>
      <w:r>
        <w:fldChar w:fldCharType="end"/>
      </w:r>
    </w:p>
    <w:p>
      <w:pPr>
        <w:pStyle w:val="TOC8"/>
        <w:rPr>
          <w:sz w:val="24"/>
          <w:szCs w:val="24"/>
        </w:rPr>
      </w:pPr>
      <w:r>
        <w:rPr>
          <w:szCs w:val="24"/>
        </w:rPr>
        <w:t>93B.</w:t>
      </w:r>
      <w:r>
        <w:rPr>
          <w:szCs w:val="24"/>
        </w:rPr>
        <w:tab/>
        <w:t>Cancelling registration of insurers</w:t>
      </w:r>
      <w:r>
        <w:tab/>
      </w:r>
      <w:r>
        <w:fldChar w:fldCharType="begin"/>
      </w:r>
      <w:r>
        <w:instrText xml:space="preserve"> PAGEREF _Toc131416230 \h </w:instrText>
      </w:r>
      <w:r>
        <w:fldChar w:fldCharType="separate"/>
      </w:r>
      <w:r>
        <w:t>296</w:t>
      </w:r>
      <w:r>
        <w:fldChar w:fldCharType="end"/>
      </w:r>
    </w:p>
    <w:p>
      <w:pPr>
        <w:pStyle w:val="TOC4"/>
        <w:tabs>
          <w:tab w:val="right" w:leader="dot" w:pos="7086"/>
        </w:tabs>
        <w:rPr>
          <w:b w:val="0"/>
          <w:sz w:val="24"/>
          <w:szCs w:val="24"/>
        </w:rPr>
      </w:pPr>
      <w:r>
        <w:rPr>
          <w:szCs w:val="26"/>
        </w:rPr>
        <w:t>Division 3 — Duty payable by insurers</w:t>
      </w:r>
    </w:p>
    <w:p>
      <w:pPr>
        <w:pStyle w:val="TOC8"/>
        <w:rPr>
          <w:sz w:val="24"/>
          <w:szCs w:val="24"/>
        </w:rPr>
      </w:pPr>
      <w:r>
        <w:rPr>
          <w:szCs w:val="24"/>
        </w:rPr>
        <w:t>94.</w:t>
      </w:r>
      <w:r>
        <w:rPr>
          <w:szCs w:val="24"/>
        </w:rPr>
        <w:tab/>
        <w:t>Lodging returns and paying duty</w:t>
      </w:r>
      <w:r>
        <w:tab/>
      </w:r>
      <w:r>
        <w:fldChar w:fldCharType="begin"/>
      </w:r>
      <w:r>
        <w:instrText xml:space="preserve"> PAGEREF _Toc131416232 \h </w:instrText>
      </w:r>
      <w:r>
        <w:fldChar w:fldCharType="separate"/>
      </w:r>
      <w:r>
        <w:t>296</w:t>
      </w:r>
      <w:r>
        <w:fldChar w:fldCharType="end"/>
      </w:r>
    </w:p>
    <w:p>
      <w:pPr>
        <w:pStyle w:val="TOC8"/>
        <w:rPr>
          <w:sz w:val="24"/>
          <w:szCs w:val="24"/>
        </w:rPr>
      </w:pPr>
      <w:r>
        <w:rPr>
          <w:szCs w:val="24"/>
        </w:rPr>
        <w:t>94A.</w:t>
      </w:r>
      <w:r>
        <w:rPr>
          <w:szCs w:val="24"/>
        </w:rPr>
        <w:tab/>
        <w:t>Calculating the amount of duty payable on a return</w:t>
      </w:r>
      <w:r>
        <w:tab/>
      </w:r>
      <w:r>
        <w:fldChar w:fldCharType="begin"/>
      </w:r>
      <w:r>
        <w:instrText xml:space="preserve"> PAGEREF _Toc131416233 \h </w:instrText>
      </w:r>
      <w:r>
        <w:fldChar w:fldCharType="separate"/>
      </w:r>
      <w:r>
        <w:t>297</w:t>
      </w:r>
      <w:r>
        <w:fldChar w:fldCharType="end"/>
      </w:r>
    </w:p>
    <w:p>
      <w:pPr>
        <w:pStyle w:val="TOC8"/>
        <w:rPr>
          <w:sz w:val="24"/>
          <w:szCs w:val="24"/>
        </w:rPr>
      </w:pPr>
      <w:r>
        <w:rPr>
          <w:szCs w:val="24"/>
        </w:rPr>
        <w:t>94B.</w:t>
      </w:r>
      <w:r>
        <w:rPr>
          <w:szCs w:val="24"/>
        </w:rPr>
        <w:tab/>
        <w:t>Return period of an insurer</w:t>
      </w:r>
      <w:r>
        <w:tab/>
      </w:r>
      <w:r>
        <w:fldChar w:fldCharType="begin"/>
      </w:r>
      <w:r>
        <w:instrText xml:space="preserve"> PAGEREF _Toc131416234 \h </w:instrText>
      </w:r>
      <w:r>
        <w:fldChar w:fldCharType="separate"/>
      </w:r>
      <w:r>
        <w:t>298</w:t>
      </w:r>
      <w:r>
        <w:fldChar w:fldCharType="end"/>
      </w:r>
    </w:p>
    <w:p>
      <w:pPr>
        <w:pStyle w:val="TOC4"/>
        <w:tabs>
          <w:tab w:val="right" w:leader="dot" w:pos="7086"/>
        </w:tabs>
        <w:rPr>
          <w:b w:val="0"/>
          <w:sz w:val="24"/>
          <w:szCs w:val="24"/>
        </w:rPr>
      </w:pPr>
      <w:r>
        <w:rPr>
          <w:szCs w:val="26"/>
        </w:rPr>
        <w:t>Division 4 — Duty payable by insured persons</w:t>
      </w:r>
    </w:p>
    <w:p>
      <w:pPr>
        <w:pStyle w:val="TOC8"/>
        <w:rPr>
          <w:sz w:val="24"/>
          <w:szCs w:val="24"/>
        </w:rPr>
      </w:pPr>
      <w:r>
        <w:rPr>
          <w:szCs w:val="24"/>
        </w:rPr>
        <w:t>95.</w:t>
      </w:r>
      <w:r>
        <w:rPr>
          <w:szCs w:val="24"/>
        </w:rPr>
        <w:tab/>
        <w:t>Meaning of insurer in this Division</w:t>
      </w:r>
      <w:r>
        <w:tab/>
      </w:r>
      <w:r>
        <w:fldChar w:fldCharType="begin"/>
      </w:r>
      <w:r>
        <w:instrText xml:space="preserve"> PAGEREF _Toc131416236 \h </w:instrText>
      </w:r>
      <w:r>
        <w:fldChar w:fldCharType="separate"/>
      </w:r>
      <w:r>
        <w:t>298</w:t>
      </w:r>
      <w:r>
        <w:fldChar w:fldCharType="end"/>
      </w:r>
    </w:p>
    <w:p>
      <w:pPr>
        <w:pStyle w:val="TOC8"/>
        <w:rPr>
          <w:sz w:val="24"/>
          <w:szCs w:val="24"/>
        </w:rPr>
      </w:pPr>
      <w:r>
        <w:rPr>
          <w:szCs w:val="24"/>
        </w:rPr>
        <w:t>95A.</w:t>
      </w:r>
      <w:r>
        <w:rPr>
          <w:szCs w:val="24"/>
        </w:rPr>
        <w:tab/>
        <w:t>Insured person to lodge statement and pay duty</w:t>
      </w:r>
      <w:r>
        <w:tab/>
      </w:r>
      <w:r>
        <w:fldChar w:fldCharType="begin"/>
      </w:r>
      <w:r>
        <w:instrText xml:space="preserve"> PAGEREF _Toc131416237 \h </w:instrText>
      </w:r>
      <w:r>
        <w:fldChar w:fldCharType="separate"/>
      </w:r>
      <w:r>
        <w:t>298</w:t>
      </w:r>
      <w:r>
        <w:fldChar w:fldCharType="end"/>
      </w:r>
    </w:p>
    <w:p>
      <w:pPr>
        <w:pStyle w:val="TOC8"/>
        <w:rPr>
          <w:sz w:val="24"/>
          <w:szCs w:val="24"/>
        </w:rPr>
      </w:pPr>
      <w:r>
        <w:rPr>
          <w:szCs w:val="24"/>
        </w:rPr>
        <w:t>95B.</w:t>
      </w:r>
      <w:r>
        <w:rPr>
          <w:szCs w:val="24"/>
        </w:rPr>
        <w:tab/>
        <w:t>Insurer and intermediary to notify Commissioner of contracts of insurance</w:t>
      </w:r>
      <w:r>
        <w:tab/>
      </w:r>
      <w:r>
        <w:fldChar w:fldCharType="begin"/>
      </w:r>
      <w:r>
        <w:instrText xml:space="preserve"> PAGEREF _Toc131416238 \h </w:instrText>
      </w:r>
      <w:r>
        <w:fldChar w:fldCharType="separate"/>
      </w:r>
      <w:r>
        <w:t>299</w:t>
      </w:r>
      <w:r>
        <w:fldChar w:fldCharType="end"/>
      </w:r>
    </w:p>
    <w:p>
      <w:pPr>
        <w:pStyle w:val="TOC4"/>
        <w:tabs>
          <w:tab w:val="right" w:leader="dot" w:pos="7086"/>
        </w:tabs>
        <w:rPr>
          <w:b w:val="0"/>
          <w:sz w:val="24"/>
          <w:szCs w:val="24"/>
        </w:rPr>
      </w:pPr>
      <w:r>
        <w:rPr>
          <w:szCs w:val="26"/>
        </w:rPr>
        <w:t>Division 5 — General provisions</w:t>
      </w:r>
    </w:p>
    <w:p>
      <w:pPr>
        <w:pStyle w:val="TOC8"/>
        <w:rPr>
          <w:sz w:val="24"/>
          <w:szCs w:val="24"/>
        </w:rPr>
      </w:pPr>
      <w:r>
        <w:rPr>
          <w:szCs w:val="24"/>
        </w:rPr>
        <w:t>96.</w:t>
      </w:r>
      <w:r>
        <w:rPr>
          <w:szCs w:val="24"/>
        </w:rPr>
        <w:tab/>
        <w:t>Apportionment of premiums and instalments</w:t>
      </w:r>
      <w:r>
        <w:tab/>
      </w:r>
      <w:r>
        <w:fldChar w:fldCharType="begin"/>
      </w:r>
      <w:r>
        <w:instrText xml:space="preserve"> PAGEREF _Toc131416240 \h </w:instrText>
      </w:r>
      <w:r>
        <w:fldChar w:fldCharType="separate"/>
      </w:r>
      <w:r>
        <w:t>300</w:t>
      </w:r>
      <w:r>
        <w:fldChar w:fldCharType="end"/>
      </w:r>
    </w:p>
    <w:p>
      <w:pPr>
        <w:pStyle w:val="TOC8"/>
        <w:rPr>
          <w:sz w:val="24"/>
          <w:szCs w:val="24"/>
        </w:rPr>
      </w:pPr>
      <w:r>
        <w:rPr>
          <w:szCs w:val="24"/>
        </w:rPr>
        <w:t>96A.</w:t>
      </w:r>
      <w:r>
        <w:rPr>
          <w:szCs w:val="24"/>
        </w:rPr>
        <w:tab/>
        <w:t>Refunds</w:t>
      </w:r>
      <w:r>
        <w:tab/>
      </w:r>
      <w:r>
        <w:fldChar w:fldCharType="begin"/>
      </w:r>
      <w:r>
        <w:instrText xml:space="preserve"> PAGEREF _Toc131416241 \h </w:instrText>
      </w:r>
      <w:r>
        <w:fldChar w:fldCharType="separate"/>
      </w:r>
      <w:r>
        <w:t>301</w:t>
      </w:r>
      <w:r>
        <w:fldChar w:fldCharType="end"/>
      </w:r>
    </w:p>
    <w:p>
      <w:pPr>
        <w:pStyle w:val="TOC8"/>
        <w:rPr>
          <w:sz w:val="24"/>
          <w:szCs w:val="24"/>
        </w:rPr>
      </w:pPr>
      <w:r>
        <w:rPr>
          <w:szCs w:val="24"/>
        </w:rPr>
        <w:t>96B.</w:t>
      </w:r>
      <w:r>
        <w:rPr>
          <w:szCs w:val="24"/>
        </w:rPr>
        <w:tab/>
        <w:t>Records</w:t>
      </w:r>
      <w:r>
        <w:tab/>
      </w:r>
      <w:r>
        <w:fldChar w:fldCharType="begin"/>
      </w:r>
      <w:r>
        <w:instrText xml:space="preserve"> PAGEREF _Toc131416242 \h </w:instrText>
      </w:r>
      <w:r>
        <w:fldChar w:fldCharType="separate"/>
      </w:r>
      <w:r>
        <w:t>301</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Commercial hire business</w:t>
      </w:r>
      <w:r>
        <w:tab/>
      </w:r>
      <w:r>
        <w:fldChar w:fldCharType="begin"/>
      </w:r>
      <w:r>
        <w:instrText xml:space="preserve"> PAGEREF _Toc131416245 \h </w:instrText>
      </w:r>
      <w:r>
        <w:fldChar w:fldCharType="separate"/>
      </w:r>
      <w:r>
        <w:t>303</w:t>
      </w:r>
      <w:r>
        <w:fldChar w:fldCharType="end"/>
      </w:r>
    </w:p>
    <w:p>
      <w:pPr>
        <w:pStyle w:val="TOC8"/>
        <w:rPr>
          <w:sz w:val="24"/>
          <w:szCs w:val="24"/>
        </w:rPr>
      </w:pPr>
      <w:r>
        <w:rPr>
          <w:szCs w:val="24"/>
        </w:rPr>
        <w:t>112IA.</w:t>
      </w:r>
      <w:r>
        <w:rPr>
          <w:szCs w:val="24"/>
        </w:rPr>
        <w:tab/>
        <w:t>Goods</w:t>
      </w:r>
      <w:r>
        <w:tab/>
      </w:r>
      <w:r>
        <w:fldChar w:fldCharType="begin"/>
      </w:r>
      <w:r>
        <w:instrText xml:space="preserve"> PAGEREF _Toc131416246 \h </w:instrText>
      </w:r>
      <w:r>
        <w:fldChar w:fldCharType="separate"/>
      </w:r>
      <w:r>
        <w:t>303</w:t>
      </w:r>
      <w:r>
        <w:fldChar w:fldCharType="end"/>
      </w:r>
    </w:p>
    <w:p>
      <w:pPr>
        <w:pStyle w:val="TOC8"/>
        <w:rPr>
          <w:sz w:val="24"/>
          <w:szCs w:val="24"/>
        </w:rPr>
      </w:pPr>
      <w:r>
        <w:rPr>
          <w:szCs w:val="24"/>
        </w:rPr>
        <w:t>112IB.</w:t>
      </w:r>
      <w:r>
        <w:rPr>
          <w:szCs w:val="24"/>
        </w:rPr>
        <w:tab/>
        <w:t>Hire of goods</w:t>
      </w:r>
      <w:r>
        <w:tab/>
      </w:r>
      <w:r>
        <w:fldChar w:fldCharType="begin"/>
      </w:r>
      <w:r>
        <w:instrText xml:space="preserve"> PAGEREF _Toc131416247 \h </w:instrText>
      </w:r>
      <w:r>
        <w:fldChar w:fldCharType="separate"/>
      </w:r>
      <w:r>
        <w:t>303</w:t>
      </w:r>
      <w:r>
        <w:fldChar w:fldCharType="end"/>
      </w:r>
    </w:p>
    <w:p>
      <w:pPr>
        <w:pStyle w:val="TOC8"/>
        <w:rPr>
          <w:sz w:val="24"/>
          <w:szCs w:val="24"/>
        </w:rPr>
      </w:pPr>
      <w:r>
        <w:rPr>
          <w:szCs w:val="24"/>
        </w:rPr>
        <w:t>112IC.</w:t>
      </w:r>
      <w:r>
        <w:rPr>
          <w:szCs w:val="24"/>
        </w:rPr>
        <w:tab/>
        <w:t>State hire of goods</w:t>
      </w:r>
      <w:r>
        <w:tab/>
      </w:r>
      <w:r>
        <w:fldChar w:fldCharType="begin"/>
      </w:r>
      <w:r>
        <w:instrText xml:space="preserve"> PAGEREF _Toc131416248 \h </w:instrText>
      </w:r>
      <w:r>
        <w:fldChar w:fldCharType="separate"/>
      </w:r>
      <w:r>
        <w:t>305</w:t>
      </w:r>
      <w:r>
        <w:fldChar w:fldCharType="end"/>
      </w:r>
    </w:p>
    <w:p>
      <w:pPr>
        <w:pStyle w:val="TOC8"/>
        <w:rPr>
          <w:sz w:val="24"/>
          <w:szCs w:val="24"/>
        </w:rPr>
      </w:pPr>
      <w:r>
        <w:rPr>
          <w:szCs w:val="24"/>
        </w:rPr>
        <w:t>112ID.</w:t>
      </w:r>
      <w:r>
        <w:rPr>
          <w:szCs w:val="24"/>
        </w:rPr>
        <w:tab/>
        <w:t>Equipment financing arrangements</w:t>
      </w:r>
      <w:r>
        <w:tab/>
      </w:r>
      <w:r>
        <w:fldChar w:fldCharType="begin"/>
      </w:r>
      <w:r>
        <w:instrText xml:space="preserve"> PAGEREF _Toc131416249 \h </w:instrText>
      </w:r>
      <w:r>
        <w:fldChar w:fldCharType="separate"/>
      </w:r>
      <w:r>
        <w:t>305</w:t>
      </w:r>
      <w:r>
        <w:fldChar w:fldCharType="end"/>
      </w:r>
    </w:p>
    <w:p>
      <w:pPr>
        <w:pStyle w:val="TOC8"/>
        <w:rPr>
          <w:sz w:val="24"/>
          <w:szCs w:val="24"/>
        </w:rPr>
      </w:pPr>
      <w:r>
        <w:rPr>
          <w:szCs w:val="24"/>
        </w:rPr>
        <w:t>112IE.</w:t>
      </w:r>
      <w:r>
        <w:rPr>
          <w:szCs w:val="24"/>
        </w:rPr>
        <w:tab/>
        <w:t>Hiring charges</w:t>
      </w:r>
      <w:r>
        <w:tab/>
      </w:r>
      <w:r>
        <w:fldChar w:fldCharType="begin"/>
      </w:r>
      <w:r>
        <w:instrText xml:space="preserve"> PAGEREF _Toc131416250 \h </w:instrText>
      </w:r>
      <w:r>
        <w:fldChar w:fldCharType="separate"/>
      </w:r>
      <w:r>
        <w:t>306</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_Toc131416251 \h </w:instrText>
      </w:r>
      <w:r>
        <w:fldChar w:fldCharType="separate"/>
      </w:r>
      <w:r>
        <w:t>307</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_Toc131416253 \h </w:instrText>
      </w:r>
      <w:r>
        <w:fldChar w:fldCharType="separate"/>
      </w:r>
      <w:r>
        <w:t>308</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_Toc131416254 \h </w:instrText>
      </w:r>
      <w:r>
        <w:fldChar w:fldCharType="separate"/>
      </w:r>
      <w:r>
        <w:t>308</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_Toc131416255 \h </w:instrText>
      </w:r>
      <w:r>
        <w:fldChar w:fldCharType="separate"/>
      </w:r>
      <w:r>
        <w:t>309</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_Toc131416257 \h </w:instrText>
      </w:r>
      <w:r>
        <w:fldChar w:fldCharType="separate"/>
      </w:r>
      <w:r>
        <w:t>309</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_Toc131416259 \h </w:instrText>
      </w:r>
      <w:r>
        <w:fldChar w:fldCharType="separate"/>
      </w:r>
      <w:r>
        <w:t>310</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_Toc131416260 \h </w:instrText>
      </w:r>
      <w:r>
        <w:fldChar w:fldCharType="separate"/>
      </w:r>
      <w:r>
        <w:t>311</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_Toc131416261 \h </w:instrText>
      </w:r>
      <w:r>
        <w:fldChar w:fldCharType="separate"/>
      </w:r>
      <w:r>
        <w:t>312</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_Toc131416262 \h </w:instrText>
      </w:r>
      <w:r>
        <w:fldChar w:fldCharType="separate"/>
      </w:r>
      <w:r>
        <w:t>312</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_Toc131416263 \h </w:instrText>
      </w:r>
      <w:r>
        <w:fldChar w:fldCharType="separate"/>
      </w:r>
      <w:r>
        <w:t>313</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_Toc131416265 \h </w:instrText>
      </w:r>
      <w:r>
        <w:fldChar w:fldCharType="separate"/>
      </w:r>
      <w:r>
        <w:t>314</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_Toc131416266 \h </w:instrText>
      </w:r>
      <w:r>
        <w:fldChar w:fldCharType="separate"/>
      </w:r>
      <w:r>
        <w:t>315</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_Toc131416267 \h </w:instrText>
      </w:r>
      <w:r>
        <w:fldChar w:fldCharType="separate"/>
      </w:r>
      <w:r>
        <w:t>316</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_Toc131416269 \h </w:instrText>
      </w:r>
      <w:r>
        <w:fldChar w:fldCharType="separate"/>
      </w:r>
      <w:r>
        <w:t>316</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_Toc131416270 \h </w:instrText>
      </w:r>
      <w:r>
        <w:fldChar w:fldCharType="separate"/>
      </w:r>
      <w:r>
        <w:t>317</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_Toc131416271 \h </w:instrText>
      </w:r>
      <w:r>
        <w:fldChar w:fldCharType="separate"/>
      </w:r>
      <w:r>
        <w:t>317</w:t>
      </w:r>
      <w:r>
        <w:fldChar w:fldCharType="end"/>
      </w:r>
    </w:p>
    <w:p>
      <w:pPr>
        <w:pStyle w:val="TOC8"/>
        <w:rPr>
          <w:sz w:val="24"/>
          <w:szCs w:val="24"/>
        </w:rPr>
      </w:pPr>
      <w:r>
        <w:rPr>
          <w:szCs w:val="24"/>
        </w:rPr>
        <w:t>112NC.</w:t>
      </w:r>
      <w:r>
        <w:rPr>
          <w:szCs w:val="24"/>
        </w:rPr>
        <w:tab/>
        <w:t>Records</w:t>
      </w:r>
      <w:r>
        <w:tab/>
      </w:r>
      <w:r>
        <w:fldChar w:fldCharType="begin"/>
      </w:r>
      <w:r>
        <w:instrText xml:space="preserve"> PAGEREF _Toc131416272 \h </w:instrText>
      </w:r>
      <w:r>
        <w:fldChar w:fldCharType="separate"/>
      </w:r>
      <w:r>
        <w:t>318</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_Toc131416274 \h </w:instrText>
      </w:r>
      <w:r>
        <w:fldChar w:fldCharType="separate"/>
      </w:r>
      <w:r>
        <w:t>320</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_Toc131416275 \h </w:instrText>
      </w:r>
      <w:r>
        <w:fldChar w:fldCharType="separate"/>
      </w:r>
      <w:r>
        <w:t>320</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_Toc131416276 \h </w:instrText>
      </w:r>
      <w:r>
        <w:fldChar w:fldCharType="separate"/>
      </w:r>
      <w:r>
        <w:t>321</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Interpretation in Part IVD</w:t>
      </w:r>
      <w:r>
        <w:tab/>
      </w:r>
      <w:r>
        <w:fldChar w:fldCharType="begin"/>
      </w:r>
      <w:r>
        <w:instrText xml:space="preserve"> PAGEREF _Toc131416278 \h </w:instrText>
      </w:r>
      <w:r>
        <w:fldChar w:fldCharType="separate"/>
      </w:r>
      <w:r>
        <w:t>322</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_Toc131416279 \h </w:instrText>
      </w:r>
      <w:r>
        <w:fldChar w:fldCharType="separate"/>
      </w:r>
      <w:r>
        <w:t>323</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_Toc131416280 \h </w:instrText>
      </w:r>
      <w:r>
        <w:fldChar w:fldCharType="separate"/>
      </w:r>
      <w:r>
        <w:t>324</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_Toc131416281 \h </w:instrText>
      </w:r>
      <w:r>
        <w:fldChar w:fldCharType="separate"/>
      </w:r>
      <w:r>
        <w:t>325</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_Toc131416283 \h </w:instrText>
      </w:r>
      <w:r>
        <w:fldChar w:fldCharType="separate"/>
      </w:r>
      <w:r>
        <w:t>326</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_Toc131416285 \h </w:instrText>
      </w:r>
      <w:r>
        <w:fldChar w:fldCharType="separate"/>
      </w:r>
      <w:r>
        <w:t>328</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_Toc131416286 \h </w:instrText>
      </w:r>
      <w:r>
        <w:fldChar w:fldCharType="separate"/>
      </w:r>
      <w:r>
        <w:t>328</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_Toc131416287 \h </w:instrText>
      </w:r>
      <w:r>
        <w:fldChar w:fldCharType="separate"/>
      </w:r>
      <w:r>
        <w:t>329</w:t>
      </w:r>
      <w:r>
        <w:fldChar w:fldCharType="end"/>
      </w:r>
    </w:p>
    <w:p>
      <w:pPr>
        <w:pStyle w:val="TOC8"/>
        <w:rPr>
          <w:sz w:val="24"/>
          <w:szCs w:val="24"/>
        </w:rPr>
      </w:pPr>
      <w:r>
        <w:rPr>
          <w:szCs w:val="24"/>
        </w:rPr>
        <w:t>120.</w:t>
      </w:r>
      <w:r>
        <w:rPr>
          <w:szCs w:val="24"/>
        </w:rPr>
        <w:tab/>
        <w:t>Regulations</w:t>
      </w:r>
      <w:r>
        <w:tab/>
      </w:r>
      <w:r>
        <w:fldChar w:fldCharType="begin"/>
      </w:r>
      <w:r>
        <w:instrText xml:space="preserve"> PAGEREF _Toc131416288 \h </w:instrText>
      </w:r>
      <w:r>
        <w:fldChar w:fldCharType="separate"/>
      </w:r>
      <w:r>
        <w:t>330</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_Toc131416289 \h </w:instrText>
      </w:r>
      <w:r>
        <w:fldChar w:fldCharType="separate"/>
      </w:r>
      <w:r>
        <w:t>331</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Duties payable on instruments</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Exemptions from duty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_Toc131416295 \h </w:instrText>
      </w:r>
      <w:r>
        <w:fldChar w:fldCharType="separate"/>
      </w:r>
      <w:r>
        <w:t>349</w:t>
      </w:r>
      <w:r>
        <w:fldChar w:fldCharType="end"/>
      </w:r>
    </w:p>
    <w:p>
      <w:pPr>
        <w:pStyle w:val="TOC8"/>
        <w:rPr>
          <w:sz w:val="24"/>
          <w:szCs w:val="24"/>
        </w:rPr>
      </w:pPr>
      <w:r>
        <w:rPr>
          <w:snapToGrid w:val="0"/>
          <w:szCs w:val="24"/>
        </w:rPr>
        <w:tab/>
        <w:t>Provisions that have not come into operation</w:t>
      </w:r>
      <w:r>
        <w:tab/>
      </w:r>
      <w:r>
        <w:fldChar w:fldCharType="begin"/>
      </w:r>
      <w:r>
        <w:instrText xml:space="preserve"> PAGEREF _Toc131416296 \h </w:instrText>
      </w:r>
      <w:r>
        <w:fldChar w:fldCharType="separate"/>
      </w:r>
      <w:r>
        <w:t>362</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I — Preliminary</w:instrText>
      </w:r>
    </w:p>
    <w:p>
      <w:pPr>
        <w:pStyle w:val="TOC8"/>
        <w:rPr>
          <w:sz w:val="24"/>
          <w:szCs w:val="24"/>
        </w:rPr>
      </w:pPr>
      <w:r>
        <w:rPr>
          <w:szCs w:val="24"/>
        </w:rPr>
        <w:instrText>1</w:instrText>
      </w:r>
      <w:r>
        <w:rPr>
          <w:snapToGrid w:val="0"/>
          <w:szCs w:val="24"/>
        </w:rPr>
        <w:instrText>.</w:instrText>
      </w:r>
      <w:r>
        <w:rPr>
          <w:snapToGrid w:val="0"/>
          <w:szCs w:val="24"/>
        </w:rPr>
        <w:tab/>
        <w:instrText>Short title and commencement</w:instrText>
      </w:r>
      <w:r>
        <w:tab/>
      </w:r>
      <w:r>
        <w:fldChar w:fldCharType="begin"/>
      </w:r>
      <w:r>
        <w:instrText xml:space="preserve"> PAGEREF _Toc170193206 \h </w:instrText>
      </w:r>
      <w:r>
        <w:fldChar w:fldCharType="separate"/>
      </w:r>
      <w:r>
        <w:instrText>2</w:instrText>
      </w:r>
      <w:r>
        <w:fldChar w:fldCharType="end"/>
      </w:r>
    </w:p>
    <w:p>
      <w:pPr>
        <w:pStyle w:val="TOC8"/>
        <w:rPr>
          <w:sz w:val="24"/>
          <w:szCs w:val="24"/>
        </w:rPr>
      </w:pPr>
      <w:r>
        <w:rPr>
          <w:szCs w:val="24"/>
        </w:rPr>
        <w:instrText>4</w:instrText>
      </w:r>
      <w:r>
        <w:rPr>
          <w:snapToGrid w:val="0"/>
          <w:szCs w:val="24"/>
        </w:rPr>
        <w:instrText>.</w:instrText>
      </w:r>
      <w:r>
        <w:rPr>
          <w:snapToGrid w:val="0"/>
          <w:szCs w:val="24"/>
        </w:rPr>
        <w:tab/>
        <w:instrText>Interpretation</w:instrText>
      </w:r>
      <w:r>
        <w:tab/>
      </w:r>
      <w:r>
        <w:fldChar w:fldCharType="begin"/>
      </w:r>
      <w:r>
        <w:instrText xml:space="preserve"> PAGEREF _Toc170193207 \h </w:instrText>
      </w:r>
      <w:r>
        <w:fldChar w:fldCharType="separate"/>
      </w:r>
      <w:r>
        <w:instrText>2</w:instrText>
      </w:r>
      <w:r>
        <w:fldChar w:fldCharType="end"/>
      </w:r>
    </w:p>
    <w:p>
      <w:pPr>
        <w:pStyle w:val="TOC8"/>
        <w:rPr>
          <w:sz w:val="24"/>
          <w:szCs w:val="24"/>
        </w:rPr>
      </w:pPr>
      <w:r>
        <w:rPr>
          <w:szCs w:val="24"/>
        </w:rPr>
        <w:instrText>4A.</w:instrText>
      </w:r>
      <w:r>
        <w:rPr>
          <w:szCs w:val="24"/>
        </w:rPr>
        <w:tab/>
        <w:instrText>Treatment of amounts payable for GST</w:instrText>
      </w:r>
      <w:r>
        <w:tab/>
      </w:r>
      <w:r>
        <w:fldChar w:fldCharType="begin"/>
      </w:r>
      <w:r>
        <w:instrText xml:space="preserve"> PAGEREF _Toc170193208 \h </w:instrText>
      </w:r>
      <w:r>
        <w:fldChar w:fldCharType="separate"/>
      </w:r>
      <w:r>
        <w:instrText>7</w:instrText>
      </w:r>
      <w:r>
        <w:fldChar w:fldCharType="end"/>
      </w:r>
    </w:p>
    <w:p>
      <w:pPr>
        <w:pStyle w:val="TOC2"/>
        <w:tabs>
          <w:tab w:val="right" w:pos="7086"/>
        </w:tabs>
        <w:rPr>
          <w:b w:val="0"/>
          <w:sz w:val="24"/>
          <w:szCs w:val="24"/>
        </w:rPr>
      </w:pPr>
      <w:r>
        <w:rPr>
          <w:szCs w:val="30"/>
        </w:rPr>
        <w:instrText>Part II — Conditional contracts (interpretation)</w:instrText>
      </w:r>
    </w:p>
    <w:p>
      <w:pPr>
        <w:pStyle w:val="TOC8"/>
        <w:rPr>
          <w:sz w:val="24"/>
          <w:szCs w:val="24"/>
        </w:rPr>
      </w:pPr>
      <w:r>
        <w:rPr>
          <w:szCs w:val="24"/>
        </w:rPr>
        <w:instrText>6.</w:instrText>
      </w:r>
      <w:r>
        <w:rPr>
          <w:szCs w:val="24"/>
        </w:rPr>
        <w:tab/>
        <w:instrText>Meaning of “eligible conditional contract”</w:instrText>
      </w:r>
      <w:r>
        <w:tab/>
      </w:r>
      <w:r>
        <w:fldChar w:fldCharType="begin"/>
      </w:r>
      <w:r>
        <w:instrText xml:space="preserve"> PAGEREF _Toc170193210 \h </w:instrText>
      </w:r>
      <w:r>
        <w:fldChar w:fldCharType="separate"/>
      </w:r>
      <w:r>
        <w:instrText>8</w:instrText>
      </w:r>
      <w:r>
        <w:fldChar w:fldCharType="end"/>
      </w:r>
    </w:p>
    <w:p>
      <w:pPr>
        <w:pStyle w:val="TOC8"/>
        <w:rPr>
          <w:sz w:val="24"/>
          <w:szCs w:val="24"/>
        </w:rPr>
      </w:pPr>
      <w:r>
        <w:rPr>
          <w:szCs w:val="24"/>
        </w:rPr>
        <w:instrText>7.</w:instrText>
      </w:r>
      <w:r>
        <w:rPr>
          <w:szCs w:val="24"/>
        </w:rPr>
        <w:tab/>
        <w:instrText>Persons who are “related” for the purposes of this Part</w:instrText>
      </w:r>
      <w:r>
        <w:tab/>
      </w:r>
      <w:r>
        <w:fldChar w:fldCharType="begin"/>
      </w:r>
      <w:r>
        <w:instrText xml:space="preserve"> PAGEREF _Toc170193211 \h </w:instrText>
      </w:r>
      <w:r>
        <w:fldChar w:fldCharType="separate"/>
      </w:r>
      <w:r>
        <w:instrText>8</w:instrText>
      </w:r>
      <w:r>
        <w:fldChar w:fldCharType="end"/>
      </w:r>
    </w:p>
    <w:p>
      <w:pPr>
        <w:pStyle w:val="TOC8"/>
        <w:rPr>
          <w:sz w:val="24"/>
          <w:szCs w:val="24"/>
        </w:rPr>
      </w:pPr>
      <w:r>
        <w:rPr>
          <w:szCs w:val="24"/>
        </w:rPr>
        <w:instrText>8.</w:instrText>
      </w:r>
      <w:r>
        <w:rPr>
          <w:szCs w:val="24"/>
        </w:rPr>
        <w:tab/>
        <w:instrText>Meaning of “general conditional contract”</w:instrText>
      </w:r>
      <w:r>
        <w:tab/>
      </w:r>
      <w:r>
        <w:fldChar w:fldCharType="begin"/>
      </w:r>
      <w:r>
        <w:instrText xml:space="preserve"> PAGEREF _Toc170193212 \h </w:instrText>
      </w:r>
      <w:r>
        <w:fldChar w:fldCharType="separate"/>
      </w:r>
      <w:r>
        <w:instrText>10</w:instrText>
      </w:r>
      <w:r>
        <w:fldChar w:fldCharType="end"/>
      </w:r>
    </w:p>
    <w:p>
      <w:pPr>
        <w:pStyle w:val="TOC8"/>
        <w:rPr>
          <w:sz w:val="24"/>
          <w:szCs w:val="24"/>
        </w:rPr>
      </w:pPr>
      <w:r>
        <w:rPr>
          <w:szCs w:val="24"/>
        </w:rPr>
        <w:instrText>9.</w:instrText>
      </w:r>
      <w:r>
        <w:rPr>
          <w:szCs w:val="24"/>
        </w:rPr>
        <w:tab/>
        <w:instrText>Meaning of “farming land conditional contract”</w:instrText>
      </w:r>
      <w:r>
        <w:tab/>
      </w:r>
      <w:r>
        <w:fldChar w:fldCharType="begin"/>
      </w:r>
      <w:r>
        <w:instrText xml:space="preserve"> PAGEREF _Toc170193213 \h </w:instrText>
      </w:r>
      <w:r>
        <w:fldChar w:fldCharType="separate"/>
      </w:r>
      <w:r>
        <w:instrText>12</w:instrText>
      </w:r>
      <w:r>
        <w:fldChar w:fldCharType="end"/>
      </w:r>
    </w:p>
    <w:p>
      <w:pPr>
        <w:pStyle w:val="TOC8"/>
        <w:rPr>
          <w:sz w:val="24"/>
          <w:szCs w:val="24"/>
        </w:rPr>
      </w:pPr>
      <w:r>
        <w:rPr>
          <w:szCs w:val="24"/>
        </w:rPr>
        <w:instrText>10.</w:instrText>
      </w:r>
      <w:r>
        <w:rPr>
          <w:szCs w:val="24"/>
        </w:rPr>
        <w:tab/>
        <w:instrText>Meaning of “off</w:instrText>
      </w:r>
      <w:r>
        <w:rPr>
          <w:szCs w:val="24"/>
        </w:rPr>
        <w:noBreakHyphen/>
        <w:instrText>the</w:instrText>
      </w:r>
      <w:r>
        <w:rPr>
          <w:szCs w:val="24"/>
        </w:rPr>
        <w:noBreakHyphen/>
        <w:instrText>plan conditional contract”</w:instrText>
      </w:r>
      <w:r>
        <w:tab/>
      </w:r>
      <w:r>
        <w:fldChar w:fldCharType="begin"/>
      </w:r>
      <w:r>
        <w:instrText xml:space="preserve"> PAGEREF _Toc170193214 \h </w:instrText>
      </w:r>
      <w:r>
        <w:fldChar w:fldCharType="separate"/>
      </w:r>
      <w:r>
        <w:instrText>12</w:instrText>
      </w:r>
      <w:r>
        <w:fldChar w:fldCharType="end"/>
      </w:r>
    </w:p>
    <w:p>
      <w:pPr>
        <w:pStyle w:val="TOC8"/>
        <w:rPr>
          <w:sz w:val="24"/>
          <w:szCs w:val="24"/>
        </w:rPr>
      </w:pPr>
      <w:r>
        <w:rPr>
          <w:szCs w:val="24"/>
        </w:rPr>
        <w:instrText>11.</w:instrText>
      </w:r>
      <w:r>
        <w:rPr>
          <w:szCs w:val="24"/>
        </w:rPr>
        <w:tab/>
        <w:instrText>Meaning of “mining tenement conditional contract”</w:instrText>
      </w:r>
      <w:r>
        <w:tab/>
      </w:r>
      <w:r>
        <w:fldChar w:fldCharType="begin"/>
      </w:r>
      <w:r>
        <w:instrText xml:space="preserve"> PAGEREF _Toc170193215 \h </w:instrText>
      </w:r>
      <w:r>
        <w:fldChar w:fldCharType="separate"/>
      </w:r>
      <w:r>
        <w:instrText>12</w:instrText>
      </w:r>
      <w:r>
        <w:fldChar w:fldCharType="end"/>
      </w:r>
    </w:p>
    <w:p>
      <w:pPr>
        <w:pStyle w:val="TOC8"/>
        <w:rPr>
          <w:sz w:val="24"/>
          <w:szCs w:val="24"/>
        </w:rPr>
      </w:pPr>
      <w:r>
        <w:rPr>
          <w:szCs w:val="24"/>
        </w:rPr>
        <w:instrText>12.</w:instrText>
      </w:r>
      <w:r>
        <w:rPr>
          <w:szCs w:val="24"/>
        </w:rPr>
        <w:tab/>
        <w:instrText>Meaning of “subdivision conditional contract”</w:instrText>
      </w:r>
      <w:r>
        <w:tab/>
      </w:r>
      <w:r>
        <w:fldChar w:fldCharType="begin"/>
      </w:r>
      <w:r>
        <w:instrText xml:space="preserve"> PAGEREF _Toc170193216 \h </w:instrText>
      </w:r>
      <w:r>
        <w:fldChar w:fldCharType="separate"/>
      </w:r>
      <w:r>
        <w:instrText>13</w:instrText>
      </w:r>
      <w:r>
        <w:fldChar w:fldCharType="end"/>
      </w:r>
    </w:p>
    <w:p>
      <w:pPr>
        <w:pStyle w:val="TOC8"/>
        <w:rPr>
          <w:sz w:val="24"/>
          <w:szCs w:val="24"/>
        </w:rPr>
      </w:pPr>
      <w:r>
        <w:rPr>
          <w:szCs w:val="24"/>
        </w:rPr>
        <w:instrText>13.</w:instrText>
      </w:r>
      <w:r>
        <w:rPr>
          <w:szCs w:val="24"/>
        </w:rPr>
        <w:tab/>
        <w:instrText>When a conditional contract becomes unconditional</w:instrText>
      </w:r>
      <w:r>
        <w:tab/>
      </w:r>
      <w:r>
        <w:fldChar w:fldCharType="begin"/>
      </w:r>
      <w:r>
        <w:instrText xml:space="preserve"> PAGEREF _Toc170193217 \h </w:instrText>
      </w:r>
      <w:r>
        <w:fldChar w:fldCharType="separate"/>
      </w:r>
      <w:r>
        <w:instrText>13</w:instrText>
      </w:r>
      <w:r>
        <w:fldChar w:fldCharType="end"/>
      </w:r>
    </w:p>
    <w:p>
      <w:pPr>
        <w:pStyle w:val="TOC8"/>
        <w:rPr>
          <w:sz w:val="24"/>
          <w:szCs w:val="24"/>
        </w:rPr>
      </w:pPr>
      <w:r>
        <w:rPr>
          <w:szCs w:val="24"/>
        </w:rPr>
        <w:instrText>14.</w:instrText>
      </w:r>
      <w:r>
        <w:rPr>
          <w:szCs w:val="24"/>
        </w:rPr>
        <w:tab/>
        <w:instrText>Termination of conditional contracts on relevant grounds</w:instrText>
      </w:r>
      <w:r>
        <w:tab/>
      </w:r>
      <w:r>
        <w:fldChar w:fldCharType="begin"/>
      </w:r>
      <w:r>
        <w:instrText xml:space="preserve"> PAGEREF _Toc170193218 \h </w:instrText>
      </w:r>
      <w:r>
        <w:fldChar w:fldCharType="separate"/>
      </w:r>
      <w:r>
        <w:instrText>13</w:instrText>
      </w:r>
      <w:r>
        <w:fldChar w:fldCharType="end"/>
      </w:r>
    </w:p>
    <w:p>
      <w:pPr>
        <w:pStyle w:val="TOC2"/>
        <w:tabs>
          <w:tab w:val="right" w:pos="7086"/>
        </w:tabs>
        <w:rPr>
          <w:b w:val="0"/>
          <w:sz w:val="24"/>
          <w:szCs w:val="24"/>
        </w:rPr>
      </w:pPr>
      <w:r>
        <w:rPr>
          <w:szCs w:val="30"/>
        </w:rPr>
        <w:instrText>Part III — General provisions</w:instrText>
      </w:r>
    </w:p>
    <w:p>
      <w:pPr>
        <w:pStyle w:val="TOC8"/>
        <w:rPr>
          <w:sz w:val="24"/>
          <w:szCs w:val="24"/>
        </w:rPr>
      </w:pPr>
      <w:r>
        <w:rPr>
          <w:szCs w:val="24"/>
        </w:rPr>
        <w:instrText>16</w:instrText>
      </w:r>
      <w:r>
        <w:rPr>
          <w:snapToGrid w:val="0"/>
          <w:szCs w:val="24"/>
        </w:rPr>
        <w:instrText>.</w:instrText>
      </w:r>
      <w:r>
        <w:rPr>
          <w:snapToGrid w:val="0"/>
          <w:szCs w:val="24"/>
        </w:rPr>
        <w:tab/>
        <w:instrText>Charge of duties on instruments</w:instrText>
      </w:r>
      <w:r>
        <w:tab/>
      </w:r>
      <w:r>
        <w:fldChar w:fldCharType="begin"/>
      </w:r>
      <w:r>
        <w:instrText xml:space="preserve"> PAGEREF _Toc170193220 \h </w:instrText>
      </w:r>
      <w:r>
        <w:fldChar w:fldCharType="separate"/>
      </w:r>
      <w:r>
        <w:instrText>15</w:instrText>
      </w:r>
      <w:r>
        <w:fldChar w:fldCharType="end"/>
      </w:r>
    </w:p>
    <w:p>
      <w:pPr>
        <w:pStyle w:val="TOC8"/>
        <w:rPr>
          <w:sz w:val="24"/>
          <w:szCs w:val="24"/>
        </w:rPr>
      </w:pPr>
      <w:r>
        <w:rPr>
          <w:szCs w:val="24"/>
        </w:rPr>
        <w:instrText>17.</w:instrText>
      </w:r>
      <w:r>
        <w:rPr>
          <w:szCs w:val="24"/>
        </w:rPr>
        <w:tab/>
        <w:instrText>Liability to pay duty</w:instrText>
      </w:r>
      <w:r>
        <w:tab/>
      </w:r>
      <w:r>
        <w:fldChar w:fldCharType="begin"/>
      </w:r>
      <w:r>
        <w:instrText xml:space="preserve"> PAGEREF _Toc170193221 \h </w:instrText>
      </w:r>
      <w:r>
        <w:fldChar w:fldCharType="separate"/>
      </w:r>
      <w:r>
        <w:instrText>16</w:instrText>
      </w:r>
      <w:r>
        <w:fldChar w:fldCharType="end"/>
      </w:r>
    </w:p>
    <w:p>
      <w:pPr>
        <w:pStyle w:val="TOC8"/>
        <w:rPr>
          <w:sz w:val="24"/>
          <w:szCs w:val="24"/>
        </w:rPr>
      </w:pPr>
      <w:r>
        <w:rPr>
          <w:szCs w:val="24"/>
        </w:rPr>
        <w:instrText>17A.</w:instrText>
      </w:r>
      <w:r>
        <w:rPr>
          <w:szCs w:val="24"/>
        </w:rPr>
        <w:tab/>
        <w:instrText>Time for payment of duty</w:instrText>
      </w:r>
      <w:r>
        <w:tab/>
      </w:r>
      <w:r>
        <w:fldChar w:fldCharType="begin"/>
      </w:r>
      <w:r>
        <w:instrText xml:space="preserve"> PAGEREF _Toc170193222 \h </w:instrText>
      </w:r>
      <w:r>
        <w:fldChar w:fldCharType="separate"/>
      </w:r>
      <w:r>
        <w:instrText>16</w:instrText>
      </w:r>
      <w:r>
        <w:fldChar w:fldCharType="end"/>
      </w:r>
    </w:p>
    <w:p>
      <w:pPr>
        <w:pStyle w:val="TOC8"/>
        <w:rPr>
          <w:sz w:val="24"/>
          <w:szCs w:val="24"/>
        </w:rPr>
      </w:pPr>
      <w:r>
        <w:rPr>
          <w:szCs w:val="24"/>
        </w:rPr>
        <w:instrText>17AA.</w:instrText>
      </w:r>
      <w:r>
        <w:rPr>
          <w:szCs w:val="24"/>
        </w:rPr>
        <w:tab/>
        <w:instrText>Time for payment on certain conditional contracts</w:instrText>
      </w:r>
      <w:r>
        <w:tab/>
      </w:r>
      <w:r>
        <w:fldChar w:fldCharType="begin"/>
      </w:r>
      <w:r>
        <w:instrText xml:space="preserve"> PAGEREF _Toc170193223 \h </w:instrText>
      </w:r>
      <w:r>
        <w:fldChar w:fldCharType="separate"/>
      </w:r>
      <w:r>
        <w:instrText>17</w:instrText>
      </w:r>
      <w:r>
        <w:fldChar w:fldCharType="end"/>
      </w:r>
    </w:p>
    <w:p>
      <w:pPr>
        <w:pStyle w:val="TOC8"/>
        <w:rPr>
          <w:sz w:val="24"/>
          <w:szCs w:val="24"/>
        </w:rPr>
      </w:pPr>
      <w:r>
        <w:rPr>
          <w:szCs w:val="24"/>
        </w:rPr>
        <w:instrText>17B.</w:instrText>
      </w:r>
      <w:r>
        <w:rPr>
          <w:szCs w:val="24"/>
        </w:rPr>
        <w:tab/>
        <w:instrText>Requirement to lodge instrument</w:instrText>
      </w:r>
      <w:r>
        <w:tab/>
      </w:r>
      <w:r>
        <w:fldChar w:fldCharType="begin"/>
      </w:r>
      <w:r>
        <w:instrText xml:space="preserve"> PAGEREF _Toc170193224 \h </w:instrText>
      </w:r>
      <w:r>
        <w:fldChar w:fldCharType="separate"/>
      </w:r>
      <w:r>
        <w:instrText>17</w:instrText>
      </w:r>
      <w:r>
        <w:fldChar w:fldCharType="end"/>
      </w:r>
    </w:p>
    <w:p>
      <w:pPr>
        <w:pStyle w:val="TOC8"/>
        <w:rPr>
          <w:sz w:val="24"/>
          <w:szCs w:val="24"/>
        </w:rPr>
      </w:pPr>
      <w:r>
        <w:rPr>
          <w:szCs w:val="24"/>
        </w:rPr>
        <w:instrText>17BA.</w:instrText>
      </w:r>
      <w:r>
        <w:rPr>
          <w:szCs w:val="24"/>
        </w:rPr>
        <w:tab/>
        <w:instrText>Time for lodging certain conditional contracts</w:instrText>
      </w:r>
      <w:r>
        <w:tab/>
      </w:r>
      <w:r>
        <w:fldChar w:fldCharType="begin"/>
      </w:r>
      <w:r>
        <w:instrText xml:space="preserve"> PAGEREF _Toc170193225 \h </w:instrText>
      </w:r>
      <w:r>
        <w:fldChar w:fldCharType="separate"/>
      </w:r>
      <w:r>
        <w:instrText>18</w:instrText>
      </w:r>
      <w:r>
        <w:fldChar w:fldCharType="end"/>
      </w:r>
    </w:p>
    <w:p>
      <w:pPr>
        <w:pStyle w:val="TOC8"/>
        <w:rPr>
          <w:sz w:val="24"/>
          <w:szCs w:val="24"/>
        </w:rPr>
      </w:pPr>
      <w:r>
        <w:rPr>
          <w:szCs w:val="24"/>
        </w:rPr>
        <w:instrText>17C.</w:instrText>
      </w:r>
      <w:r>
        <w:rPr>
          <w:szCs w:val="24"/>
        </w:rPr>
        <w:tab/>
        <w:instrText>Instrument to be endorsed when duty paid etc.</w:instrText>
      </w:r>
      <w:r>
        <w:tab/>
      </w:r>
      <w:r>
        <w:fldChar w:fldCharType="begin"/>
      </w:r>
      <w:r>
        <w:instrText xml:space="preserve"> PAGEREF _Toc170193226 \h </w:instrText>
      </w:r>
      <w:r>
        <w:fldChar w:fldCharType="separate"/>
      </w:r>
      <w:r>
        <w:instrText>19</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How instruments to be written</w:instrText>
      </w:r>
      <w:r>
        <w:tab/>
      </w:r>
      <w:r>
        <w:fldChar w:fldCharType="begin"/>
      </w:r>
      <w:r>
        <w:instrText xml:space="preserve"> PAGEREF _Toc170193227 \h </w:instrText>
      </w:r>
      <w:r>
        <w:fldChar w:fldCharType="separate"/>
      </w:r>
      <w:r>
        <w:instrText>20</w:instrText>
      </w:r>
      <w:r>
        <w:fldChar w:fldCharType="end"/>
      </w:r>
    </w:p>
    <w:p>
      <w:pPr>
        <w:pStyle w:val="TOC8"/>
        <w:rPr>
          <w:sz w:val="24"/>
          <w:szCs w:val="24"/>
        </w:rPr>
      </w:pPr>
      <w:r>
        <w:rPr>
          <w:szCs w:val="24"/>
        </w:rPr>
        <w:instrText>19</w:instrText>
      </w:r>
      <w:r>
        <w:rPr>
          <w:snapToGrid w:val="0"/>
          <w:szCs w:val="24"/>
        </w:rPr>
        <w:instrText>.</w:instrText>
      </w:r>
      <w:r>
        <w:rPr>
          <w:snapToGrid w:val="0"/>
          <w:szCs w:val="24"/>
        </w:rPr>
        <w:tab/>
        <w:instrText>Instruments to be separately charged with duty in certain cases</w:instrText>
      </w:r>
      <w:r>
        <w:tab/>
      </w:r>
      <w:r>
        <w:fldChar w:fldCharType="begin"/>
      </w:r>
      <w:r>
        <w:instrText xml:space="preserve"> PAGEREF _Toc170193228 \h </w:instrText>
      </w:r>
      <w:r>
        <w:fldChar w:fldCharType="separate"/>
      </w:r>
      <w:r>
        <w:instrText>20</w:instrText>
      </w:r>
      <w:r>
        <w:fldChar w:fldCharType="end"/>
      </w:r>
    </w:p>
    <w:p>
      <w:pPr>
        <w:pStyle w:val="TOC8"/>
        <w:rPr>
          <w:sz w:val="24"/>
          <w:szCs w:val="24"/>
        </w:rPr>
      </w:pPr>
      <w:r>
        <w:rPr>
          <w:szCs w:val="24"/>
        </w:rPr>
        <w:instrText>20.</w:instrText>
      </w:r>
      <w:r>
        <w:rPr>
          <w:szCs w:val="24"/>
        </w:rPr>
        <w:tab/>
        <w:instrText>Reduction of duty if matter not carried into effect</w:instrText>
      </w:r>
      <w:r>
        <w:tab/>
      </w:r>
      <w:r>
        <w:fldChar w:fldCharType="begin"/>
      </w:r>
      <w:r>
        <w:instrText xml:space="preserve"> PAGEREF _Toc170193229 \h </w:instrText>
      </w:r>
      <w:r>
        <w:fldChar w:fldCharType="separate"/>
      </w:r>
      <w:r>
        <w:instrText>21</w:instrText>
      </w:r>
      <w:r>
        <w:fldChar w:fldCharType="end"/>
      </w:r>
    </w:p>
    <w:p>
      <w:pPr>
        <w:pStyle w:val="TOC8"/>
        <w:rPr>
          <w:sz w:val="24"/>
          <w:szCs w:val="24"/>
        </w:rPr>
      </w:pPr>
      <w:r>
        <w:rPr>
          <w:szCs w:val="24"/>
        </w:rPr>
        <w:instrText>26</w:instrText>
      </w:r>
      <w:r>
        <w:rPr>
          <w:snapToGrid w:val="0"/>
          <w:szCs w:val="24"/>
        </w:rPr>
        <w:instrText>.</w:instrText>
      </w:r>
      <w:r>
        <w:rPr>
          <w:snapToGrid w:val="0"/>
          <w:szCs w:val="24"/>
        </w:rPr>
        <w:tab/>
        <w:instrText>Facts and circumstances affecting duty to be set forth in instrument</w:instrText>
      </w:r>
      <w:r>
        <w:tab/>
      </w:r>
      <w:r>
        <w:fldChar w:fldCharType="begin"/>
      </w:r>
      <w:r>
        <w:instrText xml:space="preserve"> PAGEREF _Toc170193230 \h </w:instrText>
      </w:r>
      <w:r>
        <w:fldChar w:fldCharType="separate"/>
      </w:r>
      <w:r>
        <w:instrText>23</w:instrText>
      </w:r>
      <w:r>
        <w:fldChar w:fldCharType="end"/>
      </w:r>
    </w:p>
    <w:p>
      <w:pPr>
        <w:pStyle w:val="TOC8"/>
        <w:rPr>
          <w:sz w:val="24"/>
          <w:szCs w:val="24"/>
        </w:rPr>
      </w:pPr>
      <w:r>
        <w:rPr>
          <w:szCs w:val="24"/>
        </w:rPr>
        <w:instrText>27</w:instrText>
      </w:r>
      <w:r>
        <w:rPr>
          <w:snapToGrid w:val="0"/>
          <w:szCs w:val="24"/>
        </w:rPr>
        <w:instrText>.</w:instrText>
      </w:r>
      <w:r>
        <w:rPr>
          <w:snapToGrid w:val="0"/>
          <w:szCs w:val="24"/>
        </w:rPr>
        <w:tab/>
        <w:instrText>Instruments not stamped inadmissible except in criminal proceedings</w:instrText>
      </w:r>
      <w:r>
        <w:tab/>
      </w:r>
      <w:r>
        <w:fldChar w:fldCharType="begin"/>
      </w:r>
      <w:r>
        <w:instrText xml:space="preserve"> PAGEREF _Toc170193231 \h </w:instrText>
      </w:r>
      <w:r>
        <w:fldChar w:fldCharType="separate"/>
      </w:r>
      <w:r>
        <w:instrText>25</w:instrText>
      </w:r>
      <w:r>
        <w:fldChar w:fldCharType="end"/>
      </w:r>
    </w:p>
    <w:p>
      <w:pPr>
        <w:pStyle w:val="TOC8"/>
        <w:rPr>
          <w:sz w:val="24"/>
          <w:szCs w:val="24"/>
        </w:rPr>
      </w:pPr>
      <w:r>
        <w:rPr>
          <w:szCs w:val="24"/>
        </w:rPr>
        <w:instrText>28</w:instrText>
      </w:r>
      <w:r>
        <w:rPr>
          <w:snapToGrid w:val="0"/>
          <w:szCs w:val="24"/>
        </w:rPr>
        <w:instrText>.</w:instrText>
      </w:r>
      <w:r>
        <w:rPr>
          <w:snapToGrid w:val="0"/>
          <w:szCs w:val="24"/>
        </w:rPr>
        <w:tab/>
        <w:instrText>No instrument to be registered, etc. unless stamped</w:instrText>
      </w:r>
      <w:r>
        <w:tab/>
      </w:r>
      <w:r>
        <w:fldChar w:fldCharType="begin"/>
      </w:r>
      <w:r>
        <w:instrText xml:space="preserve"> PAGEREF _Toc170193232 \h </w:instrText>
      </w:r>
      <w:r>
        <w:fldChar w:fldCharType="separate"/>
      </w:r>
      <w:r>
        <w:instrText>27</w:instrText>
      </w:r>
      <w:r>
        <w:fldChar w:fldCharType="end"/>
      </w:r>
    </w:p>
    <w:p>
      <w:pPr>
        <w:pStyle w:val="TOC8"/>
        <w:rPr>
          <w:sz w:val="24"/>
          <w:szCs w:val="24"/>
        </w:rPr>
      </w:pPr>
      <w:r>
        <w:rPr>
          <w:szCs w:val="24"/>
        </w:rPr>
        <w:instrText>29</w:instrText>
      </w:r>
      <w:r>
        <w:rPr>
          <w:snapToGrid w:val="0"/>
          <w:szCs w:val="24"/>
        </w:rPr>
        <w:instrText>.</w:instrText>
      </w:r>
      <w:r>
        <w:rPr>
          <w:snapToGrid w:val="0"/>
          <w:szCs w:val="24"/>
        </w:rPr>
        <w:tab/>
        <w:instrText>Production of instruments as evidence</w:instrText>
      </w:r>
      <w:r>
        <w:tab/>
      </w:r>
      <w:r>
        <w:fldChar w:fldCharType="begin"/>
      </w:r>
      <w:r>
        <w:instrText xml:space="preserve"> PAGEREF _Toc170193233 \h </w:instrText>
      </w:r>
      <w:r>
        <w:fldChar w:fldCharType="separate"/>
      </w:r>
      <w:r>
        <w:instrText>29</w:instrText>
      </w:r>
      <w:r>
        <w:fldChar w:fldCharType="end"/>
      </w:r>
    </w:p>
    <w:p>
      <w:pPr>
        <w:pStyle w:val="TOC8"/>
        <w:rPr>
          <w:sz w:val="24"/>
          <w:szCs w:val="24"/>
        </w:rPr>
      </w:pPr>
      <w:r>
        <w:rPr>
          <w:szCs w:val="24"/>
        </w:rPr>
        <w:instrText>30</w:instrText>
      </w:r>
      <w:r>
        <w:rPr>
          <w:snapToGrid w:val="0"/>
          <w:szCs w:val="24"/>
        </w:rPr>
        <w:instrText>.</w:instrText>
      </w:r>
      <w:r>
        <w:rPr>
          <w:snapToGrid w:val="0"/>
          <w:szCs w:val="24"/>
        </w:rPr>
        <w:tab/>
        <w:instrText>Secondary evidence</w:instrText>
      </w:r>
      <w:r>
        <w:tab/>
      </w:r>
      <w:r>
        <w:fldChar w:fldCharType="begin"/>
      </w:r>
      <w:r>
        <w:instrText xml:space="preserve"> PAGEREF _Toc170193234 \h </w:instrText>
      </w:r>
      <w:r>
        <w:fldChar w:fldCharType="separate"/>
      </w:r>
      <w:r>
        <w:instrText>30</w:instrText>
      </w:r>
      <w:r>
        <w:fldChar w:fldCharType="end"/>
      </w:r>
    </w:p>
    <w:p>
      <w:pPr>
        <w:pStyle w:val="TOC8"/>
        <w:rPr>
          <w:sz w:val="24"/>
          <w:szCs w:val="24"/>
        </w:rPr>
      </w:pPr>
      <w:r>
        <w:rPr>
          <w:szCs w:val="24"/>
        </w:rPr>
        <w:instrText>31.</w:instrText>
      </w:r>
      <w:r>
        <w:rPr>
          <w:szCs w:val="24"/>
        </w:rPr>
        <w:tab/>
        <w:instrText>Stamped instruments as evidence</w:instrText>
      </w:r>
      <w:r>
        <w:tab/>
      </w:r>
      <w:r>
        <w:fldChar w:fldCharType="begin"/>
      </w:r>
      <w:r>
        <w:instrText xml:space="preserve"> PAGEREF _Toc170193235 \h </w:instrText>
      </w:r>
      <w:r>
        <w:fldChar w:fldCharType="separate"/>
      </w:r>
      <w:r>
        <w:instrText>31</w:instrText>
      </w:r>
      <w:r>
        <w:fldChar w:fldCharType="end"/>
      </w:r>
    </w:p>
    <w:p>
      <w:pPr>
        <w:pStyle w:val="TOC8"/>
        <w:rPr>
          <w:sz w:val="24"/>
          <w:szCs w:val="24"/>
        </w:rPr>
      </w:pPr>
      <w:r>
        <w:rPr>
          <w:szCs w:val="24"/>
        </w:rPr>
        <w:instrText>31B.</w:instrText>
      </w:r>
      <w:r>
        <w:rPr>
          <w:szCs w:val="24"/>
        </w:rPr>
        <w:tab/>
        <w:instrText>Payment of duty on statements in absence of dutiable instrument</w:instrText>
      </w:r>
      <w:r>
        <w:tab/>
      </w:r>
      <w:r>
        <w:fldChar w:fldCharType="begin"/>
      </w:r>
      <w:r>
        <w:instrText xml:space="preserve"> PAGEREF _Toc170193236 \h </w:instrText>
      </w:r>
      <w:r>
        <w:fldChar w:fldCharType="separate"/>
      </w:r>
      <w:r>
        <w:instrText>32</w:instrText>
      </w:r>
      <w:r>
        <w:fldChar w:fldCharType="end"/>
      </w:r>
    </w:p>
    <w:p>
      <w:pPr>
        <w:pStyle w:val="TOC8"/>
        <w:rPr>
          <w:sz w:val="24"/>
          <w:szCs w:val="24"/>
        </w:rPr>
      </w:pPr>
      <w:r>
        <w:rPr>
          <w:szCs w:val="24"/>
        </w:rPr>
        <w:instrText>31C.</w:instrText>
      </w:r>
      <w:r>
        <w:rPr>
          <w:szCs w:val="24"/>
        </w:rPr>
        <w:tab/>
        <w:instrText xml:space="preserve">Preparation of dutiable statement about voluntary transfers under the </w:instrText>
      </w:r>
      <w:r>
        <w:rPr>
          <w:i/>
          <w:szCs w:val="24"/>
        </w:rPr>
        <w:instrText>Financial Sector (Transfers of Business) Act 1999</w:instrText>
      </w:r>
      <w:r>
        <w:rPr>
          <w:szCs w:val="24"/>
        </w:rPr>
        <w:instrText xml:space="preserve"> of the Commonwealth</w:instrText>
      </w:r>
      <w:r>
        <w:tab/>
      </w:r>
      <w:r>
        <w:fldChar w:fldCharType="begin"/>
      </w:r>
      <w:r>
        <w:instrText xml:space="preserve"> PAGEREF _Toc170193237 \h </w:instrText>
      </w:r>
      <w:r>
        <w:fldChar w:fldCharType="separate"/>
      </w:r>
      <w:r>
        <w:instrText>35</w:instrText>
      </w:r>
      <w:r>
        <w:fldChar w:fldCharType="end"/>
      </w:r>
    </w:p>
    <w:p>
      <w:pPr>
        <w:pStyle w:val="TOC8"/>
        <w:rPr>
          <w:sz w:val="24"/>
          <w:szCs w:val="24"/>
        </w:rPr>
      </w:pPr>
      <w:r>
        <w:rPr>
          <w:szCs w:val="24"/>
        </w:rPr>
        <w:instrText>33.</w:instrText>
      </w:r>
      <w:r>
        <w:rPr>
          <w:szCs w:val="24"/>
        </w:rPr>
        <w:tab/>
        <w:instrText>Valuation of land or other property</w:instrText>
      </w:r>
      <w:r>
        <w:tab/>
      </w:r>
      <w:r>
        <w:fldChar w:fldCharType="begin"/>
      </w:r>
      <w:r>
        <w:instrText xml:space="preserve"> PAGEREF _Toc170193238 \h </w:instrText>
      </w:r>
      <w:r>
        <w:fldChar w:fldCharType="separate"/>
      </w:r>
      <w:r>
        <w:instrText>36</w:instrText>
      </w:r>
      <w:r>
        <w:fldChar w:fldCharType="end"/>
      </w:r>
    </w:p>
    <w:p>
      <w:pPr>
        <w:pStyle w:val="TOC8"/>
        <w:rPr>
          <w:sz w:val="24"/>
          <w:szCs w:val="24"/>
        </w:rPr>
      </w:pPr>
      <w:r>
        <w:rPr>
          <w:szCs w:val="24"/>
        </w:rPr>
        <w:instrText>34.</w:instrText>
      </w:r>
      <w:r>
        <w:rPr>
          <w:szCs w:val="24"/>
        </w:rPr>
        <w:tab/>
        <w:instrText>Duplicates and counterparts</w:instrText>
      </w:r>
      <w:r>
        <w:tab/>
      </w:r>
      <w:r>
        <w:fldChar w:fldCharType="begin"/>
      </w:r>
      <w:r>
        <w:instrText xml:space="preserve"> PAGEREF _Toc170193239 \h </w:instrText>
      </w:r>
      <w:r>
        <w:fldChar w:fldCharType="separate"/>
      </w:r>
      <w:r>
        <w:instrText>38</w:instrText>
      </w:r>
      <w:r>
        <w:fldChar w:fldCharType="end"/>
      </w:r>
    </w:p>
    <w:p>
      <w:pPr>
        <w:pStyle w:val="TOC8"/>
        <w:rPr>
          <w:sz w:val="24"/>
          <w:szCs w:val="24"/>
        </w:rPr>
      </w:pPr>
      <w:r>
        <w:rPr>
          <w:szCs w:val="24"/>
        </w:rPr>
        <w:instrText>35.</w:instrText>
      </w:r>
      <w:r>
        <w:rPr>
          <w:szCs w:val="24"/>
        </w:rPr>
        <w:tab/>
        <w:instrText>Unlodged transfers — independent person’s obligations</w:instrText>
      </w:r>
      <w:r>
        <w:tab/>
      </w:r>
      <w:r>
        <w:fldChar w:fldCharType="begin"/>
      </w:r>
      <w:r>
        <w:instrText xml:space="preserve"> PAGEREF _Toc170193240 \h </w:instrText>
      </w:r>
      <w:r>
        <w:fldChar w:fldCharType="separate"/>
      </w:r>
      <w:r>
        <w:instrText>39</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 xml:space="preserve">Mode of calculating </w:instrText>
      </w:r>
      <w:r>
        <w:rPr>
          <w:i/>
          <w:snapToGrid w:val="0"/>
          <w:szCs w:val="24"/>
        </w:rPr>
        <w:instrText>ad valorem</w:instrText>
      </w:r>
      <w:r>
        <w:rPr>
          <w:snapToGrid w:val="0"/>
          <w:szCs w:val="24"/>
        </w:rPr>
        <w:instrText xml:space="preserve"> duty in certain cases</w:instrText>
      </w:r>
      <w:r>
        <w:tab/>
      </w:r>
      <w:r>
        <w:fldChar w:fldCharType="begin"/>
      </w:r>
      <w:r>
        <w:instrText xml:space="preserve"> PAGEREF _Toc170193241 \h </w:instrText>
      </w:r>
      <w:r>
        <w:fldChar w:fldCharType="separate"/>
      </w:r>
      <w:r>
        <w:instrText>40</w:instrText>
      </w:r>
      <w:r>
        <w:fldChar w:fldCharType="end"/>
      </w:r>
    </w:p>
    <w:p>
      <w:pPr>
        <w:pStyle w:val="TOC8"/>
        <w:rPr>
          <w:sz w:val="24"/>
          <w:szCs w:val="24"/>
        </w:rPr>
      </w:pPr>
      <w:r>
        <w:rPr>
          <w:szCs w:val="24"/>
        </w:rPr>
        <w:instrText>38.</w:instrText>
      </w:r>
      <w:r>
        <w:rPr>
          <w:szCs w:val="24"/>
        </w:rPr>
        <w:tab/>
        <w:instrText>Instruments held in escrow</w:instrText>
      </w:r>
      <w:r>
        <w:tab/>
      </w:r>
      <w:r>
        <w:fldChar w:fldCharType="begin"/>
      </w:r>
      <w:r>
        <w:instrText xml:space="preserve"> PAGEREF _Toc170193242 \h </w:instrText>
      </w:r>
      <w:r>
        <w:fldChar w:fldCharType="separate"/>
      </w:r>
      <w:r>
        <w:instrText>40</w:instrText>
      </w:r>
      <w:r>
        <w:fldChar w:fldCharType="end"/>
      </w:r>
    </w:p>
    <w:p>
      <w:pPr>
        <w:pStyle w:val="TOC8"/>
        <w:rPr>
          <w:sz w:val="24"/>
          <w:szCs w:val="24"/>
        </w:rPr>
      </w:pPr>
      <w:r>
        <w:rPr>
          <w:szCs w:val="24"/>
        </w:rPr>
        <w:instrText>39.</w:instrText>
      </w:r>
      <w:r>
        <w:rPr>
          <w:szCs w:val="24"/>
        </w:rPr>
        <w:tab/>
        <w:instrText>Determining whether securities are situated in Western Australia</w:instrText>
      </w:r>
      <w:r>
        <w:tab/>
      </w:r>
      <w:r>
        <w:fldChar w:fldCharType="begin"/>
      </w:r>
      <w:r>
        <w:instrText xml:space="preserve"> PAGEREF _Toc170193243 \h </w:instrText>
      </w:r>
      <w:r>
        <w:fldChar w:fldCharType="separate"/>
      </w:r>
      <w:r>
        <w:instrText>40</w:instrText>
      </w:r>
      <w:r>
        <w:fldChar w:fldCharType="end"/>
      </w:r>
    </w:p>
    <w:p>
      <w:pPr>
        <w:pStyle w:val="TOC8"/>
        <w:rPr>
          <w:sz w:val="24"/>
          <w:szCs w:val="24"/>
        </w:rPr>
      </w:pPr>
      <w:r>
        <w:rPr>
          <w:szCs w:val="24"/>
        </w:rPr>
        <w:instrText>40.</w:instrText>
      </w:r>
      <w:r>
        <w:rPr>
          <w:szCs w:val="24"/>
        </w:rPr>
        <w:tab/>
        <w:instrText>Valuing a marketable security or right in respect of shares</w:instrText>
      </w:r>
      <w:r>
        <w:tab/>
      </w:r>
      <w:r>
        <w:fldChar w:fldCharType="begin"/>
      </w:r>
      <w:r>
        <w:instrText xml:space="preserve"> PAGEREF _Toc170193244 \h </w:instrText>
      </w:r>
      <w:r>
        <w:fldChar w:fldCharType="separate"/>
      </w:r>
      <w:r>
        <w:instrText>41</w:instrText>
      </w:r>
      <w:r>
        <w:fldChar w:fldCharType="end"/>
      </w:r>
    </w:p>
    <w:p>
      <w:pPr>
        <w:pStyle w:val="TOC2"/>
        <w:tabs>
          <w:tab w:val="right" w:pos="7086"/>
        </w:tabs>
        <w:rPr>
          <w:b w:val="0"/>
          <w:sz w:val="24"/>
          <w:szCs w:val="24"/>
        </w:rPr>
      </w:pPr>
      <w:r>
        <w:rPr>
          <w:szCs w:val="30"/>
        </w:rPr>
        <w:instrText>Part IIIB — Conveyances and transfers</w:instrText>
      </w:r>
    </w:p>
    <w:p>
      <w:pPr>
        <w:pStyle w:val="TOC8"/>
        <w:rPr>
          <w:sz w:val="24"/>
          <w:szCs w:val="24"/>
        </w:rPr>
      </w:pPr>
      <w:r>
        <w:rPr>
          <w:szCs w:val="24"/>
        </w:rPr>
        <w:instrText>63</w:instrText>
      </w:r>
      <w:r>
        <w:rPr>
          <w:snapToGrid w:val="0"/>
          <w:szCs w:val="24"/>
        </w:rPr>
        <w:instrText>.</w:instrText>
      </w:r>
      <w:r>
        <w:rPr>
          <w:snapToGrid w:val="0"/>
          <w:szCs w:val="24"/>
        </w:rPr>
        <w:tab/>
        <w:instrText>Interpretation in Part IIIB</w:instrText>
      </w:r>
      <w:r>
        <w:tab/>
      </w:r>
      <w:r>
        <w:fldChar w:fldCharType="begin"/>
      </w:r>
      <w:r>
        <w:instrText xml:space="preserve"> PAGEREF _Toc170193246 \h </w:instrText>
      </w:r>
      <w:r>
        <w:fldChar w:fldCharType="separate"/>
      </w:r>
      <w:r>
        <w:instrText>43</w:instrText>
      </w:r>
      <w:r>
        <w:fldChar w:fldCharType="end"/>
      </w:r>
    </w:p>
    <w:p>
      <w:pPr>
        <w:pStyle w:val="TOC8"/>
        <w:rPr>
          <w:sz w:val="24"/>
          <w:szCs w:val="24"/>
        </w:rPr>
      </w:pPr>
      <w:r>
        <w:rPr>
          <w:szCs w:val="24"/>
        </w:rPr>
        <w:instrText>63AA.</w:instrText>
      </w:r>
      <w:r>
        <w:rPr>
          <w:szCs w:val="24"/>
        </w:rPr>
        <w:tab/>
        <w:instrText>Registered unit trust schemes</w:instrText>
      </w:r>
      <w:r>
        <w:tab/>
      </w:r>
      <w:r>
        <w:fldChar w:fldCharType="begin"/>
      </w:r>
      <w:r>
        <w:instrText xml:space="preserve"> PAGEREF _Toc170193247 \h </w:instrText>
      </w:r>
      <w:r>
        <w:fldChar w:fldCharType="separate"/>
      </w:r>
      <w:r>
        <w:instrText>48</w:instrText>
      </w:r>
      <w:r>
        <w:fldChar w:fldCharType="end"/>
      </w:r>
    </w:p>
    <w:p>
      <w:pPr>
        <w:pStyle w:val="TOC8"/>
        <w:rPr>
          <w:sz w:val="24"/>
          <w:szCs w:val="24"/>
        </w:rPr>
      </w:pPr>
      <w:r>
        <w:rPr>
          <w:szCs w:val="24"/>
        </w:rPr>
        <w:instrText>63AB.</w:instrText>
      </w:r>
      <w:r>
        <w:rPr>
          <w:szCs w:val="24"/>
        </w:rPr>
        <w:tab/>
        <w:instrText>Criteria for registration of a unit trust scheme</w:instrText>
      </w:r>
      <w:r>
        <w:tab/>
      </w:r>
      <w:r>
        <w:fldChar w:fldCharType="begin"/>
      </w:r>
      <w:r>
        <w:instrText xml:space="preserve"> PAGEREF _Toc170193248 \h </w:instrText>
      </w:r>
      <w:r>
        <w:fldChar w:fldCharType="separate"/>
      </w:r>
      <w:r>
        <w:instrText>50</w:instrText>
      </w:r>
      <w:r>
        <w:fldChar w:fldCharType="end"/>
      </w:r>
    </w:p>
    <w:p>
      <w:pPr>
        <w:pStyle w:val="TOC8"/>
        <w:rPr>
          <w:sz w:val="24"/>
          <w:szCs w:val="24"/>
        </w:rPr>
      </w:pPr>
      <w:r>
        <w:rPr>
          <w:szCs w:val="24"/>
        </w:rPr>
        <w:instrText>63AC.</w:instrText>
      </w:r>
      <w:r>
        <w:rPr>
          <w:szCs w:val="24"/>
        </w:rPr>
        <w:tab/>
        <w:instrText>Interim registration</w:instrText>
      </w:r>
      <w:r>
        <w:tab/>
      </w:r>
      <w:r>
        <w:fldChar w:fldCharType="begin"/>
      </w:r>
      <w:r>
        <w:instrText xml:space="preserve"> PAGEREF _Toc170193249 \h </w:instrText>
      </w:r>
      <w:r>
        <w:fldChar w:fldCharType="separate"/>
      </w:r>
      <w:r>
        <w:instrText>55</w:instrText>
      </w:r>
      <w:r>
        <w:fldChar w:fldCharType="end"/>
      </w:r>
    </w:p>
    <w:p>
      <w:pPr>
        <w:pStyle w:val="TOC8"/>
        <w:rPr>
          <w:sz w:val="24"/>
          <w:szCs w:val="24"/>
        </w:rPr>
      </w:pPr>
      <w:r>
        <w:rPr>
          <w:szCs w:val="24"/>
        </w:rPr>
        <w:instrText>63AD.</w:instrText>
      </w:r>
      <w:r>
        <w:rPr>
          <w:szCs w:val="24"/>
        </w:rPr>
        <w:tab/>
        <w:instrText>Cancellation of registration or interim registration</w:instrText>
      </w:r>
      <w:r>
        <w:tab/>
      </w:r>
      <w:r>
        <w:fldChar w:fldCharType="begin"/>
      </w:r>
      <w:r>
        <w:instrText xml:space="preserve"> PAGEREF _Toc170193250 \h </w:instrText>
      </w:r>
      <w:r>
        <w:fldChar w:fldCharType="separate"/>
      </w:r>
      <w:r>
        <w:instrText>56</w:instrText>
      </w:r>
      <w:r>
        <w:fldChar w:fldCharType="end"/>
      </w:r>
    </w:p>
    <w:p>
      <w:pPr>
        <w:pStyle w:val="TOC8"/>
        <w:rPr>
          <w:sz w:val="24"/>
          <w:szCs w:val="24"/>
        </w:rPr>
      </w:pPr>
      <w:r>
        <w:rPr>
          <w:szCs w:val="24"/>
        </w:rPr>
        <w:instrText>63ADA.</w:instrText>
      </w:r>
      <w:r>
        <w:rPr>
          <w:szCs w:val="24"/>
        </w:rPr>
        <w:tab/>
        <w:instrText>Registration of private unit trust scheme as provisional public trust</w:instrText>
      </w:r>
      <w:r>
        <w:tab/>
      </w:r>
      <w:r>
        <w:fldChar w:fldCharType="begin"/>
      </w:r>
      <w:r>
        <w:instrText xml:space="preserve"> PAGEREF _Toc170193251 \h </w:instrText>
      </w:r>
      <w:r>
        <w:fldChar w:fldCharType="separate"/>
      </w:r>
      <w:r>
        <w:instrText>59</w:instrText>
      </w:r>
      <w:r>
        <w:fldChar w:fldCharType="end"/>
      </w:r>
    </w:p>
    <w:p>
      <w:pPr>
        <w:pStyle w:val="TOC8"/>
        <w:rPr>
          <w:sz w:val="24"/>
          <w:szCs w:val="24"/>
        </w:rPr>
      </w:pPr>
      <w:r>
        <w:rPr>
          <w:szCs w:val="24"/>
        </w:rPr>
        <w:instrText>63ADB.</w:instrText>
      </w:r>
      <w:r>
        <w:rPr>
          <w:szCs w:val="24"/>
        </w:rPr>
        <w:tab/>
        <w:instrText>Cancellation of registration of provisional public trust</w:instrText>
      </w:r>
      <w:r>
        <w:tab/>
      </w:r>
      <w:r>
        <w:fldChar w:fldCharType="begin"/>
      </w:r>
      <w:r>
        <w:instrText xml:space="preserve"> PAGEREF _Toc170193252 \h </w:instrText>
      </w:r>
      <w:r>
        <w:fldChar w:fldCharType="separate"/>
      </w:r>
      <w:r>
        <w:instrText>60</w:instrText>
      </w:r>
      <w:r>
        <w:fldChar w:fldCharType="end"/>
      </w:r>
    </w:p>
    <w:p>
      <w:pPr>
        <w:pStyle w:val="TOC8"/>
        <w:rPr>
          <w:sz w:val="24"/>
          <w:szCs w:val="24"/>
        </w:rPr>
      </w:pPr>
      <w:r>
        <w:rPr>
          <w:szCs w:val="24"/>
        </w:rPr>
        <w:instrText>63AE.</w:instrText>
      </w:r>
      <w:r>
        <w:rPr>
          <w:szCs w:val="24"/>
        </w:rPr>
        <w:tab/>
        <w:instrText>Dutiable statement about disqualifying event and subsequent transfers or dispositions</w:instrText>
      </w:r>
      <w:r>
        <w:tab/>
      </w:r>
      <w:r>
        <w:fldChar w:fldCharType="begin"/>
      </w:r>
      <w:r>
        <w:instrText xml:space="preserve"> PAGEREF _Toc170193253 \h </w:instrText>
      </w:r>
      <w:r>
        <w:fldChar w:fldCharType="separate"/>
      </w:r>
      <w:r>
        <w:instrText>62</w:instrText>
      </w:r>
      <w:r>
        <w:fldChar w:fldCharType="end"/>
      </w:r>
    </w:p>
    <w:p>
      <w:pPr>
        <w:pStyle w:val="TOC8"/>
        <w:rPr>
          <w:sz w:val="24"/>
          <w:szCs w:val="24"/>
        </w:rPr>
      </w:pPr>
      <w:r>
        <w:rPr>
          <w:szCs w:val="24"/>
        </w:rPr>
        <w:instrText>63AF.</w:instrText>
      </w:r>
      <w:r>
        <w:rPr>
          <w:szCs w:val="24"/>
        </w:rPr>
        <w:tab/>
        <w:instrText>Duty chargeable on the dutiable statement</w:instrText>
      </w:r>
      <w:r>
        <w:tab/>
      </w:r>
      <w:r>
        <w:fldChar w:fldCharType="begin"/>
      </w:r>
      <w:r>
        <w:instrText xml:space="preserve"> PAGEREF _Toc170193254 \h </w:instrText>
      </w:r>
      <w:r>
        <w:fldChar w:fldCharType="separate"/>
      </w:r>
      <w:r>
        <w:instrText>63</w:instrText>
      </w:r>
      <w:r>
        <w:fldChar w:fldCharType="end"/>
      </w:r>
    </w:p>
    <w:p>
      <w:pPr>
        <w:pStyle w:val="TOC8"/>
        <w:rPr>
          <w:sz w:val="24"/>
          <w:szCs w:val="24"/>
        </w:rPr>
      </w:pPr>
      <w:r>
        <w:rPr>
          <w:szCs w:val="24"/>
        </w:rPr>
        <w:instrText>63AG.</w:instrText>
      </w:r>
      <w:r>
        <w:rPr>
          <w:szCs w:val="24"/>
        </w:rPr>
        <w:tab/>
        <w:instrText>When unit trust scheme becomes private unit trust scheme</w:instrText>
      </w:r>
      <w:r>
        <w:tab/>
      </w:r>
      <w:r>
        <w:fldChar w:fldCharType="begin"/>
      </w:r>
      <w:r>
        <w:instrText xml:space="preserve"> PAGEREF _Toc170193255 \h </w:instrText>
      </w:r>
      <w:r>
        <w:fldChar w:fldCharType="separate"/>
      </w:r>
      <w:r>
        <w:instrText>64</w:instrText>
      </w:r>
      <w:r>
        <w:fldChar w:fldCharType="end"/>
      </w:r>
    </w:p>
    <w:p>
      <w:pPr>
        <w:pStyle w:val="TOC8"/>
        <w:rPr>
          <w:sz w:val="24"/>
          <w:szCs w:val="24"/>
        </w:rPr>
      </w:pPr>
      <w:r>
        <w:rPr>
          <w:szCs w:val="24"/>
        </w:rPr>
        <w:instrText>63AH.</w:instrText>
      </w:r>
      <w:r>
        <w:rPr>
          <w:szCs w:val="24"/>
        </w:rPr>
        <w:tab/>
        <w:instrText>Liability for duty on aggregated dispositions</w:instrText>
      </w:r>
      <w:r>
        <w:tab/>
      </w:r>
      <w:r>
        <w:fldChar w:fldCharType="begin"/>
      </w:r>
      <w:r>
        <w:instrText xml:space="preserve"> PAGEREF _Toc170193256 \h </w:instrText>
      </w:r>
      <w:r>
        <w:fldChar w:fldCharType="separate"/>
      </w:r>
      <w:r>
        <w:instrText>66</w:instrText>
      </w:r>
      <w:r>
        <w:fldChar w:fldCharType="end"/>
      </w:r>
    </w:p>
    <w:p>
      <w:pPr>
        <w:pStyle w:val="TOC8"/>
        <w:rPr>
          <w:sz w:val="24"/>
          <w:szCs w:val="24"/>
        </w:rPr>
      </w:pPr>
      <w:r>
        <w:rPr>
          <w:szCs w:val="24"/>
        </w:rPr>
        <w:instrText>63AI.</w:instrText>
      </w:r>
      <w:r>
        <w:rPr>
          <w:szCs w:val="24"/>
        </w:rPr>
        <w:tab/>
        <w:instrText>Interstate security duty</w:instrText>
      </w:r>
      <w:r>
        <w:tab/>
      </w:r>
      <w:r>
        <w:fldChar w:fldCharType="begin"/>
      </w:r>
      <w:r>
        <w:instrText xml:space="preserve"> PAGEREF _Toc170193257 \h </w:instrText>
      </w:r>
      <w:r>
        <w:fldChar w:fldCharType="separate"/>
      </w:r>
      <w:r>
        <w:instrText>66</w:instrText>
      </w:r>
      <w:r>
        <w:fldChar w:fldCharType="end"/>
      </w:r>
    </w:p>
    <w:p>
      <w:pPr>
        <w:pStyle w:val="TOC8"/>
        <w:rPr>
          <w:sz w:val="24"/>
          <w:szCs w:val="24"/>
        </w:rPr>
      </w:pPr>
      <w:r>
        <w:rPr>
          <w:szCs w:val="24"/>
        </w:rPr>
        <w:instrText>63AJ.</w:instrText>
      </w:r>
      <w:r>
        <w:rPr>
          <w:szCs w:val="24"/>
        </w:rPr>
        <w:tab/>
        <w:instrText>Dutiable statement to be lodged</w:instrText>
      </w:r>
      <w:r>
        <w:tab/>
      </w:r>
      <w:r>
        <w:fldChar w:fldCharType="begin"/>
      </w:r>
      <w:r>
        <w:instrText xml:space="preserve"> PAGEREF _Toc170193258 \h </w:instrText>
      </w:r>
      <w:r>
        <w:fldChar w:fldCharType="separate"/>
      </w:r>
      <w:r>
        <w:instrText>67</w:instrText>
      </w:r>
      <w:r>
        <w:fldChar w:fldCharType="end"/>
      </w:r>
    </w:p>
    <w:p>
      <w:pPr>
        <w:pStyle w:val="TOC8"/>
        <w:rPr>
          <w:sz w:val="24"/>
          <w:szCs w:val="24"/>
        </w:rPr>
      </w:pPr>
      <w:r>
        <w:rPr>
          <w:szCs w:val="24"/>
        </w:rPr>
        <w:instrText>63A</w:instrText>
      </w:r>
      <w:r>
        <w:rPr>
          <w:snapToGrid w:val="0"/>
          <w:szCs w:val="24"/>
        </w:rPr>
        <w:instrText>.</w:instrText>
      </w:r>
      <w:r>
        <w:rPr>
          <w:snapToGrid w:val="0"/>
          <w:szCs w:val="24"/>
        </w:rPr>
        <w:tab/>
        <w:instrText>Duty on certain decrees and orders</w:instrText>
      </w:r>
      <w:r>
        <w:tab/>
      </w:r>
      <w:r>
        <w:fldChar w:fldCharType="begin"/>
      </w:r>
      <w:r>
        <w:instrText xml:space="preserve"> PAGEREF _Toc170193259 \h </w:instrText>
      </w:r>
      <w:r>
        <w:fldChar w:fldCharType="separate"/>
      </w:r>
      <w:r>
        <w:instrText>68</w:instrText>
      </w:r>
      <w:r>
        <w:fldChar w:fldCharType="end"/>
      </w:r>
    </w:p>
    <w:p>
      <w:pPr>
        <w:pStyle w:val="TOC8"/>
        <w:rPr>
          <w:sz w:val="24"/>
          <w:szCs w:val="24"/>
        </w:rPr>
      </w:pPr>
      <w:r>
        <w:rPr>
          <w:szCs w:val="24"/>
        </w:rPr>
        <w:instrText>64</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stock and securities</w:instrText>
      </w:r>
      <w:r>
        <w:tab/>
      </w:r>
      <w:r>
        <w:fldChar w:fldCharType="begin"/>
      </w:r>
      <w:r>
        <w:instrText xml:space="preserve"> PAGEREF _Toc170193260 \h </w:instrText>
      </w:r>
      <w:r>
        <w:fldChar w:fldCharType="separate"/>
      </w:r>
      <w:r>
        <w:instrText>68</w:instrText>
      </w:r>
      <w:r>
        <w:fldChar w:fldCharType="end"/>
      </w:r>
    </w:p>
    <w:p>
      <w:pPr>
        <w:pStyle w:val="TOC8"/>
        <w:rPr>
          <w:sz w:val="24"/>
          <w:szCs w:val="24"/>
        </w:rPr>
      </w:pPr>
      <w:r>
        <w:rPr>
          <w:szCs w:val="24"/>
        </w:rPr>
        <w:instrText>65</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securities and periodical payments</w:instrText>
      </w:r>
      <w:r>
        <w:tab/>
      </w:r>
      <w:r>
        <w:fldChar w:fldCharType="begin"/>
      </w:r>
      <w:r>
        <w:instrText xml:space="preserve"> PAGEREF _Toc170193261 \h </w:instrText>
      </w:r>
      <w:r>
        <w:fldChar w:fldCharType="separate"/>
      </w:r>
      <w:r>
        <w:instrText>69</w:instrText>
      </w:r>
      <w:r>
        <w:fldChar w:fldCharType="end"/>
      </w:r>
    </w:p>
    <w:p>
      <w:pPr>
        <w:pStyle w:val="TOC8"/>
        <w:rPr>
          <w:sz w:val="24"/>
          <w:szCs w:val="24"/>
        </w:rPr>
      </w:pPr>
      <w:r>
        <w:rPr>
          <w:szCs w:val="24"/>
        </w:rPr>
        <w:instrText>66</w:instrText>
      </w:r>
      <w:r>
        <w:rPr>
          <w:snapToGrid w:val="0"/>
          <w:szCs w:val="24"/>
        </w:rPr>
        <w:instrText>.</w:instrText>
      </w:r>
      <w:r>
        <w:rPr>
          <w:snapToGrid w:val="0"/>
          <w:szCs w:val="24"/>
        </w:rPr>
        <w:tab/>
        <w:instrText>How conveyances in consideration of a debt or subject to future payment, etc., to be charged</w:instrText>
      </w:r>
      <w:r>
        <w:tab/>
      </w:r>
      <w:r>
        <w:fldChar w:fldCharType="begin"/>
      </w:r>
      <w:r>
        <w:instrText xml:space="preserve"> PAGEREF _Toc170193262 \h </w:instrText>
      </w:r>
      <w:r>
        <w:fldChar w:fldCharType="separate"/>
      </w:r>
      <w:r>
        <w:instrText>69</w:instrText>
      </w:r>
      <w:r>
        <w:fldChar w:fldCharType="end"/>
      </w:r>
    </w:p>
    <w:p>
      <w:pPr>
        <w:pStyle w:val="TOC8"/>
        <w:rPr>
          <w:sz w:val="24"/>
          <w:szCs w:val="24"/>
        </w:rPr>
      </w:pPr>
      <w:r>
        <w:rPr>
          <w:szCs w:val="24"/>
        </w:rPr>
        <w:instrText>67</w:instrText>
      </w:r>
      <w:r>
        <w:rPr>
          <w:snapToGrid w:val="0"/>
          <w:szCs w:val="24"/>
        </w:rPr>
        <w:instrText>.</w:instrText>
      </w:r>
      <w:r>
        <w:rPr>
          <w:snapToGrid w:val="0"/>
          <w:szCs w:val="24"/>
        </w:rPr>
        <w:tab/>
        <w:instrText>Duty where conveyance is partly in consideration of improvements made or to be made on property</w:instrText>
      </w:r>
      <w:r>
        <w:tab/>
      </w:r>
      <w:r>
        <w:fldChar w:fldCharType="begin"/>
      </w:r>
      <w:r>
        <w:instrText xml:space="preserve"> PAGEREF _Toc170193263 \h </w:instrText>
      </w:r>
      <w:r>
        <w:fldChar w:fldCharType="separate"/>
      </w:r>
      <w:r>
        <w:instrText>70</w:instrText>
      </w:r>
      <w:r>
        <w:fldChar w:fldCharType="end"/>
      </w:r>
    </w:p>
    <w:p>
      <w:pPr>
        <w:pStyle w:val="TOC8"/>
        <w:rPr>
          <w:sz w:val="24"/>
          <w:szCs w:val="24"/>
        </w:rPr>
      </w:pPr>
      <w:r>
        <w:rPr>
          <w:szCs w:val="24"/>
        </w:rPr>
        <w:instrText>69</w:instrText>
      </w:r>
      <w:r>
        <w:rPr>
          <w:snapToGrid w:val="0"/>
          <w:szCs w:val="24"/>
        </w:rPr>
        <w:instrText>.</w:instrText>
      </w:r>
      <w:r>
        <w:rPr>
          <w:snapToGrid w:val="0"/>
          <w:szCs w:val="24"/>
        </w:rPr>
        <w:tab/>
        <w:instrText>Conveyance duty in cases where conveyance made at request or by direction of intermediary</w:instrText>
      </w:r>
      <w:r>
        <w:tab/>
      </w:r>
      <w:r>
        <w:fldChar w:fldCharType="begin"/>
      </w:r>
      <w:r>
        <w:instrText xml:space="preserve"> PAGEREF _Toc170193264 \h </w:instrText>
      </w:r>
      <w:r>
        <w:fldChar w:fldCharType="separate"/>
      </w:r>
      <w:r>
        <w:instrText>70</w:instrText>
      </w:r>
      <w:r>
        <w:fldChar w:fldCharType="end"/>
      </w:r>
    </w:p>
    <w:p>
      <w:pPr>
        <w:pStyle w:val="TOC8"/>
        <w:rPr>
          <w:sz w:val="24"/>
          <w:szCs w:val="24"/>
        </w:rPr>
      </w:pPr>
      <w:r>
        <w:rPr>
          <w:szCs w:val="24"/>
        </w:rPr>
        <w:instrText>70.</w:instrText>
      </w:r>
      <w:r>
        <w:rPr>
          <w:szCs w:val="24"/>
        </w:rPr>
        <w:tab/>
        <w:instrText>Certain transfers of chattels dutiable</w:instrText>
      </w:r>
      <w:r>
        <w:tab/>
      </w:r>
      <w:r>
        <w:fldChar w:fldCharType="begin"/>
      </w:r>
      <w:r>
        <w:instrText xml:space="preserve"> PAGEREF _Toc170193265 \h </w:instrText>
      </w:r>
      <w:r>
        <w:fldChar w:fldCharType="separate"/>
      </w:r>
      <w:r>
        <w:instrText>71</w:instrText>
      </w:r>
      <w:r>
        <w:fldChar w:fldCharType="end"/>
      </w:r>
    </w:p>
    <w:p>
      <w:pPr>
        <w:pStyle w:val="TOC8"/>
        <w:rPr>
          <w:sz w:val="24"/>
          <w:szCs w:val="24"/>
        </w:rPr>
      </w:pPr>
      <w:r>
        <w:rPr>
          <w:szCs w:val="24"/>
        </w:rPr>
        <w:instrText>71</w:instrText>
      </w:r>
      <w:r>
        <w:rPr>
          <w:snapToGrid w:val="0"/>
          <w:szCs w:val="24"/>
        </w:rPr>
        <w:instrText>.</w:instrText>
      </w:r>
      <w:r>
        <w:rPr>
          <w:snapToGrid w:val="0"/>
          <w:szCs w:val="24"/>
        </w:rPr>
        <w:tab/>
        <w:instrText>Duty charged for 2 or more instruments of conveyance</w:instrText>
      </w:r>
      <w:r>
        <w:tab/>
      </w:r>
      <w:r>
        <w:fldChar w:fldCharType="begin"/>
      </w:r>
      <w:r>
        <w:instrText xml:space="preserve"> PAGEREF _Toc170193266 \h </w:instrText>
      </w:r>
      <w:r>
        <w:fldChar w:fldCharType="separate"/>
      </w:r>
      <w:r>
        <w:instrText>73</w:instrText>
      </w:r>
      <w:r>
        <w:fldChar w:fldCharType="end"/>
      </w:r>
    </w:p>
    <w:p>
      <w:pPr>
        <w:pStyle w:val="TOC8"/>
        <w:rPr>
          <w:sz w:val="24"/>
          <w:szCs w:val="24"/>
        </w:rPr>
      </w:pPr>
      <w:r>
        <w:rPr>
          <w:szCs w:val="24"/>
        </w:rPr>
        <w:instrText>72</w:instrText>
      </w:r>
      <w:r>
        <w:rPr>
          <w:snapToGrid w:val="0"/>
          <w:szCs w:val="24"/>
        </w:rPr>
        <w:instrText>.</w:instrText>
      </w:r>
      <w:r>
        <w:rPr>
          <w:snapToGrid w:val="0"/>
          <w:szCs w:val="24"/>
        </w:rPr>
        <w:tab/>
        <w:instrText>Transfer or assignment of mortgages for value</w:instrText>
      </w:r>
      <w:r>
        <w:tab/>
      </w:r>
      <w:r>
        <w:fldChar w:fldCharType="begin"/>
      </w:r>
      <w:r>
        <w:instrText xml:space="preserve"> PAGEREF _Toc170193267 \h </w:instrText>
      </w:r>
      <w:r>
        <w:fldChar w:fldCharType="separate"/>
      </w:r>
      <w:r>
        <w:instrText>74</w:instrText>
      </w:r>
      <w:r>
        <w:fldChar w:fldCharType="end"/>
      </w:r>
    </w:p>
    <w:p>
      <w:pPr>
        <w:pStyle w:val="TOC8"/>
        <w:rPr>
          <w:sz w:val="24"/>
          <w:szCs w:val="24"/>
        </w:rPr>
      </w:pPr>
      <w:r>
        <w:rPr>
          <w:szCs w:val="24"/>
        </w:rPr>
        <w:instrText>73</w:instrText>
      </w:r>
      <w:r>
        <w:rPr>
          <w:snapToGrid w:val="0"/>
          <w:szCs w:val="24"/>
        </w:rPr>
        <w:instrText>.</w:instrText>
      </w:r>
      <w:r>
        <w:rPr>
          <w:snapToGrid w:val="0"/>
          <w:szCs w:val="24"/>
        </w:rPr>
        <w:tab/>
        <w:instrText>As to conveyances on any occasion except sale or mortgage</w:instrText>
      </w:r>
      <w:r>
        <w:tab/>
      </w:r>
      <w:r>
        <w:fldChar w:fldCharType="begin"/>
      </w:r>
      <w:r>
        <w:instrText xml:space="preserve"> PAGEREF _Toc170193268 \h </w:instrText>
      </w:r>
      <w:r>
        <w:fldChar w:fldCharType="separate"/>
      </w:r>
      <w:r>
        <w:instrText>74</w:instrText>
      </w:r>
      <w:r>
        <w:fldChar w:fldCharType="end"/>
      </w:r>
    </w:p>
    <w:p>
      <w:pPr>
        <w:pStyle w:val="TOC8"/>
        <w:rPr>
          <w:sz w:val="24"/>
          <w:szCs w:val="24"/>
        </w:rPr>
      </w:pPr>
      <w:r>
        <w:rPr>
          <w:szCs w:val="24"/>
        </w:rPr>
        <w:instrText>73A</w:instrText>
      </w:r>
      <w:r>
        <w:rPr>
          <w:snapToGrid w:val="0"/>
          <w:szCs w:val="24"/>
        </w:rPr>
        <w:instrText>.</w:instrText>
      </w:r>
      <w:r>
        <w:rPr>
          <w:snapToGrid w:val="0"/>
          <w:szCs w:val="24"/>
        </w:rPr>
        <w:tab/>
        <w:instrText>Conveyance subject to an option</w:instrText>
      </w:r>
      <w:r>
        <w:tab/>
      </w:r>
      <w:r>
        <w:fldChar w:fldCharType="begin"/>
      </w:r>
      <w:r>
        <w:instrText xml:space="preserve"> PAGEREF _Toc170193269 \h </w:instrText>
      </w:r>
      <w:r>
        <w:fldChar w:fldCharType="separate"/>
      </w:r>
      <w:r>
        <w:instrText>75</w:instrText>
      </w:r>
      <w:r>
        <w:fldChar w:fldCharType="end"/>
      </w:r>
    </w:p>
    <w:p>
      <w:pPr>
        <w:pStyle w:val="TOC8"/>
        <w:rPr>
          <w:sz w:val="24"/>
          <w:szCs w:val="24"/>
        </w:rPr>
      </w:pPr>
      <w:r>
        <w:rPr>
          <w:szCs w:val="24"/>
        </w:rPr>
        <w:instrText>73AA</w:instrText>
      </w:r>
      <w:r>
        <w:rPr>
          <w:snapToGrid w:val="0"/>
          <w:szCs w:val="24"/>
        </w:rPr>
        <w:instrText>.</w:instrText>
      </w:r>
      <w:r>
        <w:rPr>
          <w:snapToGrid w:val="0"/>
          <w:szCs w:val="24"/>
        </w:rPr>
        <w:tab/>
        <w:instrText>Duty on conveyance not passing a beneficial interest</w:instrText>
      </w:r>
      <w:r>
        <w:tab/>
      </w:r>
      <w:r>
        <w:fldChar w:fldCharType="begin"/>
      </w:r>
      <w:r>
        <w:instrText xml:space="preserve"> PAGEREF _Toc170193270 \h </w:instrText>
      </w:r>
      <w:r>
        <w:fldChar w:fldCharType="separate"/>
      </w:r>
      <w:r>
        <w:instrText>77</w:instrText>
      </w:r>
      <w:r>
        <w:fldChar w:fldCharType="end"/>
      </w:r>
    </w:p>
    <w:p>
      <w:pPr>
        <w:pStyle w:val="TOC8"/>
        <w:rPr>
          <w:sz w:val="24"/>
          <w:szCs w:val="24"/>
        </w:rPr>
      </w:pPr>
      <w:r>
        <w:rPr>
          <w:szCs w:val="24"/>
        </w:rPr>
        <w:instrText>73AB.</w:instrText>
      </w:r>
      <w:r>
        <w:rPr>
          <w:szCs w:val="24"/>
        </w:rPr>
        <w:tab/>
        <w:instrText>Duty on conveyance to correct error</w:instrText>
      </w:r>
      <w:r>
        <w:tab/>
      </w:r>
      <w:r>
        <w:fldChar w:fldCharType="begin"/>
      </w:r>
      <w:r>
        <w:instrText xml:space="preserve"> PAGEREF _Toc170193271 \h </w:instrText>
      </w:r>
      <w:r>
        <w:fldChar w:fldCharType="separate"/>
      </w:r>
      <w:r>
        <w:instrText>79</w:instrText>
      </w:r>
      <w:r>
        <w:fldChar w:fldCharType="end"/>
      </w:r>
    </w:p>
    <w:p>
      <w:pPr>
        <w:pStyle w:val="TOC8"/>
        <w:rPr>
          <w:sz w:val="24"/>
          <w:szCs w:val="24"/>
        </w:rPr>
      </w:pPr>
      <w:r>
        <w:rPr>
          <w:szCs w:val="24"/>
        </w:rPr>
        <w:instrText>73B</w:instrText>
      </w:r>
      <w:r>
        <w:rPr>
          <w:snapToGrid w:val="0"/>
          <w:szCs w:val="24"/>
        </w:rPr>
        <w:instrText>.</w:instrText>
      </w:r>
      <w:r>
        <w:rPr>
          <w:snapToGrid w:val="0"/>
          <w:szCs w:val="24"/>
        </w:rPr>
        <w:tab/>
        <w:instrText>Conveyance agreement subject to unilateral determination</w:instrText>
      </w:r>
      <w:r>
        <w:tab/>
      </w:r>
      <w:r>
        <w:fldChar w:fldCharType="begin"/>
      </w:r>
      <w:r>
        <w:instrText xml:space="preserve"> PAGEREF _Toc170193272 \h </w:instrText>
      </w:r>
      <w:r>
        <w:fldChar w:fldCharType="separate"/>
      </w:r>
      <w:r>
        <w:instrText>80</w:instrText>
      </w:r>
      <w:r>
        <w:fldChar w:fldCharType="end"/>
      </w:r>
    </w:p>
    <w:p>
      <w:pPr>
        <w:pStyle w:val="TOC8"/>
        <w:rPr>
          <w:sz w:val="24"/>
          <w:szCs w:val="24"/>
        </w:rPr>
      </w:pPr>
      <w:r>
        <w:rPr>
          <w:szCs w:val="24"/>
        </w:rPr>
        <w:instrText>73C</w:instrText>
      </w:r>
      <w:r>
        <w:rPr>
          <w:snapToGrid w:val="0"/>
          <w:szCs w:val="24"/>
        </w:rPr>
        <w:instrText>.</w:instrText>
      </w:r>
      <w:r>
        <w:rPr>
          <w:snapToGrid w:val="0"/>
          <w:szCs w:val="24"/>
        </w:rPr>
        <w:tab/>
        <w:instrText>Option to purchase with right to renew</w:instrText>
      </w:r>
      <w:r>
        <w:tab/>
      </w:r>
      <w:r>
        <w:fldChar w:fldCharType="begin"/>
      </w:r>
      <w:r>
        <w:instrText xml:space="preserve"> PAGEREF _Toc170193273 \h </w:instrText>
      </w:r>
      <w:r>
        <w:fldChar w:fldCharType="separate"/>
      </w:r>
      <w:r>
        <w:instrText>81</w:instrText>
      </w:r>
      <w:r>
        <w:fldChar w:fldCharType="end"/>
      </w:r>
    </w:p>
    <w:p>
      <w:pPr>
        <w:pStyle w:val="TOC8"/>
        <w:rPr>
          <w:sz w:val="24"/>
          <w:szCs w:val="24"/>
        </w:rPr>
      </w:pPr>
      <w:r>
        <w:rPr>
          <w:szCs w:val="24"/>
        </w:rPr>
        <w:instrText>73D</w:instrText>
      </w:r>
      <w:r>
        <w:rPr>
          <w:snapToGrid w:val="0"/>
          <w:szCs w:val="24"/>
        </w:rPr>
        <w:instrText>.</w:instrText>
      </w:r>
      <w:r>
        <w:rPr>
          <w:snapToGrid w:val="0"/>
          <w:szCs w:val="24"/>
        </w:rPr>
        <w:tab/>
        <w:instrText>Disposition of units in unit trust schemes</w:instrText>
      </w:r>
      <w:r>
        <w:tab/>
      </w:r>
      <w:r>
        <w:fldChar w:fldCharType="begin"/>
      </w:r>
      <w:r>
        <w:instrText xml:space="preserve"> PAGEREF _Toc170193274 \h </w:instrText>
      </w:r>
      <w:r>
        <w:fldChar w:fldCharType="separate"/>
      </w:r>
      <w:r>
        <w:instrText>82</w:instrText>
      </w:r>
      <w:r>
        <w:fldChar w:fldCharType="end"/>
      </w:r>
    </w:p>
    <w:p>
      <w:pPr>
        <w:pStyle w:val="TOC8"/>
        <w:rPr>
          <w:sz w:val="24"/>
          <w:szCs w:val="24"/>
        </w:rPr>
      </w:pPr>
      <w:r>
        <w:rPr>
          <w:szCs w:val="24"/>
        </w:rPr>
        <w:instrText>73DAA.</w:instrText>
      </w:r>
      <w:r>
        <w:rPr>
          <w:szCs w:val="24"/>
        </w:rPr>
        <w:tab/>
        <w:instrText>Dutiable statement required if transfer or instrument not lodged</w:instrText>
      </w:r>
      <w:r>
        <w:tab/>
      </w:r>
      <w:r>
        <w:fldChar w:fldCharType="begin"/>
      </w:r>
      <w:r>
        <w:instrText xml:space="preserve"> PAGEREF _Toc170193275 \h </w:instrText>
      </w:r>
      <w:r>
        <w:fldChar w:fldCharType="separate"/>
      </w:r>
      <w:r>
        <w:instrText>86</w:instrText>
      </w:r>
      <w:r>
        <w:fldChar w:fldCharType="end"/>
      </w:r>
    </w:p>
    <w:p>
      <w:pPr>
        <w:pStyle w:val="TOC8"/>
        <w:rPr>
          <w:sz w:val="24"/>
          <w:szCs w:val="24"/>
        </w:rPr>
      </w:pPr>
      <w:r>
        <w:rPr>
          <w:szCs w:val="24"/>
        </w:rPr>
        <w:instrText>73DA</w:instrText>
      </w:r>
      <w:r>
        <w:rPr>
          <w:snapToGrid w:val="0"/>
          <w:szCs w:val="24"/>
        </w:rPr>
        <w:instrText>.</w:instrText>
      </w:r>
      <w:r>
        <w:rPr>
          <w:snapToGrid w:val="0"/>
          <w:szCs w:val="24"/>
        </w:rPr>
        <w:tab/>
        <w:instrText>Holdings of majority interest unit trustee</w:instrText>
      </w:r>
      <w:r>
        <w:tab/>
      </w:r>
      <w:r>
        <w:fldChar w:fldCharType="begin"/>
      </w:r>
      <w:r>
        <w:instrText xml:space="preserve"> PAGEREF _Toc170193276 \h </w:instrText>
      </w:r>
      <w:r>
        <w:fldChar w:fldCharType="separate"/>
      </w:r>
      <w:r>
        <w:instrText>88</w:instrText>
      </w:r>
      <w:r>
        <w:fldChar w:fldCharType="end"/>
      </w:r>
    </w:p>
    <w:p>
      <w:pPr>
        <w:pStyle w:val="TOC8"/>
        <w:rPr>
          <w:sz w:val="24"/>
          <w:szCs w:val="24"/>
        </w:rPr>
      </w:pPr>
      <w:r>
        <w:rPr>
          <w:szCs w:val="24"/>
        </w:rPr>
        <w:instrText>73DB.</w:instrText>
      </w:r>
      <w:r>
        <w:rPr>
          <w:szCs w:val="24"/>
        </w:rPr>
        <w:tab/>
        <w:instrText>Interpretation for sections 73DC, 73DD and 73DE</w:instrText>
      </w:r>
      <w:r>
        <w:tab/>
      </w:r>
      <w:r>
        <w:fldChar w:fldCharType="begin"/>
      </w:r>
      <w:r>
        <w:instrText xml:space="preserve"> PAGEREF _Toc170193277 \h </w:instrText>
      </w:r>
      <w:r>
        <w:fldChar w:fldCharType="separate"/>
      </w:r>
      <w:r>
        <w:instrText>89</w:instrText>
      </w:r>
      <w:r>
        <w:fldChar w:fldCharType="end"/>
      </w:r>
    </w:p>
    <w:p>
      <w:pPr>
        <w:pStyle w:val="TOC8"/>
        <w:rPr>
          <w:sz w:val="24"/>
          <w:szCs w:val="24"/>
        </w:rPr>
      </w:pPr>
      <w:r>
        <w:rPr>
          <w:szCs w:val="24"/>
        </w:rPr>
        <w:instrText>73DC.</w:instrText>
      </w:r>
      <w:r>
        <w:rPr>
          <w:szCs w:val="24"/>
        </w:rPr>
        <w:tab/>
        <w:instrText>Acquisition of majority interest or further interest in pooled investment trust</w:instrText>
      </w:r>
      <w:r>
        <w:tab/>
      </w:r>
      <w:r>
        <w:fldChar w:fldCharType="begin"/>
      </w:r>
      <w:r>
        <w:instrText xml:space="preserve"> PAGEREF _Toc170193278 \h </w:instrText>
      </w:r>
      <w:r>
        <w:fldChar w:fldCharType="separate"/>
      </w:r>
      <w:r>
        <w:instrText>89</w:instrText>
      </w:r>
      <w:r>
        <w:fldChar w:fldCharType="end"/>
      </w:r>
    </w:p>
    <w:p>
      <w:pPr>
        <w:pStyle w:val="TOC8"/>
        <w:rPr>
          <w:sz w:val="24"/>
          <w:szCs w:val="24"/>
        </w:rPr>
      </w:pPr>
      <w:r>
        <w:rPr>
          <w:szCs w:val="24"/>
        </w:rPr>
        <w:instrText>73DD.</w:instrText>
      </w:r>
      <w:r>
        <w:rPr>
          <w:szCs w:val="24"/>
        </w:rPr>
        <w:tab/>
        <w:instrText>Meaning of majority interest and further interest</w:instrText>
      </w:r>
      <w:r>
        <w:tab/>
      </w:r>
      <w:r>
        <w:fldChar w:fldCharType="begin"/>
      </w:r>
      <w:r>
        <w:instrText xml:space="preserve"> PAGEREF _Toc170193279 \h </w:instrText>
      </w:r>
      <w:r>
        <w:fldChar w:fldCharType="separate"/>
      </w:r>
      <w:r>
        <w:instrText>91</w:instrText>
      </w:r>
      <w:r>
        <w:fldChar w:fldCharType="end"/>
      </w:r>
    </w:p>
    <w:p>
      <w:pPr>
        <w:pStyle w:val="TOC8"/>
        <w:rPr>
          <w:sz w:val="24"/>
          <w:szCs w:val="24"/>
        </w:rPr>
      </w:pPr>
      <w:r>
        <w:rPr>
          <w:szCs w:val="24"/>
        </w:rPr>
        <w:instrText>73DE.</w:instrText>
      </w:r>
      <w:r>
        <w:rPr>
          <w:szCs w:val="24"/>
        </w:rPr>
        <w:tab/>
        <w:instrText>Dutiable statement to be lodged</w:instrText>
      </w:r>
      <w:r>
        <w:tab/>
      </w:r>
      <w:r>
        <w:fldChar w:fldCharType="begin"/>
      </w:r>
      <w:r>
        <w:instrText xml:space="preserve"> PAGEREF _Toc170193280 \h </w:instrText>
      </w:r>
      <w:r>
        <w:fldChar w:fldCharType="separate"/>
      </w:r>
      <w:r>
        <w:instrText>94</w:instrText>
      </w:r>
      <w:r>
        <w:fldChar w:fldCharType="end"/>
      </w:r>
    </w:p>
    <w:p>
      <w:pPr>
        <w:pStyle w:val="TOC8"/>
        <w:rPr>
          <w:sz w:val="24"/>
          <w:szCs w:val="24"/>
        </w:rPr>
      </w:pPr>
      <w:r>
        <w:rPr>
          <w:szCs w:val="24"/>
        </w:rPr>
        <w:instrText>73E</w:instrText>
      </w:r>
      <w:r>
        <w:rPr>
          <w:snapToGrid w:val="0"/>
          <w:szCs w:val="24"/>
        </w:rPr>
        <w:instrText>.</w:instrText>
      </w:r>
      <w:r>
        <w:rPr>
          <w:snapToGrid w:val="0"/>
          <w:szCs w:val="24"/>
        </w:rPr>
        <w:tab/>
        <w:instrText>Disposition of shares in discretionary trustee companies</w:instrText>
      </w:r>
      <w:r>
        <w:tab/>
      </w:r>
      <w:r>
        <w:fldChar w:fldCharType="begin"/>
      </w:r>
      <w:r>
        <w:instrText xml:space="preserve"> PAGEREF _Toc170193281 \h </w:instrText>
      </w:r>
      <w:r>
        <w:fldChar w:fldCharType="separate"/>
      </w:r>
      <w:r>
        <w:instrText>94</w:instrText>
      </w:r>
      <w:r>
        <w:fldChar w:fldCharType="end"/>
      </w:r>
    </w:p>
    <w:p>
      <w:pPr>
        <w:pStyle w:val="TOC8"/>
        <w:rPr>
          <w:sz w:val="24"/>
          <w:szCs w:val="24"/>
        </w:rPr>
      </w:pPr>
      <w:r>
        <w:rPr>
          <w:szCs w:val="24"/>
        </w:rPr>
        <w:instrText>73F</w:instrText>
      </w:r>
      <w:r>
        <w:rPr>
          <w:snapToGrid w:val="0"/>
          <w:szCs w:val="24"/>
        </w:rPr>
        <w:instrText>.</w:instrText>
      </w:r>
      <w:r>
        <w:rPr>
          <w:snapToGrid w:val="0"/>
          <w:szCs w:val="24"/>
        </w:rPr>
        <w:tab/>
        <w:instrText>Acquisition of a licence to carry on a business activity</w:instrText>
      </w:r>
      <w:r>
        <w:tab/>
      </w:r>
      <w:r>
        <w:fldChar w:fldCharType="begin"/>
      </w:r>
      <w:r>
        <w:instrText xml:space="preserve"> PAGEREF _Toc170193282 \h </w:instrText>
      </w:r>
      <w:r>
        <w:fldChar w:fldCharType="separate"/>
      </w:r>
      <w:r>
        <w:instrText>97</w:instrText>
      </w:r>
      <w:r>
        <w:fldChar w:fldCharType="end"/>
      </w:r>
    </w:p>
    <w:p>
      <w:pPr>
        <w:pStyle w:val="TOC8"/>
        <w:rPr>
          <w:sz w:val="24"/>
          <w:szCs w:val="24"/>
        </w:rPr>
      </w:pPr>
      <w:r>
        <w:rPr>
          <w:szCs w:val="24"/>
        </w:rPr>
        <w:instrText>73G.</w:instrText>
      </w:r>
      <w:r>
        <w:rPr>
          <w:szCs w:val="24"/>
        </w:rPr>
        <w:tab/>
        <w:instrText>Farm</w:instrText>
      </w:r>
      <w:r>
        <w:rPr>
          <w:szCs w:val="24"/>
        </w:rPr>
        <w:noBreakHyphen/>
        <w:instrText>in agreements relating to mining tenements</w:instrText>
      </w:r>
      <w:r>
        <w:tab/>
      </w:r>
      <w:r>
        <w:fldChar w:fldCharType="begin"/>
      </w:r>
      <w:r>
        <w:instrText xml:space="preserve"> PAGEREF _Toc170193283 \h </w:instrText>
      </w:r>
      <w:r>
        <w:fldChar w:fldCharType="separate"/>
      </w:r>
      <w:r>
        <w:instrText>98</w:instrText>
      </w:r>
      <w:r>
        <w:fldChar w:fldCharType="end"/>
      </w:r>
    </w:p>
    <w:p>
      <w:pPr>
        <w:pStyle w:val="TOC8"/>
        <w:rPr>
          <w:sz w:val="24"/>
          <w:szCs w:val="24"/>
        </w:rPr>
      </w:pPr>
      <w:r>
        <w:rPr>
          <w:szCs w:val="24"/>
        </w:rPr>
        <w:instrText>74</w:instrText>
      </w:r>
      <w:r>
        <w:rPr>
          <w:snapToGrid w:val="0"/>
          <w:szCs w:val="24"/>
        </w:rPr>
        <w:instrText>.</w:instrText>
      </w:r>
      <w:r>
        <w:rPr>
          <w:snapToGrid w:val="0"/>
          <w:szCs w:val="24"/>
        </w:rPr>
        <w:tab/>
        <w:instrText>Certain contracts to be chargeable as conveyances on sale</w:instrText>
      </w:r>
      <w:r>
        <w:tab/>
      </w:r>
      <w:r>
        <w:fldChar w:fldCharType="begin"/>
      </w:r>
      <w:r>
        <w:instrText xml:space="preserve"> PAGEREF _Toc170193284 \h </w:instrText>
      </w:r>
      <w:r>
        <w:fldChar w:fldCharType="separate"/>
      </w:r>
      <w:r>
        <w:instrText>100</w:instrText>
      </w:r>
      <w:r>
        <w:fldChar w:fldCharType="end"/>
      </w:r>
    </w:p>
    <w:p>
      <w:pPr>
        <w:pStyle w:val="TOC8"/>
        <w:rPr>
          <w:sz w:val="24"/>
          <w:szCs w:val="24"/>
        </w:rPr>
      </w:pPr>
      <w:r>
        <w:rPr>
          <w:szCs w:val="24"/>
        </w:rPr>
        <w:instrText>74A</w:instrText>
      </w:r>
      <w:r>
        <w:rPr>
          <w:snapToGrid w:val="0"/>
          <w:szCs w:val="24"/>
        </w:rPr>
        <w:instrText>.</w:instrText>
      </w:r>
      <w:r>
        <w:rPr>
          <w:snapToGrid w:val="0"/>
          <w:szCs w:val="24"/>
        </w:rPr>
        <w:tab/>
        <w:instrText>Duty chargeable on certain conveyances of corporation property</w:instrText>
      </w:r>
      <w:r>
        <w:tab/>
      </w:r>
      <w:r>
        <w:fldChar w:fldCharType="begin"/>
      </w:r>
      <w:r>
        <w:instrText xml:space="preserve"> PAGEREF _Toc170193285 \h </w:instrText>
      </w:r>
      <w:r>
        <w:fldChar w:fldCharType="separate"/>
      </w:r>
      <w:r>
        <w:instrText>105</w:instrText>
      </w:r>
      <w:r>
        <w:fldChar w:fldCharType="end"/>
      </w:r>
    </w:p>
    <w:p>
      <w:pPr>
        <w:pStyle w:val="TOC8"/>
        <w:rPr>
          <w:sz w:val="24"/>
          <w:szCs w:val="24"/>
        </w:rPr>
      </w:pPr>
      <w:r>
        <w:rPr>
          <w:szCs w:val="24"/>
        </w:rPr>
        <w:instrText>74B.</w:instrText>
      </w:r>
      <w:r>
        <w:rPr>
          <w:szCs w:val="24"/>
        </w:rPr>
        <w:tab/>
        <w:instrText>Transactions involving a call option and a put option</w:instrText>
      </w:r>
      <w:r>
        <w:tab/>
      </w:r>
      <w:r>
        <w:fldChar w:fldCharType="begin"/>
      </w:r>
      <w:r>
        <w:instrText xml:space="preserve"> PAGEREF _Toc170193286 \h </w:instrText>
      </w:r>
      <w:r>
        <w:fldChar w:fldCharType="separate"/>
      </w:r>
      <w:r>
        <w:instrText>108</w:instrText>
      </w:r>
      <w:r>
        <w:fldChar w:fldCharType="end"/>
      </w:r>
    </w:p>
    <w:p>
      <w:pPr>
        <w:pStyle w:val="TOC8"/>
        <w:rPr>
          <w:sz w:val="24"/>
          <w:szCs w:val="24"/>
        </w:rPr>
      </w:pPr>
      <w:r>
        <w:rPr>
          <w:szCs w:val="24"/>
        </w:rPr>
        <w:instrText>74C.</w:instrText>
      </w:r>
      <w:r>
        <w:rPr>
          <w:szCs w:val="24"/>
        </w:rPr>
        <w:tab/>
        <w:instrText>Acquisition of certain business assets</w:instrText>
      </w:r>
      <w:r>
        <w:tab/>
      </w:r>
      <w:r>
        <w:fldChar w:fldCharType="begin"/>
      </w:r>
      <w:r>
        <w:instrText xml:space="preserve"> PAGEREF _Toc170193287 \h </w:instrText>
      </w:r>
      <w:r>
        <w:fldChar w:fldCharType="separate"/>
      </w:r>
      <w:r>
        <w:instrText>114</w:instrText>
      </w:r>
      <w:r>
        <w:fldChar w:fldCharType="end"/>
      </w:r>
    </w:p>
    <w:p>
      <w:pPr>
        <w:pStyle w:val="TOC8"/>
        <w:rPr>
          <w:sz w:val="24"/>
          <w:szCs w:val="24"/>
        </w:rPr>
      </w:pPr>
      <w:r>
        <w:rPr>
          <w:szCs w:val="24"/>
        </w:rPr>
        <w:instrText>75</w:instrText>
      </w:r>
      <w:r>
        <w:rPr>
          <w:snapToGrid w:val="0"/>
          <w:szCs w:val="24"/>
        </w:rPr>
        <w:instrText>.</w:instrText>
      </w:r>
      <w:r>
        <w:rPr>
          <w:snapToGrid w:val="0"/>
          <w:szCs w:val="24"/>
        </w:rPr>
        <w:tab/>
        <w:instrText>Duty chargeable on conveyance for less than full consideration</w:instrText>
      </w:r>
      <w:r>
        <w:tab/>
      </w:r>
      <w:r>
        <w:fldChar w:fldCharType="begin"/>
      </w:r>
      <w:r>
        <w:instrText xml:space="preserve"> PAGEREF _Toc170193288 \h </w:instrText>
      </w:r>
      <w:r>
        <w:fldChar w:fldCharType="separate"/>
      </w:r>
      <w:r>
        <w:instrText>119</w:instrText>
      </w:r>
      <w:r>
        <w:fldChar w:fldCharType="end"/>
      </w:r>
    </w:p>
    <w:p>
      <w:pPr>
        <w:pStyle w:val="TOC8"/>
        <w:rPr>
          <w:sz w:val="24"/>
          <w:szCs w:val="24"/>
        </w:rPr>
      </w:pPr>
      <w:r>
        <w:rPr>
          <w:szCs w:val="24"/>
        </w:rPr>
        <w:instrText>75A.</w:instrText>
      </w:r>
      <w:r>
        <w:rPr>
          <w:szCs w:val="24"/>
        </w:rPr>
        <w:tab/>
        <w:instrText>Power to exempt instruments made for charitable or similar purposes</w:instrText>
      </w:r>
      <w:r>
        <w:tab/>
      </w:r>
      <w:r>
        <w:fldChar w:fldCharType="begin"/>
      </w:r>
      <w:r>
        <w:instrText xml:space="preserve"> PAGEREF _Toc170193289 \h </w:instrText>
      </w:r>
      <w:r>
        <w:fldChar w:fldCharType="separate"/>
      </w:r>
      <w:r>
        <w:instrText>121</w:instrText>
      </w:r>
      <w:r>
        <w:fldChar w:fldCharType="end"/>
      </w:r>
    </w:p>
    <w:p>
      <w:pPr>
        <w:pStyle w:val="TOC8"/>
        <w:rPr>
          <w:sz w:val="24"/>
          <w:szCs w:val="24"/>
        </w:rPr>
      </w:pPr>
      <w:r>
        <w:rPr>
          <w:szCs w:val="24"/>
        </w:rPr>
        <w:instrText>75AB</w:instrText>
      </w:r>
      <w:r>
        <w:rPr>
          <w:snapToGrid w:val="0"/>
          <w:szCs w:val="24"/>
        </w:rPr>
        <w:instrText>.</w:instrText>
      </w:r>
      <w:r>
        <w:rPr>
          <w:snapToGrid w:val="0"/>
          <w:szCs w:val="24"/>
        </w:rPr>
        <w:tab/>
        <w:instrText>Power to exempt instruments made in respect of certain funds or schemes</w:instrText>
      </w:r>
      <w:r>
        <w:tab/>
      </w:r>
      <w:r>
        <w:fldChar w:fldCharType="begin"/>
      </w:r>
      <w:r>
        <w:instrText xml:space="preserve"> PAGEREF _Toc170193290 \h </w:instrText>
      </w:r>
      <w:r>
        <w:fldChar w:fldCharType="separate"/>
      </w:r>
      <w:r>
        <w:instrText>121</w:instrText>
      </w:r>
      <w:r>
        <w:fldChar w:fldCharType="end"/>
      </w:r>
    </w:p>
    <w:p>
      <w:pPr>
        <w:pStyle w:val="TOC8"/>
        <w:rPr>
          <w:sz w:val="24"/>
          <w:szCs w:val="24"/>
        </w:rPr>
      </w:pPr>
      <w:r>
        <w:rPr>
          <w:szCs w:val="24"/>
        </w:rPr>
        <w:instrText>75ABA.</w:instrText>
      </w:r>
      <w:r>
        <w:rPr>
          <w:szCs w:val="24"/>
        </w:rPr>
        <w:tab/>
        <w:instrText>Power to exempt transfers by bankruptcy trustee to bankrupt</w:instrText>
      </w:r>
      <w:r>
        <w:tab/>
      </w:r>
      <w:r>
        <w:fldChar w:fldCharType="begin"/>
      </w:r>
      <w:r>
        <w:instrText xml:space="preserve"> PAGEREF _Toc170193291 \h </w:instrText>
      </w:r>
      <w:r>
        <w:fldChar w:fldCharType="separate"/>
      </w:r>
      <w:r>
        <w:instrText>122</w:instrText>
      </w:r>
      <w:r>
        <w:fldChar w:fldCharType="end"/>
      </w:r>
    </w:p>
    <w:p>
      <w:pPr>
        <w:pStyle w:val="TOC8"/>
        <w:rPr>
          <w:sz w:val="24"/>
          <w:szCs w:val="24"/>
        </w:rPr>
      </w:pPr>
      <w:r>
        <w:rPr>
          <w:szCs w:val="24"/>
        </w:rPr>
        <w:instrText>75AC</w:instrText>
      </w:r>
      <w:r>
        <w:rPr>
          <w:snapToGrid w:val="0"/>
          <w:szCs w:val="24"/>
        </w:rPr>
        <w:instrText>.</w:instrText>
      </w:r>
      <w:r>
        <w:rPr>
          <w:snapToGrid w:val="0"/>
          <w:szCs w:val="24"/>
        </w:rPr>
        <w:tab/>
        <w:instrText>Exchange of property</w:instrText>
      </w:r>
      <w:r>
        <w:tab/>
      </w:r>
      <w:r>
        <w:fldChar w:fldCharType="begin"/>
      </w:r>
      <w:r>
        <w:instrText xml:space="preserve"> PAGEREF _Toc170193292 \h </w:instrText>
      </w:r>
      <w:r>
        <w:fldChar w:fldCharType="separate"/>
      </w:r>
      <w:r>
        <w:instrText>123</w:instrText>
      </w:r>
      <w:r>
        <w:fldChar w:fldCharType="end"/>
      </w:r>
    </w:p>
    <w:p>
      <w:pPr>
        <w:pStyle w:val="TOC8"/>
        <w:rPr>
          <w:sz w:val="24"/>
          <w:szCs w:val="24"/>
        </w:rPr>
      </w:pPr>
      <w:r>
        <w:rPr>
          <w:szCs w:val="24"/>
        </w:rPr>
        <w:instrText>75AD</w:instrText>
      </w:r>
      <w:r>
        <w:rPr>
          <w:snapToGrid w:val="0"/>
          <w:szCs w:val="24"/>
        </w:rPr>
        <w:instrText>.</w:instrText>
      </w:r>
      <w:r>
        <w:rPr>
          <w:snapToGrid w:val="0"/>
          <w:szCs w:val="24"/>
        </w:rPr>
        <w:tab/>
        <w:instrText>Duty chargeable on partition of property</w:instrText>
      </w:r>
      <w:r>
        <w:tab/>
      </w:r>
      <w:r>
        <w:fldChar w:fldCharType="begin"/>
      </w:r>
      <w:r>
        <w:instrText xml:space="preserve"> PAGEREF _Toc170193293 \h </w:instrText>
      </w:r>
      <w:r>
        <w:fldChar w:fldCharType="separate"/>
      </w:r>
      <w:r>
        <w:instrText>123</w:instrText>
      </w:r>
      <w:r>
        <w:fldChar w:fldCharType="end"/>
      </w:r>
    </w:p>
    <w:p>
      <w:pPr>
        <w:pStyle w:val="TOC8"/>
        <w:rPr>
          <w:sz w:val="24"/>
          <w:szCs w:val="24"/>
        </w:rPr>
      </w:pPr>
      <w:r>
        <w:rPr>
          <w:szCs w:val="24"/>
        </w:rPr>
        <w:instrText>75AE.</w:instrText>
      </w:r>
      <w:r>
        <w:rPr>
          <w:szCs w:val="24"/>
        </w:rPr>
        <w:tab/>
        <w:instrText>Concessional rates for certain residential or business property</w:instrText>
      </w:r>
      <w:r>
        <w:tab/>
      </w:r>
      <w:r>
        <w:fldChar w:fldCharType="begin"/>
      </w:r>
      <w:r>
        <w:instrText xml:space="preserve"> PAGEREF _Toc170193294 \h </w:instrText>
      </w:r>
      <w:r>
        <w:fldChar w:fldCharType="separate"/>
      </w:r>
      <w:r>
        <w:instrText>123</w:instrText>
      </w:r>
      <w:r>
        <w:fldChar w:fldCharType="end"/>
      </w:r>
    </w:p>
    <w:p>
      <w:pPr>
        <w:pStyle w:val="TOC8"/>
        <w:rPr>
          <w:sz w:val="24"/>
          <w:szCs w:val="24"/>
        </w:rPr>
      </w:pPr>
      <w:r>
        <w:rPr>
          <w:szCs w:val="24"/>
        </w:rPr>
        <w:instrText>75AF</w:instrText>
      </w:r>
      <w:r>
        <w:rPr>
          <w:snapToGrid w:val="0"/>
          <w:szCs w:val="24"/>
        </w:rPr>
        <w:instrText>.</w:instrText>
      </w:r>
      <w:r>
        <w:rPr>
          <w:snapToGrid w:val="0"/>
          <w:szCs w:val="24"/>
        </w:rPr>
        <w:tab/>
        <w:instrText>Computation of duty for 2 or more instruments</w:instrText>
      </w:r>
      <w:r>
        <w:tab/>
      </w:r>
      <w:r>
        <w:fldChar w:fldCharType="begin"/>
      </w:r>
      <w:r>
        <w:instrText xml:space="preserve"> PAGEREF _Toc170193295 \h </w:instrText>
      </w:r>
      <w:r>
        <w:fldChar w:fldCharType="separate"/>
      </w:r>
      <w:r>
        <w:instrText>125</w:instrText>
      </w:r>
      <w:r>
        <w:fldChar w:fldCharType="end"/>
      </w:r>
    </w:p>
    <w:p>
      <w:pPr>
        <w:pStyle w:val="TOC8"/>
        <w:rPr>
          <w:sz w:val="24"/>
          <w:szCs w:val="24"/>
        </w:rPr>
      </w:pPr>
      <w:r>
        <w:rPr>
          <w:szCs w:val="24"/>
        </w:rPr>
        <w:instrText>75AG.</w:instrText>
      </w:r>
      <w:r>
        <w:rPr>
          <w:szCs w:val="24"/>
        </w:rPr>
        <w:tab/>
        <w:instrText>Reduction of duty or refund for first home owner</w:instrText>
      </w:r>
      <w:r>
        <w:tab/>
      </w:r>
      <w:r>
        <w:fldChar w:fldCharType="begin"/>
      </w:r>
      <w:r>
        <w:instrText xml:space="preserve"> PAGEREF _Toc170193296 \h </w:instrText>
      </w:r>
      <w:r>
        <w:fldChar w:fldCharType="separate"/>
      </w:r>
      <w:r>
        <w:instrText>126</w:instrText>
      </w:r>
      <w:r>
        <w:fldChar w:fldCharType="end"/>
      </w:r>
    </w:p>
    <w:p>
      <w:pPr>
        <w:pStyle w:val="TOC8"/>
        <w:rPr>
          <w:sz w:val="24"/>
          <w:szCs w:val="24"/>
        </w:rPr>
      </w:pPr>
      <w:r>
        <w:rPr>
          <w:szCs w:val="24"/>
        </w:rPr>
        <w:instrText>75C</w:instrText>
      </w:r>
      <w:r>
        <w:rPr>
          <w:snapToGrid w:val="0"/>
          <w:szCs w:val="24"/>
        </w:rPr>
        <w:instrText>.</w:instrText>
      </w:r>
      <w:r>
        <w:rPr>
          <w:snapToGrid w:val="0"/>
          <w:szCs w:val="24"/>
        </w:rPr>
        <w:tab/>
        <w:instrText>Power to exempt for certain conveyances between spouses</w:instrText>
      </w:r>
      <w:r>
        <w:tab/>
      </w:r>
      <w:r>
        <w:fldChar w:fldCharType="begin"/>
      </w:r>
      <w:r>
        <w:instrText xml:space="preserve"> PAGEREF _Toc170193297 \h </w:instrText>
      </w:r>
      <w:r>
        <w:fldChar w:fldCharType="separate"/>
      </w:r>
      <w:r>
        <w:instrText>129</w:instrText>
      </w:r>
      <w:r>
        <w:fldChar w:fldCharType="end"/>
      </w:r>
    </w:p>
    <w:p>
      <w:pPr>
        <w:pStyle w:val="TOC8"/>
        <w:rPr>
          <w:sz w:val="24"/>
          <w:szCs w:val="24"/>
        </w:rPr>
      </w:pPr>
      <w:r>
        <w:rPr>
          <w:szCs w:val="24"/>
        </w:rPr>
        <w:instrText>75CA.</w:instrText>
      </w:r>
      <w:r>
        <w:rPr>
          <w:szCs w:val="24"/>
        </w:rPr>
        <w:tab/>
        <w:instrText>Refund where contingent consideration is not paid</w:instrText>
      </w:r>
      <w:r>
        <w:tab/>
      </w:r>
      <w:r>
        <w:fldChar w:fldCharType="begin"/>
      </w:r>
      <w:r>
        <w:instrText xml:space="preserve"> PAGEREF _Toc170193298 \h </w:instrText>
      </w:r>
      <w:r>
        <w:fldChar w:fldCharType="separate"/>
      </w:r>
      <w:r>
        <w:instrText>131</w:instrText>
      </w:r>
      <w:r>
        <w:fldChar w:fldCharType="end"/>
      </w:r>
    </w:p>
    <w:p>
      <w:pPr>
        <w:pStyle w:val="TOC2"/>
        <w:tabs>
          <w:tab w:val="right" w:pos="7086"/>
        </w:tabs>
        <w:rPr>
          <w:b w:val="0"/>
          <w:sz w:val="24"/>
          <w:szCs w:val="24"/>
        </w:rPr>
      </w:pPr>
      <w:r>
        <w:rPr>
          <w:szCs w:val="30"/>
        </w:rPr>
        <w:instrText>Part IIIBAA — Certain transfers of farming property </w:instrText>
      </w:r>
      <w:r>
        <w:rPr>
          <w:b w:val="0"/>
          <w:szCs w:val="30"/>
          <w:vertAlign w:val="superscript"/>
        </w:rPr>
        <w:instrText>5</w:instrText>
      </w:r>
    </w:p>
    <w:p>
      <w:pPr>
        <w:pStyle w:val="TOC8"/>
        <w:rPr>
          <w:sz w:val="24"/>
          <w:szCs w:val="24"/>
        </w:rPr>
      </w:pPr>
      <w:r>
        <w:rPr>
          <w:szCs w:val="24"/>
        </w:rPr>
        <w:instrText>75D</w:instrText>
      </w:r>
      <w:r>
        <w:rPr>
          <w:snapToGrid w:val="0"/>
          <w:szCs w:val="24"/>
        </w:rPr>
        <w:instrText>.</w:instrText>
      </w:r>
      <w:r>
        <w:rPr>
          <w:snapToGrid w:val="0"/>
          <w:szCs w:val="24"/>
        </w:rPr>
        <w:tab/>
        <w:instrText>Interpretation in Part IIIBAA</w:instrText>
      </w:r>
      <w:r>
        <w:tab/>
      </w:r>
      <w:r>
        <w:fldChar w:fldCharType="begin"/>
      </w:r>
      <w:r>
        <w:instrText xml:space="preserve"> PAGEREF _Toc170193300 \h </w:instrText>
      </w:r>
      <w:r>
        <w:fldChar w:fldCharType="separate"/>
      </w:r>
      <w:r>
        <w:instrText>132</w:instrText>
      </w:r>
      <w:r>
        <w:fldChar w:fldCharType="end"/>
      </w:r>
    </w:p>
    <w:p>
      <w:pPr>
        <w:pStyle w:val="TOC8"/>
        <w:rPr>
          <w:sz w:val="24"/>
          <w:szCs w:val="24"/>
        </w:rPr>
      </w:pPr>
      <w:r>
        <w:rPr>
          <w:szCs w:val="24"/>
        </w:rPr>
        <w:instrText>75E</w:instrText>
      </w:r>
      <w:r>
        <w:rPr>
          <w:snapToGrid w:val="0"/>
          <w:szCs w:val="24"/>
        </w:rPr>
        <w:instrText>.</w:instrText>
      </w:r>
      <w:r>
        <w:rPr>
          <w:snapToGrid w:val="0"/>
          <w:szCs w:val="24"/>
        </w:rPr>
        <w:tab/>
        <w:instrText>Application of this Part</w:instrText>
      </w:r>
      <w:r>
        <w:tab/>
      </w:r>
      <w:r>
        <w:fldChar w:fldCharType="begin"/>
      </w:r>
      <w:r>
        <w:instrText xml:space="preserve"> PAGEREF _Toc170193301 \h </w:instrText>
      </w:r>
      <w:r>
        <w:fldChar w:fldCharType="separate"/>
      </w:r>
      <w:r>
        <w:instrText>135</w:instrText>
      </w:r>
      <w:r>
        <w:fldChar w:fldCharType="end"/>
      </w:r>
    </w:p>
    <w:p>
      <w:pPr>
        <w:pStyle w:val="TOC8"/>
        <w:rPr>
          <w:sz w:val="24"/>
          <w:szCs w:val="24"/>
        </w:rPr>
      </w:pPr>
      <w:r>
        <w:rPr>
          <w:szCs w:val="24"/>
        </w:rPr>
        <w:instrText>75F.</w:instrText>
      </w:r>
      <w:r>
        <w:rPr>
          <w:szCs w:val="24"/>
        </w:rPr>
        <w:tab/>
        <w:instrText>Power to exempt for farming property</w:instrText>
      </w:r>
      <w:r>
        <w:tab/>
      </w:r>
      <w:r>
        <w:fldChar w:fldCharType="begin"/>
      </w:r>
      <w:r>
        <w:instrText xml:space="preserve"> PAGEREF _Toc170193302 \h </w:instrText>
      </w:r>
      <w:r>
        <w:fldChar w:fldCharType="separate"/>
      </w:r>
      <w:r>
        <w:instrText>138</w:instrText>
      </w:r>
      <w:r>
        <w:fldChar w:fldCharType="end"/>
      </w:r>
    </w:p>
    <w:p>
      <w:pPr>
        <w:pStyle w:val="TOC8"/>
        <w:rPr>
          <w:sz w:val="24"/>
          <w:szCs w:val="24"/>
        </w:rPr>
      </w:pPr>
      <w:r>
        <w:rPr>
          <w:szCs w:val="24"/>
        </w:rPr>
        <w:instrText>75G</w:instrText>
      </w:r>
      <w:r>
        <w:rPr>
          <w:snapToGrid w:val="0"/>
          <w:szCs w:val="24"/>
        </w:rPr>
        <w:instrText>.</w:instrText>
      </w:r>
      <w:r>
        <w:rPr>
          <w:snapToGrid w:val="0"/>
          <w:szCs w:val="24"/>
        </w:rPr>
        <w:tab/>
        <w:instrText>Partial exemption of duty</w:instrText>
      </w:r>
      <w:r>
        <w:tab/>
      </w:r>
      <w:r>
        <w:fldChar w:fldCharType="begin"/>
      </w:r>
      <w:r>
        <w:instrText xml:space="preserve"> PAGEREF _Toc170193303 \h </w:instrText>
      </w:r>
      <w:r>
        <w:fldChar w:fldCharType="separate"/>
      </w:r>
      <w:r>
        <w:instrText>138</w:instrText>
      </w:r>
      <w:r>
        <w:fldChar w:fldCharType="end"/>
      </w:r>
    </w:p>
    <w:p>
      <w:pPr>
        <w:pStyle w:val="TOC8"/>
        <w:rPr>
          <w:sz w:val="24"/>
          <w:szCs w:val="24"/>
        </w:rPr>
      </w:pPr>
      <w:r>
        <w:rPr>
          <w:szCs w:val="24"/>
        </w:rPr>
        <w:instrText>75H.</w:instrText>
      </w:r>
      <w:r>
        <w:rPr>
          <w:szCs w:val="24"/>
        </w:rPr>
        <w:tab/>
        <w:instrText>Application for exemption</w:instrText>
      </w:r>
      <w:r>
        <w:tab/>
      </w:r>
      <w:r>
        <w:fldChar w:fldCharType="begin"/>
      </w:r>
      <w:r>
        <w:instrText xml:space="preserve"> PAGEREF _Toc170193304 \h </w:instrText>
      </w:r>
      <w:r>
        <w:fldChar w:fldCharType="separate"/>
      </w:r>
      <w:r>
        <w:instrText>139</w:instrText>
      </w:r>
      <w:r>
        <w:fldChar w:fldCharType="end"/>
      </w:r>
    </w:p>
    <w:p>
      <w:pPr>
        <w:pStyle w:val="TOC8"/>
        <w:rPr>
          <w:sz w:val="24"/>
          <w:szCs w:val="24"/>
        </w:rPr>
      </w:pPr>
      <w:r>
        <w:rPr>
          <w:szCs w:val="24"/>
        </w:rPr>
        <w:instrText>75HA</w:instrText>
      </w:r>
      <w:r>
        <w:rPr>
          <w:snapToGrid w:val="0"/>
          <w:szCs w:val="24"/>
        </w:rPr>
        <w:instrText>.</w:instrText>
      </w:r>
      <w:r>
        <w:rPr>
          <w:snapToGrid w:val="0"/>
          <w:szCs w:val="24"/>
        </w:rPr>
        <w:tab/>
        <w:instrText>Subsequent liability for duty in certain circumstances</w:instrText>
      </w:r>
      <w:r>
        <w:tab/>
      </w:r>
      <w:r>
        <w:fldChar w:fldCharType="begin"/>
      </w:r>
      <w:r>
        <w:instrText xml:space="preserve"> PAGEREF _Toc170193305 \h </w:instrText>
      </w:r>
      <w:r>
        <w:fldChar w:fldCharType="separate"/>
      </w:r>
      <w:r>
        <w:instrText>140</w:instrText>
      </w:r>
      <w:r>
        <w:fldChar w:fldCharType="end"/>
      </w:r>
    </w:p>
    <w:p>
      <w:pPr>
        <w:pStyle w:val="TOC8"/>
        <w:rPr>
          <w:sz w:val="24"/>
          <w:szCs w:val="24"/>
        </w:rPr>
      </w:pPr>
      <w:r>
        <w:rPr>
          <w:szCs w:val="24"/>
        </w:rPr>
        <w:instrText>75I.</w:instrText>
      </w:r>
      <w:r>
        <w:rPr>
          <w:szCs w:val="24"/>
        </w:rPr>
        <w:tab/>
        <w:instrText>Part IIIBA companies</w:instrText>
      </w:r>
      <w:r>
        <w:tab/>
      </w:r>
      <w:r>
        <w:fldChar w:fldCharType="begin"/>
      </w:r>
      <w:r>
        <w:instrText xml:space="preserve"> PAGEREF _Toc170193306 \h </w:instrText>
      </w:r>
      <w:r>
        <w:fldChar w:fldCharType="separate"/>
      </w:r>
      <w:r>
        <w:instrText>143</w:instrText>
      </w:r>
      <w:r>
        <w:fldChar w:fldCharType="end"/>
      </w:r>
    </w:p>
    <w:p>
      <w:pPr>
        <w:pStyle w:val="TOC2"/>
        <w:tabs>
          <w:tab w:val="right" w:pos="7086"/>
        </w:tabs>
        <w:rPr>
          <w:b w:val="0"/>
          <w:sz w:val="24"/>
          <w:szCs w:val="24"/>
        </w:rPr>
      </w:pPr>
      <w:r>
        <w:rPr>
          <w:szCs w:val="30"/>
        </w:rPr>
        <w:instrText>Part IIIBAAA — Exemptions for corporate reconstructions</w:instrText>
      </w:r>
    </w:p>
    <w:p>
      <w:pPr>
        <w:pStyle w:val="TOC8"/>
        <w:rPr>
          <w:sz w:val="24"/>
          <w:szCs w:val="24"/>
        </w:rPr>
      </w:pPr>
      <w:r>
        <w:rPr>
          <w:szCs w:val="24"/>
        </w:rPr>
        <w:instrText>75J</w:instrText>
      </w:r>
      <w:r>
        <w:rPr>
          <w:snapToGrid w:val="0"/>
          <w:szCs w:val="24"/>
        </w:rPr>
        <w:instrText>.</w:instrText>
      </w:r>
      <w:r>
        <w:rPr>
          <w:snapToGrid w:val="0"/>
          <w:szCs w:val="24"/>
        </w:rPr>
        <w:tab/>
        <w:instrText>Interpretation in Part IIIBAAA</w:instrText>
      </w:r>
      <w:r>
        <w:tab/>
      </w:r>
      <w:r>
        <w:fldChar w:fldCharType="begin"/>
      </w:r>
      <w:r>
        <w:instrText xml:space="preserve"> PAGEREF _Toc170193308 \h </w:instrText>
      </w:r>
      <w:r>
        <w:fldChar w:fldCharType="separate"/>
      </w:r>
      <w:r>
        <w:instrText>145</w:instrText>
      </w:r>
      <w:r>
        <w:fldChar w:fldCharType="end"/>
      </w:r>
    </w:p>
    <w:p>
      <w:pPr>
        <w:pStyle w:val="TOC8"/>
        <w:rPr>
          <w:sz w:val="24"/>
          <w:szCs w:val="24"/>
        </w:rPr>
      </w:pPr>
      <w:r>
        <w:rPr>
          <w:szCs w:val="24"/>
        </w:rPr>
        <w:instrText>75JAA.</w:instrText>
      </w:r>
      <w:r>
        <w:rPr>
          <w:szCs w:val="24"/>
        </w:rPr>
        <w:tab/>
        <w:instrText>Meaning of dormant body corporate</w:instrText>
      </w:r>
      <w:r>
        <w:tab/>
      </w:r>
      <w:r>
        <w:fldChar w:fldCharType="begin"/>
      </w:r>
      <w:r>
        <w:instrText xml:space="preserve"> PAGEREF _Toc170193309 \h </w:instrText>
      </w:r>
      <w:r>
        <w:fldChar w:fldCharType="separate"/>
      </w:r>
      <w:r>
        <w:instrText>146</w:instrText>
      </w:r>
      <w:r>
        <w:fldChar w:fldCharType="end"/>
      </w:r>
    </w:p>
    <w:p>
      <w:pPr>
        <w:pStyle w:val="TOC8"/>
        <w:rPr>
          <w:sz w:val="24"/>
          <w:szCs w:val="24"/>
        </w:rPr>
      </w:pPr>
      <w:r>
        <w:rPr>
          <w:szCs w:val="24"/>
        </w:rPr>
        <w:instrText>75JA</w:instrText>
      </w:r>
      <w:r>
        <w:rPr>
          <w:snapToGrid w:val="0"/>
          <w:szCs w:val="24"/>
        </w:rPr>
        <w:instrText>.</w:instrText>
      </w:r>
      <w:r>
        <w:rPr>
          <w:snapToGrid w:val="0"/>
          <w:szCs w:val="24"/>
        </w:rPr>
        <w:tab/>
        <w:instrText>Corporate reconstructions: exemptions</w:instrText>
      </w:r>
      <w:r>
        <w:tab/>
      </w:r>
      <w:r>
        <w:fldChar w:fldCharType="begin"/>
      </w:r>
      <w:r>
        <w:instrText xml:space="preserve"> PAGEREF _Toc170193310 \h </w:instrText>
      </w:r>
      <w:r>
        <w:fldChar w:fldCharType="separate"/>
      </w:r>
      <w:r>
        <w:instrText>148</w:instrText>
      </w:r>
      <w:r>
        <w:fldChar w:fldCharType="end"/>
      </w:r>
    </w:p>
    <w:p>
      <w:pPr>
        <w:pStyle w:val="TOC8"/>
        <w:rPr>
          <w:sz w:val="24"/>
          <w:szCs w:val="24"/>
        </w:rPr>
      </w:pPr>
      <w:r>
        <w:rPr>
          <w:szCs w:val="24"/>
        </w:rPr>
        <w:instrText>75JB</w:instrText>
      </w:r>
      <w:r>
        <w:rPr>
          <w:snapToGrid w:val="0"/>
          <w:szCs w:val="24"/>
        </w:rPr>
        <w:instrText>.</w:instrText>
      </w:r>
      <w:r>
        <w:rPr>
          <w:snapToGrid w:val="0"/>
          <w:szCs w:val="24"/>
        </w:rPr>
        <w:tab/>
        <w:instrText>Corporate reorganisations: exemption from duty on conveyances between associated bodies corporate</w:instrText>
      </w:r>
      <w:r>
        <w:tab/>
      </w:r>
      <w:r>
        <w:fldChar w:fldCharType="begin"/>
      </w:r>
      <w:r>
        <w:instrText xml:space="preserve"> PAGEREF _Toc170193311 \h </w:instrText>
      </w:r>
      <w:r>
        <w:fldChar w:fldCharType="separate"/>
      </w:r>
      <w:r>
        <w:instrText>150</w:instrText>
      </w:r>
      <w:r>
        <w:fldChar w:fldCharType="end"/>
      </w:r>
    </w:p>
    <w:p>
      <w:pPr>
        <w:pStyle w:val="TOC8"/>
        <w:rPr>
          <w:sz w:val="24"/>
          <w:szCs w:val="24"/>
        </w:rPr>
      </w:pPr>
      <w:r>
        <w:rPr>
          <w:szCs w:val="24"/>
        </w:rPr>
        <w:instrText>75JBA.</w:instrText>
      </w:r>
      <w:r>
        <w:rPr>
          <w:szCs w:val="24"/>
        </w:rPr>
        <w:tab/>
        <w:instrText>Operation of claw</w:instrText>
      </w:r>
      <w:r>
        <w:rPr>
          <w:snapToGrid w:val="0"/>
          <w:szCs w:val="24"/>
        </w:rPr>
        <w:noBreakHyphen/>
      </w:r>
      <w:r>
        <w:rPr>
          <w:szCs w:val="24"/>
        </w:rPr>
        <w:instrText>back: application for pre</w:instrText>
      </w:r>
      <w:r>
        <w:rPr>
          <w:szCs w:val="24"/>
        </w:rPr>
        <w:noBreakHyphen/>
        <w:instrText>determination in certain cases</w:instrText>
      </w:r>
      <w:r>
        <w:tab/>
      </w:r>
      <w:r>
        <w:fldChar w:fldCharType="begin"/>
      </w:r>
      <w:r>
        <w:instrText xml:space="preserve"> PAGEREF _Toc170193312 \h </w:instrText>
      </w:r>
      <w:r>
        <w:fldChar w:fldCharType="separate"/>
      </w:r>
      <w:r>
        <w:instrText>159</w:instrText>
      </w:r>
      <w:r>
        <w:fldChar w:fldCharType="end"/>
      </w:r>
    </w:p>
    <w:p>
      <w:pPr>
        <w:pStyle w:val="TOC8"/>
        <w:rPr>
          <w:sz w:val="24"/>
          <w:szCs w:val="24"/>
        </w:rPr>
      </w:pPr>
      <w:r>
        <w:rPr>
          <w:szCs w:val="24"/>
        </w:rPr>
        <w:instrText>75JC</w:instrText>
      </w:r>
      <w:r>
        <w:rPr>
          <w:snapToGrid w:val="0"/>
          <w:szCs w:val="24"/>
        </w:rPr>
        <w:instrText>.</w:instrText>
      </w:r>
      <w:r>
        <w:rPr>
          <w:snapToGrid w:val="0"/>
          <w:szCs w:val="24"/>
        </w:rPr>
        <w:tab/>
        <w:instrText>Corporate reorganisations: application for pre</w:instrText>
      </w:r>
      <w:r>
        <w:rPr>
          <w:snapToGrid w:val="0"/>
          <w:szCs w:val="24"/>
        </w:rPr>
        <w:noBreakHyphen/>
        <w:instrText>determination</w:instrText>
      </w:r>
      <w:r>
        <w:tab/>
      </w:r>
      <w:r>
        <w:fldChar w:fldCharType="begin"/>
      </w:r>
      <w:r>
        <w:instrText xml:space="preserve"> PAGEREF _Toc170193313 \h </w:instrText>
      </w:r>
      <w:r>
        <w:fldChar w:fldCharType="separate"/>
      </w:r>
      <w:r>
        <w:instrText>159</w:instrText>
      </w:r>
      <w:r>
        <w:fldChar w:fldCharType="end"/>
      </w:r>
    </w:p>
    <w:p>
      <w:pPr>
        <w:pStyle w:val="TOC8"/>
        <w:rPr>
          <w:sz w:val="24"/>
          <w:szCs w:val="24"/>
        </w:rPr>
      </w:pPr>
      <w:r>
        <w:rPr>
          <w:szCs w:val="24"/>
        </w:rPr>
        <w:instrText>75JD</w:instrText>
      </w:r>
      <w:r>
        <w:rPr>
          <w:snapToGrid w:val="0"/>
          <w:szCs w:val="24"/>
        </w:rPr>
        <w:instrText>.</w:instrText>
      </w:r>
      <w:r>
        <w:rPr>
          <w:snapToGrid w:val="0"/>
          <w:szCs w:val="24"/>
        </w:rPr>
        <w:tab/>
        <w:instrText>Corporate reorganisations: application for exemption</w:instrText>
      </w:r>
      <w:r>
        <w:tab/>
      </w:r>
      <w:r>
        <w:fldChar w:fldCharType="begin"/>
      </w:r>
      <w:r>
        <w:instrText xml:space="preserve"> PAGEREF _Toc170193314 \h </w:instrText>
      </w:r>
      <w:r>
        <w:fldChar w:fldCharType="separate"/>
      </w:r>
      <w:r>
        <w:instrText>161</w:instrText>
      </w:r>
      <w:r>
        <w:fldChar w:fldCharType="end"/>
      </w:r>
    </w:p>
    <w:p>
      <w:pPr>
        <w:pStyle w:val="TOC8"/>
        <w:rPr>
          <w:sz w:val="24"/>
          <w:szCs w:val="24"/>
        </w:rPr>
      </w:pPr>
      <w:r>
        <w:rPr>
          <w:szCs w:val="24"/>
        </w:rPr>
        <w:instrText>75JDA.</w:instrText>
      </w:r>
      <w:r>
        <w:rPr>
          <w:szCs w:val="24"/>
        </w:rPr>
        <w:tab/>
        <w:instrText>Exemption may be withheld in certain cases</w:instrText>
      </w:r>
      <w:r>
        <w:tab/>
      </w:r>
      <w:r>
        <w:fldChar w:fldCharType="begin"/>
      </w:r>
      <w:r>
        <w:instrText xml:space="preserve"> PAGEREF _Toc170193315 \h </w:instrText>
      </w:r>
      <w:r>
        <w:fldChar w:fldCharType="separate"/>
      </w:r>
      <w:r>
        <w:instrText>162</w:instrText>
      </w:r>
      <w:r>
        <w:fldChar w:fldCharType="end"/>
      </w:r>
    </w:p>
    <w:p>
      <w:pPr>
        <w:pStyle w:val="TOC8"/>
        <w:rPr>
          <w:sz w:val="24"/>
          <w:szCs w:val="24"/>
        </w:rPr>
      </w:pPr>
      <w:r>
        <w:rPr>
          <w:szCs w:val="24"/>
        </w:rPr>
        <w:instrText>75JE</w:instrText>
      </w:r>
      <w:r>
        <w:rPr>
          <w:snapToGrid w:val="0"/>
          <w:szCs w:val="24"/>
        </w:rPr>
        <w:instrText>.</w:instrText>
      </w:r>
      <w:r>
        <w:rPr>
          <w:snapToGrid w:val="0"/>
          <w:szCs w:val="24"/>
        </w:rPr>
        <w:tab/>
        <w:instrText>Claw</w:instrText>
      </w:r>
      <w:r>
        <w:rPr>
          <w:snapToGrid w:val="0"/>
          <w:szCs w:val="24"/>
        </w:rPr>
        <w:noBreakHyphen/>
        <w:instrText>back (instruments)</w:instrText>
      </w:r>
      <w:r>
        <w:tab/>
      </w:r>
      <w:r>
        <w:fldChar w:fldCharType="begin"/>
      </w:r>
      <w:r>
        <w:instrText xml:space="preserve"> PAGEREF _Toc170193316 \h </w:instrText>
      </w:r>
      <w:r>
        <w:fldChar w:fldCharType="separate"/>
      </w:r>
      <w:r>
        <w:instrText>163</w:instrText>
      </w:r>
      <w:r>
        <w:fldChar w:fldCharType="end"/>
      </w:r>
    </w:p>
    <w:p>
      <w:pPr>
        <w:pStyle w:val="TOC8"/>
        <w:rPr>
          <w:sz w:val="24"/>
          <w:szCs w:val="24"/>
        </w:rPr>
      </w:pPr>
      <w:r>
        <w:rPr>
          <w:szCs w:val="24"/>
        </w:rPr>
        <w:instrText>75JF</w:instrText>
      </w:r>
      <w:r>
        <w:rPr>
          <w:snapToGrid w:val="0"/>
          <w:szCs w:val="24"/>
        </w:rPr>
        <w:instrText>.</w:instrText>
      </w:r>
      <w:r>
        <w:rPr>
          <w:snapToGrid w:val="0"/>
          <w:szCs w:val="24"/>
        </w:rPr>
        <w:tab/>
        <w:instrText>Claw</w:instrText>
      </w:r>
      <w:r>
        <w:rPr>
          <w:snapToGrid w:val="0"/>
          <w:szCs w:val="24"/>
        </w:rPr>
        <w:noBreakHyphen/>
        <w:instrText>back (Part IIIBA statements)</w:instrText>
      </w:r>
      <w:r>
        <w:tab/>
      </w:r>
      <w:r>
        <w:fldChar w:fldCharType="begin"/>
      </w:r>
      <w:r>
        <w:instrText xml:space="preserve"> PAGEREF _Toc170193317 \h </w:instrText>
      </w:r>
      <w:r>
        <w:fldChar w:fldCharType="separate"/>
      </w:r>
      <w:r>
        <w:instrText>166</w:instrText>
      </w:r>
      <w:r>
        <w:fldChar w:fldCharType="end"/>
      </w:r>
    </w:p>
    <w:p>
      <w:pPr>
        <w:pStyle w:val="TOC8"/>
        <w:rPr>
          <w:sz w:val="24"/>
          <w:szCs w:val="24"/>
        </w:rPr>
      </w:pPr>
      <w:r>
        <w:rPr>
          <w:szCs w:val="24"/>
        </w:rPr>
        <w:instrText>75JG</w:instrText>
      </w:r>
      <w:r>
        <w:rPr>
          <w:snapToGrid w:val="0"/>
          <w:szCs w:val="24"/>
        </w:rPr>
        <w:instrText>.</w:instrText>
      </w:r>
      <w:r>
        <w:rPr>
          <w:snapToGrid w:val="0"/>
          <w:szCs w:val="24"/>
        </w:rPr>
        <w:tab/>
        <w:instrText>Offences and recovery of duty etc.</w:instrText>
      </w:r>
      <w:r>
        <w:tab/>
      </w:r>
      <w:r>
        <w:fldChar w:fldCharType="begin"/>
      </w:r>
      <w:r>
        <w:instrText xml:space="preserve"> PAGEREF _Toc170193318 \h </w:instrText>
      </w:r>
      <w:r>
        <w:fldChar w:fldCharType="separate"/>
      </w:r>
      <w:r>
        <w:instrText>167</w:instrText>
      </w:r>
      <w:r>
        <w:fldChar w:fldCharType="end"/>
      </w:r>
    </w:p>
    <w:p>
      <w:pPr>
        <w:pStyle w:val="TOC2"/>
        <w:tabs>
          <w:tab w:val="right" w:pos="7086"/>
        </w:tabs>
        <w:rPr>
          <w:b w:val="0"/>
          <w:sz w:val="24"/>
          <w:szCs w:val="24"/>
        </w:rPr>
      </w:pPr>
      <w:r>
        <w:rPr>
          <w:szCs w:val="30"/>
        </w:rPr>
        <w:instrText>Part IIIBA — Duty on change of control of certain land</w:instrText>
      </w:r>
      <w:r>
        <w:rPr>
          <w:szCs w:val="30"/>
        </w:rPr>
        <w:noBreakHyphen/>
        <w:instrText>owning corporations</w:instrText>
      </w:r>
    </w:p>
    <w:p>
      <w:pPr>
        <w:pStyle w:val="TOC4"/>
        <w:tabs>
          <w:tab w:val="right" w:pos="7086"/>
        </w:tabs>
        <w:rPr>
          <w:b w:val="0"/>
          <w:sz w:val="24"/>
          <w:szCs w:val="24"/>
        </w:rPr>
      </w:pPr>
      <w:r>
        <w:rPr>
          <w:szCs w:val="26"/>
        </w:rPr>
        <w:instrText>Division 1</w:instrText>
      </w:r>
      <w:r>
        <w:rPr>
          <w:snapToGrid w:val="0"/>
          <w:szCs w:val="26"/>
        </w:rPr>
        <w:instrText> — </w:instrText>
      </w:r>
      <w:r>
        <w:rPr>
          <w:szCs w:val="26"/>
        </w:rPr>
        <w:instrText>Provisions applicable to this Part</w:instrText>
      </w:r>
    </w:p>
    <w:p>
      <w:pPr>
        <w:pStyle w:val="TOC8"/>
        <w:rPr>
          <w:sz w:val="24"/>
          <w:szCs w:val="24"/>
        </w:rPr>
      </w:pPr>
      <w:r>
        <w:rPr>
          <w:szCs w:val="24"/>
        </w:rPr>
        <w:instrText>76</w:instrText>
      </w:r>
      <w:r>
        <w:rPr>
          <w:snapToGrid w:val="0"/>
          <w:szCs w:val="24"/>
        </w:rPr>
        <w:instrText>.</w:instrText>
      </w:r>
      <w:r>
        <w:rPr>
          <w:snapToGrid w:val="0"/>
          <w:szCs w:val="24"/>
        </w:rPr>
        <w:tab/>
        <w:instrText>Interpretation in Part IIIBA</w:instrText>
      </w:r>
      <w:r>
        <w:tab/>
      </w:r>
      <w:r>
        <w:fldChar w:fldCharType="begin"/>
      </w:r>
      <w:r>
        <w:instrText xml:space="preserve"> PAGEREF _Toc170193321 \h </w:instrText>
      </w:r>
      <w:r>
        <w:fldChar w:fldCharType="separate"/>
      </w:r>
      <w:r>
        <w:instrText>169</w:instrText>
      </w:r>
      <w:r>
        <w:fldChar w:fldCharType="end"/>
      </w:r>
    </w:p>
    <w:p>
      <w:pPr>
        <w:pStyle w:val="TOC8"/>
        <w:rPr>
          <w:sz w:val="24"/>
          <w:szCs w:val="24"/>
        </w:rPr>
      </w:pPr>
      <w:r>
        <w:rPr>
          <w:szCs w:val="24"/>
        </w:rPr>
        <w:instrText>76A.</w:instrText>
      </w:r>
      <w:r>
        <w:rPr>
          <w:szCs w:val="24"/>
        </w:rPr>
        <w:tab/>
        <w:instrText>Relevant acquisitions by trustees</w:instrText>
      </w:r>
      <w:r>
        <w:tab/>
      </w:r>
      <w:r>
        <w:fldChar w:fldCharType="begin"/>
      </w:r>
      <w:r>
        <w:instrText xml:space="preserve"> PAGEREF _Toc170193322 \h </w:instrText>
      </w:r>
      <w:r>
        <w:fldChar w:fldCharType="separate"/>
      </w:r>
      <w:r>
        <w:instrText>177</w:instrText>
      </w:r>
      <w:r>
        <w:fldChar w:fldCharType="end"/>
      </w:r>
    </w:p>
    <w:p>
      <w:pPr>
        <w:pStyle w:val="TOC8"/>
        <w:rPr>
          <w:sz w:val="24"/>
          <w:szCs w:val="24"/>
        </w:rPr>
      </w:pPr>
      <w:r>
        <w:rPr>
          <w:szCs w:val="24"/>
        </w:rPr>
        <w:instrText>76AA.</w:instrText>
      </w:r>
      <w:r>
        <w:rPr>
          <w:szCs w:val="24"/>
        </w:rPr>
        <w:tab/>
        <w:instrText>Assessment in the absence of a dutiable statement</w:instrText>
      </w:r>
      <w:r>
        <w:tab/>
      </w:r>
      <w:r>
        <w:fldChar w:fldCharType="begin"/>
      </w:r>
      <w:r>
        <w:instrText xml:space="preserve"> PAGEREF _Toc170193323 \h </w:instrText>
      </w:r>
      <w:r>
        <w:fldChar w:fldCharType="separate"/>
      </w:r>
      <w:r>
        <w:instrText>178</w:instrText>
      </w:r>
      <w:r>
        <w:fldChar w:fldCharType="end"/>
      </w:r>
    </w:p>
    <w:p>
      <w:pPr>
        <w:pStyle w:val="TOC8"/>
        <w:rPr>
          <w:sz w:val="24"/>
          <w:szCs w:val="24"/>
        </w:rPr>
      </w:pPr>
      <w:r>
        <w:rPr>
          <w:szCs w:val="24"/>
        </w:rPr>
        <w:instrText>76AB.</w:instrText>
      </w:r>
      <w:r>
        <w:rPr>
          <w:szCs w:val="24"/>
        </w:rPr>
        <w:tab/>
        <w:instrText>Request that Commissioner determine whether dutiable statement is required to be lodged</w:instrText>
      </w:r>
      <w:r>
        <w:tab/>
      </w:r>
      <w:r>
        <w:fldChar w:fldCharType="begin"/>
      </w:r>
      <w:r>
        <w:instrText xml:space="preserve"> PAGEREF _Toc170193324 \h </w:instrText>
      </w:r>
      <w:r>
        <w:fldChar w:fldCharType="separate"/>
      </w:r>
      <w:r>
        <w:instrText>178</w:instrText>
      </w:r>
      <w:r>
        <w:fldChar w:fldCharType="end"/>
      </w:r>
    </w:p>
    <w:p>
      <w:pPr>
        <w:pStyle w:val="TOC4"/>
        <w:tabs>
          <w:tab w:val="right" w:pos="7086"/>
        </w:tabs>
        <w:rPr>
          <w:b w:val="0"/>
          <w:sz w:val="24"/>
          <w:szCs w:val="24"/>
        </w:rPr>
      </w:pPr>
      <w:r>
        <w:rPr>
          <w:szCs w:val="26"/>
        </w:rPr>
        <w:instrText>Division 2</w:instrText>
      </w:r>
      <w:r>
        <w:rPr>
          <w:snapToGrid w:val="0"/>
          <w:szCs w:val="26"/>
        </w:rPr>
        <w:instrText> — </w:instrText>
      </w:r>
      <w:r>
        <w:rPr>
          <w:szCs w:val="26"/>
        </w:rPr>
        <w:instrText>Companies taken to be registered in Western Australia</w:instrText>
      </w:r>
    </w:p>
    <w:p>
      <w:pPr>
        <w:pStyle w:val="TOC8"/>
        <w:rPr>
          <w:sz w:val="24"/>
          <w:szCs w:val="24"/>
        </w:rPr>
      </w:pPr>
      <w:r>
        <w:rPr>
          <w:szCs w:val="24"/>
        </w:rPr>
        <w:instrText>76AG</w:instrText>
      </w:r>
      <w:r>
        <w:rPr>
          <w:snapToGrid w:val="0"/>
          <w:szCs w:val="24"/>
        </w:rPr>
        <w:instrText>.</w:instrText>
      </w:r>
      <w:r>
        <w:rPr>
          <w:snapToGrid w:val="0"/>
          <w:szCs w:val="24"/>
        </w:rPr>
        <w:tab/>
        <w:instrText>Preparation of dutiable statement</w:instrText>
      </w:r>
      <w:r>
        <w:tab/>
      </w:r>
      <w:r>
        <w:fldChar w:fldCharType="begin"/>
      </w:r>
      <w:r>
        <w:instrText xml:space="preserve"> PAGEREF _Toc170193326 \h </w:instrText>
      </w:r>
      <w:r>
        <w:fldChar w:fldCharType="separate"/>
      </w:r>
      <w:r>
        <w:instrText>180</w:instrText>
      </w:r>
      <w:r>
        <w:fldChar w:fldCharType="end"/>
      </w:r>
    </w:p>
    <w:p>
      <w:pPr>
        <w:pStyle w:val="TOC8"/>
        <w:rPr>
          <w:sz w:val="24"/>
          <w:szCs w:val="24"/>
        </w:rPr>
      </w:pPr>
      <w:r>
        <w:rPr>
          <w:szCs w:val="24"/>
        </w:rPr>
        <w:instrText>76AH</w:instrText>
      </w:r>
      <w:r>
        <w:rPr>
          <w:snapToGrid w:val="0"/>
          <w:szCs w:val="24"/>
        </w:rPr>
        <w:instrText>.</w:instrText>
      </w:r>
      <w:r>
        <w:rPr>
          <w:snapToGrid w:val="0"/>
          <w:szCs w:val="24"/>
        </w:rPr>
        <w:tab/>
        <w:instrText>Statement chargeable with duty</w:instrText>
      </w:r>
      <w:r>
        <w:tab/>
      </w:r>
      <w:r>
        <w:fldChar w:fldCharType="begin"/>
      </w:r>
      <w:r>
        <w:instrText xml:space="preserve"> PAGEREF _Toc170193327 \h </w:instrText>
      </w:r>
      <w:r>
        <w:fldChar w:fldCharType="separate"/>
      </w:r>
      <w:r>
        <w:instrText>183</w:instrText>
      </w:r>
      <w:r>
        <w:fldChar w:fldCharType="end"/>
      </w:r>
    </w:p>
    <w:p>
      <w:pPr>
        <w:pStyle w:val="TOC8"/>
        <w:rPr>
          <w:sz w:val="24"/>
          <w:szCs w:val="24"/>
        </w:rPr>
      </w:pPr>
      <w:r>
        <w:rPr>
          <w:szCs w:val="24"/>
        </w:rPr>
        <w:instrText>76AI</w:instrText>
      </w:r>
      <w:r>
        <w:rPr>
          <w:snapToGrid w:val="0"/>
          <w:szCs w:val="24"/>
        </w:rPr>
        <w:instrText>.</w:instrText>
      </w:r>
      <w:r>
        <w:rPr>
          <w:snapToGrid w:val="0"/>
          <w:szCs w:val="24"/>
        </w:rPr>
        <w:tab/>
        <w:instrText>Companies to which this Division applies</w:instrText>
      </w:r>
      <w:r>
        <w:tab/>
      </w:r>
      <w:r>
        <w:fldChar w:fldCharType="begin"/>
      </w:r>
      <w:r>
        <w:instrText xml:space="preserve"> PAGEREF _Toc170193328 \h </w:instrText>
      </w:r>
      <w:r>
        <w:fldChar w:fldCharType="separate"/>
      </w:r>
      <w:r>
        <w:instrText>185</w:instrText>
      </w:r>
      <w:r>
        <w:fldChar w:fldCharType="end"/>
      </w:r>
    </w:p>
    <w:p>
      <w:pPr>
        <w:pStyle w:val="TOC8"/>
        <w:rPr>
          <w:sz w:val="24"/>
          <w:szCs w:val="24"/>
        </w:rPr>
      </w:pPr>
      <w:r>
        <w:rPr>
          <w:szCs w:val="24"/>
        </w:rPr>
        <w:instrText>76AJ.</w:instrText>
      </w:r>
      <w:r>
        <w:rPr>
          <w:szCs w:val="24"/>
        </w:rPr>
        <w:tab/>
        <w:instrText>Meaning of “relevant acquisition”</w:instrText>
      </w:r>
      <w:r>
        <w:tab/>
      </w:r>
      <w:r>
        <w:fldChar w:fldCharType="begin"/>
      </w:r>
      <w:r>
        <w:instrText xml:space="preserve"> PAGEREF _Toc170193329 \h </w:instrText>
      </w:r>
      <w:r>
        <w:fldChar w:fldCharType="separate"/>
      </w:r>
      <w:r>
        <w:instrText>190</w:instrText>
      </w:r>
      <w:r>
        <w:fldChar w:fldCharType="end"/>
      </w:r>
    </w:p>
    <w:p>
      <w:pPr>
        <w:pStyle w:val="TOC8"/>
        <w:rPr>
          <w:sz w:val="24"/>
          <w:szCs w:val="24"/>
        </w:rPr>
      </w:pPr>
      <w:r>
        <w:rPr>
          <w:szCs w:val="24"/>
        </w:rPr>
        <w:instrText>76AK.</w:instrText>
      </w:r>
      <w:r>
        <w:rPr>
          <w:szCs w:val="24"/>
        </w:rPr>
        <w:tab/>
        <w:instrText>Meaning of “interest”, “majority interest” or “further interest”</w:instrText>
      </w:r>
      <w:r>
        <w:tab/>
      </w:r>
      <w:r>
        <w:fldChar w:fldCharType="begin"/>
      </w:r>
      <w:r>
        <w:instrText xml:space="preserve"> PAGEREF _Toc170193330 \h </w:instrText>
      </w:r>
      <w:r>
        <w:fldChar w:fldCharType="separate"/>
      </w:r>
      <w:r>
        <w:instrText>192</w:instrText>
      </w:r>
      <w:r>
        <w:fldChar w:fldCharType="end"/>
      </w:r>
    </w:p>
    <w:p>
      <w:pPr>
        <w:pStyle w:val="TOC8"/>
        <w:rPr>
          <w:sz w:val="24"/>
          <w:szCs w:val="24"/>
        </w:rPr>
      </w:pPr>
      <w:r>
        <w:rPr>
          <w:szCs w:val="24"/>
        </w:rPr>
        <w:instrText>76AL</w:instrText>
      </w:r>
      <w:r>
        <w:rPr>
          <w:snapToGrid w:val="0"/>
          <w:szCs w:val="24"/>
        </w:rPr>
        <w:instrText>.</w:instrText>
      </w:r>
      <w:r>
        <w:rPr>
          <w:snapToGrid w:val="0"/>
          <w:szCs w:val="24"/>
        </w:rPr>
        <w:tab/>
        <w:instrText>How dutiable value is determined</w:instrText>
      </w:r>
      <w:r>
        <w:tab/>
      </w:r>
      <w:r>
        <w:fldChar w:fldCharType="begin"/>
      </w:r>
      <w:r>
        <w:instrText xml:space="preserve"> PAGEREF _Toc170193331 \h </w:instrText>
      </w:r>
      <w:r>
        <w:fldChar w:fldCharType="separate"/>
      </w:r>
      <w:r>
        <w:instrText>193</w:instrText>
      </w:r>
      <w:r>
        <w:fldChar w:fldCharType="end"/>
      </w:r>
    </w:p>
    <w:p>
      <w:pPr>
        <w:pStyle w:val="TOC8"/>
        <w:rPr>
          <w:sz w:val="24"/>
          <w:szCs w:val="24"/>
        </w:rPr>
      </w:pPr>
      <w:r>
        <w:rPr>
          <w:szCs w:val="24"/>
        </w:rPr>
        <w:instrText>76AM</w:instrText>
      </w:r>
      <w:r>
        <w:rPr>
          <w:snapToGrid w:val="0"/>
          <w:szCs w:val="24"/>
        </w:rPr>
        <w:instrText>.</w:instrText>
      </w:r>
      <w:r>
        <w:rPr>
          <w:snapToGrid w:val="0"/>
          <w:szCs w:val="24"/>
        </w:rPr>
        <w:tab/>
        <w:instrText>Liability for duty</w:instrText>
      </w:r>
      <w:r>
        <w:tab/>
      </w:r>
      <w:r>
        <w:fldChar w:fldCharType="begin"/>
      </w:r>
      <w:r>
        <w:instrText xml:space="preserve"> PAGEREF _Toc170193332 \h </w:instrText>
      </w:r>
      <w:r>
        <w:fldChar w:fldCharType="separate"/>
      </w:r>
      <w:r>
        <w:instrText>196</w:instrText>
      </w:r>
      <w:r>
        <w:fldChar w:fldCharType="end"/>
      </w:r>
    </w:p>
    <w:p>
      <w:pPr>
        <w:pStyle w:val="TOC4"/>
        <w:tabs>
          <w:tab w:val="right" w:pos="7086"/>
        </w:tabs>
        <w:rPr>
          <w:b w:val="0"/>
          <w:sz w:val="24"/>
          <w:szCs w:val="24"/>
        </w:rPr>
      </w:pPr>
      <w:r>
        <w:rPr>
          <w:szCs w:val="26"/>
        </w:rPr>
        <w:instrText>Division 3 — Corporations incorporated, or taken to be registered, outside Western Australia, and certain other companies not within Division 2</w:instrText>
      </w:r>
    </w:p>
    <w:p>
      <w:pPr>
        <w:pStyle w:val="TOC8"/>
        <w:rPr>
          <w:sz w:val="24"/>
          <w:szCs w:val="24"/>
        </w:rPr>
      </w:pPr>
      <w:r>
        <w:rPr>
          <w:szCs w:val="24"/>
        </w:rPr>
        <w:instrText>76AN</w:instrText>
      </w:r>
      <w:r>
        <w:rPr>
          <w:snapToGrid w:val="0"/>
          <w:szCs w:val="24"/>
        </w:rPr>
        <w:instrText>.</w:instrText>
      </w:r>
      <w:r>
        <w:rPr>
          <w:snapToGrid w:val="0"/>
          <w:szCs w:val="24"/>
        </w:rPr>
        <w:tab/>
        <w:instrText>Preparation of dutiable statement</w:instrText>
      </w:r>
      <w:r>
        <w:tab/>
      </w:r>
      <w:r>
        <w:fldChar w:fldCharType="begin"/>
      </w:r>
      <w:r>
        <w:instrText xml:space="preserve"> PAGEREF _Toc170193334 \h </w:instrText>
      </w:r>
      <w:r>
        <w:fldChar w:fldCharType="separate"/>
      </w:r>
      <w:r>
        <w:instrText>196</w:instrText>
      </w:r>
      <w:r>
        <w:fldChar w:fldCharType="end"/>
      </w:r>
    </w:p>
    <w:p>
      <w:pPr>
        <w:pStyle w:val="TOC8"/>
        <w:rPr>
          <w:sz w:val="24"/>
          <w:szCs w:val="24"/>
        </w:rPr>
      </w:pPr>
      <w:r>
        <w:rPr>
          <w:szCs w:val="24"/>
        </w:rPr>
        <w:instrText>76AO</w:instrText>
      </w:r>
      <w:r>
        <w:rPr>
          <w:snapToGrid w:val="0"/>
          <w:szCs w:val="24"/>
        </w:rPr>
        <w:instrText>.</w:instrText>
      </w:r>
      <w:r>
        <w:rPr>
          <w:snapToGrid w:val="0"/>
          <w:szCs w:val="24"/>
        </w:rPr>
        <w:tab/>
        <w:instrText>Statement chargeable with duty</w:instrText>
      </w:r>
      <w:r>
        <w:tab/>
      </w:r>
      <w:r>
        <w:fldChar w:fldCharType="begin"/>
      </w:r>
      <w:r>
        <w:instrText xml:space="preserve"> PAGEREF _Toc170193335 \h </w:instrText>
      </w:r>
      <w:r>
        <w:fldChar w:fldCharType="separate"/>
      </w:r>
      <w:r>
        <w:instrText>199</w:instrText>
      </w:r>
      <w:r>
        <w:fldChar w:fldCharType="end"/>
      </w:r>
    </w:p>
    <w:p>
      <w:pPr>
        <w:pStyle w:val="TOC8"/>
        <w:rPr>
          <w:sz w:val="24"/>
          <w:szCs w:val="24"/>
        </w:rPr>
      </w:pPr>
      <w:r>
        <w:rPr>
          <w:szCs w:val="24"/>
        </w:rPr>
        <w:instrText>76AP</w:instrText>
      </w:r>
      <w:r>
        <w:rPr>
          <w:snapToGrid w:val="0"/>
          <w:szCs w:val="24"/>
        </w:rPr>
        <w:instrText>.</w:instrText>
      </w:r>
      <w:r>
        <w:rPr>
          <w:snapToGrid w:val="0"/>
          <w:szCs w:val="24"/>
        </w:rPr>
        <w:tab/>
        <w:instrText>Corporations to which this Division applies</w:instrText>
      </w:r>
      <w:r>
        <w:tab/>
      </w:r>
      <w:r>
        <w:fldChar w:fldCharType="begin"/>
      </w:r>
      <w:r>
        <w:instrText xml:space="preserve"> PAGEREF _Toc170193336 \h </w:instrText>
      </w:r>
      <w:r>
        <w:fldChar w:fldCharType="separate"/>
      </w:r>
      <w:r>
        <w:instrText>201</w:instrText>
      </w:r>
      <w:r>
        <w:fldChar w:fldCharType="end"/>
      </w:r>
    </w:p>
    <w:p>
      <w:pPr>
        <w:pStyle w:val="TOC8"/>
        <w:rPr>
          <w:sz w:val="24"/>
          <w:szCs w:val="24"/>
        </w:rPr>
      </w:pPr>
      <w:r>
        <w:rPr>
          <w:szCs w:val="24"/>
        </w:rPr>
        <w:instrText>76AQ.</w:instrText>
      </w:r>
      <w:r>
        <w:rPr>
          <w:szCs w:val="24"/>
        </w:rPr>
        <w:tab/>
        <w:instrText>Meaning of “relevant acquisition”</w:instrText>
      </w:r>
      <w:r>
        <w:tab/>
      </w:r>
      <w:r>
        <w:fldChar w:fldCharType="begin"/>
      </w:r>
      <w:r>
        <w:instrText xml:space="preserve"> PAGEREF _Toc170193337 \h </w:instrText>
      </w:r>
      <w:r>
        <w:fldChar w:fldCharType="separate"/>
      </w:r>
      <w:r>
        <w:instrText>207</w:instrText>
      </w:r>
      <w:r>
        <w:fldChar w:fldCharType="end"/>
      </w:r>
    </w:p>
    <w:p>
      <w:pPr>
        <w:pStyle w:val="TOC8"/>
        <w:rPr>
          <w:sz w:val="24"/>
          <w:szCs w:val="24"/>
        </w:rPr>
      </w:pPr>
      <w:r>
        <w:rPr>
          <w:szCs w:val="24"/>
        </w:rPr>
        <w:instrText>76AR.</w:instrText>
      </w:r>
      <w:r>
        <w:rPr>
          <w:szCs w:val="24"/>
        </w:rPr>
        <w:tab/>
        <w:instrText>Meaning of “interest”, “majority interest” or “further interest”</w:instrText>
      </w:r>
      <w:r>
        <w:tab/>
      </w:r>
      <w:r>
        <w:fldChar w:fldCharType="begin"/>
      </w:r>
      <w:r>
        <w:instrText xml:space="preserve"> PAGEREF _Toc170193338 \h </w:instrText>
      </w:r>
      <w:r>
        <w:fldChar w:fldCharType="separate"/>
      </w:r>
      <w:r>
        <w:instrText>209</w:instrText>
      </w:r>
      <w:r>
        <w:fldChar w:fldCharType="end"/>
      </w:r>
    </w:p>
    <w:p>
      <w:pPr>
        <w:pStyle w:val="TOC8"/>
        <w:rPr>
          <w:sz w:val="24"/>
          <w:szCs w:val="24"/>
        </w:rPr>
      </w:pPr>
      <w:r>
        <w:rPr>
          <w:szCs w:val="24"/>
        </w:rPr>
        <w:instrText>76AS</w:instrText>
      </w:r>
      <w:r>
        <w:rPr>
          <w:snapToGrid w:val="0"/>
          <w:szCs w:val="24"/>
        </w:rPr>
        <w:instrText>.</w:instrText>
      </w:r>
      <w:r>
        <w:rPr>
          <w:snapToGrid w:val="0"/>
          <w:szCs w:val="24"/>
        </w:rPr>
        <w:tab/>
        <w:instrText>How dutiable value is determined</w:instrText>
      </w:r>
      <w:r>
        <w:tab/>
      </w:r>
      <w:r>
        <w:fldChar w:fldCharType="begin"/>
      </w:r>
      <w:r>
        <w:instrText xml:space="preserve"> PAGEREF _Toc170193339 \h </w:instrText>
      </w:r>
      <w:r>
        <w:fldChar w:fldCharType="separate"/>
      </w:r>
      <w:r>
        <w:instrText>212</w:instrText>
      </w:r>
      <w:r>
        <w:fldChar w:fldCharType="end"/>
      </w:r>
    </w:p>
    <w:p>
      <w:pPr>
        <w:pStyle w:val="TOC4"/>
        <w:tabs>
          <w:tab w:val="right" w:pos="7086"/>
        </w:tabs>
        <w:rPr>
          <w:b w:val="0"/>
          <w:sz w:val="24"/>
          <w:szCs w:val="24"/>
        </w:rPr>
      </w:pPr>
      <w:r>
        <w:rPr>
          <w:szCs w:val="26"/>
        </w:rPr>
        <w:instrText>Division 3a — Listed companies taken to be registered in Western Australia</w:instrText>
      </w:r>
    </w:p>
    <w:p>
      <w:pPr>
        <w:pStyle w:val="TOC8"/>
        <w:rPr>
          <w:sz w:val="24"/>
          <w:szCs w:val="24"/>
        </w:rPr>
      </w:pPr>
      <w:r>
        <w:rPr>
          <w:szCs w:val="24"/>
        </w:rPr>
        <w:instrText>76AT.</w:instrText>
      </w:r>
      <w:r>
        <w:rPr>
          <w:szCs w:val="24"/>
        </w:rPr>
        <w:tab/>
        <w:instrText>Preparation of dutiable statement</w:instrText>
      </w:r>
      <w:r>
        <w:tab/>
      </w:r>
      <w:r>
        <w:fldChar w:fldCharType="begin"/>
      </w:r>
      <w:r>
        <w:instrText xml:space="preserve"> PAGEREF _Toc170193341 \h </w:instrText>
      </w:r>
      <w:r>
        <w:fldChar w:fldCharType="separate"/>
      </w:r>
      <w:r>
        <w:instrText>214</w:instrText>
      </w:r>
      <w:r>
        <w:fldChar w:fldCharType="end"/>
      </w:r>
    </w:p>
    <w:p>
      <w:pPr>
        <w:pStyle w:val="TOC8"/>
        <w:rPr>
          <w:sz w:val="24"/>
          <w:szCs w:val="24"/>
        </w:rPr>
      </w:pPr>
      <w:r>
        <w:rPr>
          <w:szCs w:val="24"/>
        </w:rPr>
        <w:instrText>76ATA.</w:instrText>
      </w:r>
      <w:r>
        <w:rPr>
          <w:szCs w:val="24"/>
        </w:rPr>
        <w:tab/>
        <w:instrText>Statement chargeable with duty</w:instrText>
      </w:r>
      <w:r>
        <w:tab/>
      </w:r>
      <w:r>
        <w:fldChar w:fldCharType="begin"/>
      </w:r>
      <w:r>
        <w:instrText xml:space="preserve"> PAGEREF _Toc170193342 \h </w:instrText>
      </w:r>
      <w:r>
        <w:fldChar w:fldCharType="separate"/>
      </w:r>
      <w:r>
        <w:instrText>219</w:instrText>
      </w:r>
      <w:r>
        <w:fldChar w:fldCharType="end"/>
      </w:r>
    </w:p>
    <w:p>
      <w:pPr>
        <w:pStyle w:val="TOC8"/>
        <w:rPr>
          <w:sz w:val="24"/>
          <w:szCs w:val="24"/>
        </w:rPr>
      </w:pPr>
      <w:r>
        <w:rPr>
          <w:szCs w:val="24"/>
        </w:rPr>
        <w:instrText>76ATB.</w:instrText>
      </w:r>
      <w:r>
        <w:rPr>
          <w:szCs w:val="24"/>
        </w:rPr>
        <w:tab/>
        <w:instrText>Meaning of “listed land</w:instrText>
      </w:r>
      <w:r>
        <w:rPr>
          <w:szCs w:val="24"/>
        </w:rPr>
        <w:noBreakHyphen/>
        <w:instrText>holder WA company”</w:instrText>
      </w:r>
      <w:r>
        <w:tab/>
      </w:r>
      <w:r>
        <w:fldChar w:fldCharType="begin"/>
      </w:r>
      <w:r>
        <w:instrText xml:space="preserve"> PAGEREF _Toc170193343 \h </w:instrText>
      </w:r>
      <w:r>
        <w:fldChar w:fldCharType="separate"/>
      </w:r>
      <w:r>
        <w:instrText>221</w:instrText>
      </w:r>
      <w:r>
        <w:fldChar w:fldCharType="end"/>
      </w:r>
    </w:p>
    <w:p>
      <w:pPr>
        <w:pStyle w:val="TOC8"/>
        <w:rPr>
          <w:sz w:val="24"/>
          <w:szCs w:val="24"/>
        </w:rPr>
      </w:pPr>
      <w:r>
        <w:rPr>
          <w:szCs w:val="24"/>
        </w:rPr>
        <w:instrText>76ATC.</w:instrText>
      </w:r>
      <w:r>
        <w:rPr>
          <w:szCs w:val="24"/>
        </w:rPr>
        <w:tab/>
        <w:instrText>Meaning of “relevant acquisition”</w:instrText>
      </w:r>
      <w:r>
        <w:tab/>
      </w:r>
      <w:r>
        <w:fldChar w:fldCharType="begin"/>
      </w:r>
      <w:r>
        <w:instrText xml:space="preserve"> PAGEREF _Toc170193344 \h </w:instrText>
      </w:r>
      <w:r>
        <w:fldChar w:fldCharType="separate"/>
      </w:r>
      <w:r>
        <w:instrText>226</w:instrText>
      </w:r>
      <w:r>
        <w:fldChar w:fldCharType="end"/>
      </w:r>
    </w:p>
    <w:p>
      <w:pPr>
        <w:pStyle w:val="TOC8"/>
        <w:rPr>
          <w:sz w:val="24"/>
          <w:szCs w:val="24"/>
        </w:rPr>
      </w:pPr>
      <w:r>
        <w:rPr>
          <w:szCs w:val="24"/>
        </w:rPr>
        <w:instrText>76ATD.</w:instrText>
      </w:r>
      <w:r>
        <w:rPr>
          <w:szCs w:val="24"/>
        </w:rPr>
        <w:tab/>
        <w:instrText>Meaning of “interest”, “controlling interest” or “additional interest”</w:instrText>
      </w:r>
      <w:r>
        <w:tab/>
      </w:r>
      <w:r>
        <w:fldChar w:fldCharType="begin"/>
      </w:r>
      <w:r>
        <w:instrText xml:space="preserve"> PAGEREF _Toc170193345 \h </w:instrText>
      </w:r>
      <w:r>
        <w:fldChar w:fldCharType="separate"/>
      </w:r>
      <w:r>
        <w:instrText>227</w:instrText>
      </w:r>
      <w:r>
        <w:fldChar w:fldCharType="end"/>
      </w:r>
    </w:p>
    <w:p>
      <w:pPr>
        <w:pStyle w:val="TOC8"/>
        <w:rPr>
          <w:sz w:val="24"/>
          <w:szCs w:val="24"/>
        </w:rPr>
      </w:pPr>
      <w:r>
        <w:rPr>
          <w:szCs w:val="24"/>
        </w:rPr>
        <w:instrText>76ATE.</w:instrText>
      </w:r>
      <w:r>
        <w:rPr>
          <w:szCs w:val="24"/>
        </w:rPr>
        <w:tab/>
        <w:instrText>How dutiable value is determined</w:instrText>
      </w:r>
      <w:r>
        <w:tab/>
      </w:r>
      <w:r>
        <w:fldChar w:fldCharType="begin"/>
      </w:r>
      <w:r>
        <w:instrText xml:space="preserve"> PAGEREF _Toc170193346 \h </w:instrText>
      </w:r>
      <w:r>
        <w:fldChar w:fldCharType="separate"/>
      </w:r>
      <w:r>
        <w:instrText>228</w:instrText>
      </w:r>
      <w:r>
        <w:fldChar w:fldCharType="end"/>
      </w:r>
    </w:p>
    <w:p>
      <w:pPr>
        <w:pStyle w:val="TOC8"/>
        <w:rPr>
          <w:sz w:val="24"/>
          <w:szCs w:val="24"/>
        </w:rPr>
      </w:pPr>
      <w:r>
        <w:rPr>
          <w:szCs w:val="24"/>
        </w:rPr>
        <w:instrText>76ATF.</w:instrText>
      </w:r>
      <w:r>
        <w:rPr>
          <w:szCs w:val="24"/>
        </w:rPr>
        <w:tab/>
        <w:instrText>Liability for duty</w:instrText>
      </w:r>
      <w:r>
        <w:tab/>
      </w:r>
      <w:r>
        <w:fldChar w:fldCharType="begin"/>
      </w:r>
      <w:r>
        <w:instrText xml:space="preserve"> PAGEREF _Toc170193347 \h </w:instrText>
      </w:r>
      <w:r>
        <w:fldChar w:fldCharType="separate"/>
      </w:r>
      <w:r>
        <w:instrText>231</w:instrText>
      </w:r>
      <w:r>
        <w:fldChar w:fldCharType="end"/>
      </w:r>
    </w:p>
    <w:p>
      <w:pPr>
        <w:pStyle w:val="TOC4"/>
        <w:tabs>
          <w:tab w:val="right" w:pos="7086"/>
        </w:tabs>
        <w:rPr>
          <w:b w:val="0"/>
          <w:sz w:val="24"/>
          <w:szCs w:val="24"/>
        </w:rPr>
      </w:pPr>
      <w:r>
        <w:rPr>
          <w:szCs w:val="26"/>
        </w:rPr>
        <w:instrText>Division 3b — Listed corporations incorporated, or taken to be registered, outside Western Australia, and certain other companies not within Division 3a</w:instrText>
      </w:r>
    </w:p>
    <w:p>
      <w:pPr>
        <w:pStyle w:val="TOC8"/>
        <w:rPr>
          <w:sz w:val="24"/>
          <w:szCs w:val="24"/>
        </w:rPr>
      </w:pPr>
      <w:r>
        <w:rPr>
          <w:szCs w:val="24"/>
        </w:rPr>
        <w:instrText>76ATG.</w:instrText>
      </w:r>
      <w:r>
        <w:rPr>
          <w:szCs w:val="24"/>
        </w:rPr>
        <w:tab/>
        <w:instrText>Preparation of dutiable statement</w:instrText>
      </w:r>
      <w:r>
        <w:tab/>
      </w:r>
      <w:r>
        <w:fldChar w:fldCharType="begin"/>
      </w:r>
      <w:r>
        <w:instrText xml:space="preserve"> PAGEREF _Toc170193349 \h </w:instrText>
      </w:r>
      <w:r>
        <w:fldChar w:fldCharType="separate"/>
      </w:r>
      <w:r>
        <w:instrText>232</w:instrText>
      </w:r>
      <w:r>
        <w:fldChar w:fldCharType="end"/>
      </w:r>
    </w:p>
    <w:p>
      <w:pPr>
        <w:pStyle w:val="TOC8"/>
        <w:rPr>
          <w:sz w:val="24"/>
          <w:szCs w:val="24"/>
        </w:rPr>
      </w:pPr>
      <w:r>
        <w:rPr>
          <w:szCs w:val="24"/>
        </w:rPr>
        <w:instrText>76ATH.</w:instrText>
      </w:r>
      <w:r>
        <w:rPr>
          <w:szCs w:val="24"/>
        </w:rPr>
        <w:tab/>
        <w:instrText>Statement chargeable with duty</w:instrText>
      </w:r>
      <w:r>
        <w:tab/>
      </w:r>
      <w:r>
        <w:fldChar w:fldCharType="begin"/>
      </w:r>
      <w:r>
        <w:instrText xml:space="preserve"> PAGEREF _Toc170193350 \h </w:instrText>
      </w:r>
      <w:r>
        <w:fldChar w:fldCharType="separate"/>
      </w:r>
      <w:r>
        <w:instrText>236</w:instrText>
      </w:r>
      <w:r>
        <w:fldChar w:fldCharType="end"/>
      </w:r>
    </w:p>
    <w:p>
      <w:pPr>
        <w:pStyle w:val="TOC8"/>
        <w:rPr>
          <w:sz w:val="24"/>
          <w:szCs w:val="24"/>
        </w:rPr>
      </w:pPr>
      <w:r>
        <w:rPr>
          <w:szCs w:val="24"/>
        </w:rPr>
        <w:instrText>76ATI.</w:instrText>
      </w:r>
      <w:r>
        <w:rPr>
          <w:szCs w:val="24"/>
        </w:rPr>
        <w:tab/>
        <w:instrText>Meaning of “listed land</w:instrText>
      </w:r>
      <w:r>
        <w:rPr>
          <w:snapToGrid w:val="0"/>
          <w:szCs w:val="24"/>
        </w:rPr>
        <w:noBreakHyphen/>
      </w:r>
      <w:r>
        <w:rPr>
          <w:szCs w:val="24"/>
        </w:rPr>
        <w:instrText>holder corporation”</w:instrText>
      </w:r>
      <w:r>
        <w:tab/>
      </w:r>
      <w:r>
        <w:fldChar w:fldCharType="begin"/>
      </w:r>
      <w:r>
        <w:instrText xml:space="preserve"> PAGEREF _Toc170193351 \h </w:instrText>
      </w:r>
      <w:r>
        <w:fldChar w:fldCharType="separate"/>
      </w:r>
      <w:r>
        <w:instrText>239</w:instrText>
      </w:r>
      <w:r>
        <w:fldChar w:fldCharType="end"/>
      </w:r>
    </w:p>
    <w:p>
      <w:pPr>
        <w:pStyle w:val="TOC8"/>
        <w:rPr>
          <w:sz w:val="24"/>
          <w:szCs w:val="24"/>
        </w:rPr>
      </w:pPr>
      <w:r>
        <w:rPr>
          <w:szCs w:val="24"/>
        </w:rPr>
        <w:instrText>76ATJ.</w:instrText>
      </w:r>
      <w:r>
        <w:rPr>
          <w:szCs w:val="24"/>
        </w:rPr>
        <w:tab/>
        <w:instrText>Meaning o</w:instrText>
      </w:r>
      <w:r>
        <w:rPr>
          <w:rFonts w:ascii="Times" w:hAnsi="Times"/>
          <w:spacing w:val="40"/>
          <w:szCs w:val="24"/>
        </w:rPr>
        <w:instrText>f</w:instrText>
      </w:r>
      <w:r>
        <w:rPr>
          <w:szCs w:val="24"/>
        </w:rPr>
        <w:instrText xml:space="preserve"> “relevant acquisition”</w:instrText>
      </w:r>
      <w:r>
        <w:tab/>
      </w:r>
      <w:r>
        <w:fldChar w:fldCharType="begin"/>
      </w:r>
      <w:r>
        <w:instrText xml:space="preserve"> PAGEREF _Toc170193352 \h </w:instrText>
      </w:r>
      <w:r>
        <w:fldChar w:fldCharType="separate"/>
      </w:r>
      <w:r>
        <w:instrText>245</w:instrText>
      </w:r>
      <w:r>
        <w:fldChar w:fldCharType="end"/>
      </w:r>
    </w:p>
    <w:p>
      <w:pPr>
        <w:pStyle w:val="TOC8"/>
        <w:rPr>
          <w:sz w:val="24"/>
          <w:szCs w:val="24"/>
        </w:rPr>
      </w:pPr>
      <w:r>
        <w:rPr>
          <w:szCs w:val="24"/>
        </w:rPr>
        <w:instrText>76ATK.</w:instrText>
      </w:r>
      <w:r>
        <w:rPr>
          <w:szCs w:val="24"/>
        </w:rPr>
        <w:tab/>
        <w:instrText>Meaning of “interest”, “controlling interest” or “additional interest”</w:instrText>
      </w:r>
      <w:r>
        <w:tab/>
      </w:r>
      <w:r>
        <w:fldChar w:fldCharType="begin"/>
      </w:r>
      <w:r>
        <w:instrText xml:space="preserve"> PAGEREF _Toc170193353 \h </w:instrText>
      </w:r>
      <w:r>
        <w:fldChar w:fldCharType="separate"/>
      </w:r>
      <w:r>
        <w:instrText>245</w:instrText>
      </w:r>
      <w:r>
        <w:fldChar w:fldCharType="end"/>
      </w:r>
    </w:p>
    <w:p>
      <w:pPr>
        <w:pStyle w:val="TOC8"/>
        <w:rPr>
          <w:sz w:val="24"/>
          <w:szCs w:val="24"/>
        </w:rPr>
      </w:pPr>
      <w:r>
        <w:rPr>
          <w:szCs w:val="24"/>
        </w:rPr>
        <w:instrText>76ATL.</w:instrText>
      </w:r>
      <w:r>
        <w:rPr>
          <w:szCs w:val="24"/>
        </w:rPr>
        <w:tab/>
        <w:instrText>How dutiable value is determined</w:instrText>
      </w:r>
      <w:r>
        <w:tab/>
      </w:r>
      <w:r>
        <w:fldChar w:fldCharType="begin"/>
      </w:r>
      <w:r>
        <w:instrText xml:space="preserve"> PAGEREF _Toc170193354 \h </w:instrText>
      </w:r>
      <w:r>
        <w:fldChar w:fldCharType="separate"/>
      </w:r>
      <w:r>
        <w:instrText>248</w:instrText>
      </w:r>
      <w:r>
        <w:fldChar w:fldCharType="end"/>
      </w:r>
    </w:p>
    <w:p>
      <w:pPr>
        <w:pStyle w:val="TOC4"/>
        <w:tabs>
          <w:tab w:val="right" w:pos="7086"/>
        </w:tabs>
        <w:rPr>
          <w:b w:val="0"/>
          <w:sz w:val="24"/>
          <w:szCs w:val="24"/>
        </w:rPr>
      </w:pPr>
      <w:r>
        <w:rPr>
          <w:szCs w:val="26"/>
        </w:rPr>
        <w:instrText>Division 4 — Reassessment of liability for duty</w:instrText>
      </w:r>
    </w:p>
    <w:p>
      <w:pPr>
        <w:pStyle w:val="TOC8"/>
        <w:rPr>
          <w:sz w:val="24"/>
          <w:szCs w:val="24"/>
        </w:rPr>
      </w:pPr>
      <w:r>
        <w:rPr>
          <w:szCs w:val="24"/>
        </w:rPr>
        <w:instrText>76AU.</w:instrText>
      </w:r>
      <w:r>
        <w:rPr>
          <w:szCs w:val="24"/>
        </w:rPr>
        <w:tab/>
        <w:instrText>Reassessment where deeming provision applied</w:instrText>
      </w:r>
      <w:r>
        <w:tab/>
      </w:r>
      <w:r>
        <w:fldChar w:fldCharType="begin"/>
      </w:r>
      <w:r>
        <w:instrText xml:space="preserve"> PAGEREF _Toc170193356 \h </w:instrText>
      </w:r>
      <w:r>
        <w:fldChar w:fldCharType="separate"/>
      </w:r>
      <w:r>
        <w:instrText>251</w:instrText>
      </w:r>
      <w:r>
        <w:fldChar w:fldCharType="end"/>
      </w:r>
    </w:p>
    <w:p>
      <w:pPr>
        <w:pStyle w:val="TOC4"/>
        <w:tabs>
          <w:tab w:val="right" w:pos="7086"/>
        </w:tabs>
        <w:rPr>
          <w:b w:val="0"/>
          <w:sz w:val="24"/>
          <w:szCs w:val="24"/>
        </w:rPr>
      </w:pPr>
      <w:r>
        <w:rPr>
          <w:szCs w:val="26"/>
        </w:rPr>
        <w:instrText>Division 5 — Avoidance of duty</w:instrText>
      </w:r>
    </w:p>
    <w:p>
      <w:pPr>
        <w:pStyle w:val="TOC8"/>
        <w:rPr>
          <w:sz w:val="24"/>
          <w:szCs w:val="24"/>
        </w:rPr>
      </w:pPr>
      <w:r>
        <w:rPr>
          <w:szCs w:val="24"/>
        </w:rPr>
        <w:instrText>76AV.</w:instrText>
      </w:r>
      <w:r>
        <w:rPr>
          <w:szCs w:val="24"/>
        </w:rPr>
        <w:tab/>
        <w:instrText>Commissioner may determine that an obligation to lodge a statement has been avoided</w:instrText>
      </w:r>
      <w:r>
        <w:tab/>
      </w:r>
      <w:r>
        <w:fldChar w:fldCharType="begin"/>
      </w:r>
      <w:r>
        <w:instrText xml:space="preserve"> PAGEREF _Toc170193358 \h </w:instrText>
      </w:r>
      <w:r>
        <w:fldChar w:fldCharType="separate"/>
      </w:r>
      <w:r>
        <w:instrText>252</w:instrText>
      </w:r>
      <w:r>
        <w:fldChar w:fldCharType="end"/>
      </w:r>
    </w:p>
    <w:p>
      <w:pPr>
        <w:pStyle w:val="TOC8"/>
        <w:rPr>
          <w:sz w:val="24"/>
          <w:szCs w:val="24"/>
        </w:rPr>
      </w:pPr>
      <w:r>
        <w:rPr>
          <w:szCs w:val="24"/>
        </w:rPr>
        <w:instrText>76AW.</w:instrText>
      </w:r>
      <w:r>
        <w:rPr>
          <w:szCs w:val="24"/>
        </w:rPr>
        <w:tab/>
        <w:instrText>Liability to pay duty that has been avoided</w:instrText>
      </w:r>
      <w:r>
        <w:tab/>
      </w:r>
      <w:r>
        <w:fldChar w:fldCharType="begin"/>
      </w:r>
      <w:r>
        <w:instrText xml:space="preserve"> PAGEREF _Toc170193359 \h </w:instrText>
      </w:r>
      <w:r>
        <w:fldChar w:fldCharType="separate"/>
      </w:r>
      <w:r>
        <w:instrText>254</w:instrText>
      </w:r>
      <w:r>
        <w:fldChar w:fldCharType="end"/>
      </w:r>
    </w:p>
    <w:p>
      <w:pPr>
        <w:pStyle w:val="TOC8"/>
        <w:rPr>
          <w:sz w:val="24"/>
          <w:szCs w:val="24"/>
        </w:rPr>
      </w:pPr>
      <w:r>
        <w:rPr>
          <w:szCs w:val="24"/>
        </w:rPr>
        <w:instrText>76AX.</w:instrText>
      </w:r>
      <w:r>
        <w:rPr>
          <w:szCs w:val="24"/>
        </w:rPr>
        <w:tab/>
        <w:instrText>Reasons for determination that duty has been avoided</w:instrText>
      </w:r>
      <w:r>
        <w:tab/>
      </w:r>
      <w:r>
        <w:fldChar w:fldCharType="begin"/>
      </w:r>
      <w:r>
        <w:instrText xml:space="preserve"> PAGEREF _Toc170193360 \h </w:instrText>
      </w:r>
      <w:r>
        <w:fldChar w:fldCharType="separate"/>
      </w:r>
      <w:r>
        <w:instrText>254</w:instrText>
      </w:r>
      <w:r>
        <w:fldChar w:fldCharType="end"/>
      </w:r>
    </w:p>
    <w:p>
      <w:pPr>
        <w:pStyle w:val="TOC2"/>
        <w:tabs>
          <w:tab w:val="right" w:pos="7086"/>
        </w:tabs>
        <w:rPr>
          <w:b w:val="0"/>
          <w:sz w:val="24"/>
          <w:szCs w:val="24"/>
        </w:rPr>
      </w:pPr>
      <w:r>
        <w:rPr>
          <w:szCs w:val="30"/>
        </w:rPr>
        <w:instrText>Part IIIC — Vehicle licences</w:instrText>
      </w:r>
    </w:p>
    <w:p>
      <w:pPr>
        <w:pStyle w:val="TOC8"/>
        <w:rPr>
          <w:sz w:val="24"/>
          <w:szCs w:val="24"/>
        </w:rPr>
      </w:pPr>
      <w:r>
        <w:rPr>
          <w:szCs w:val="24"/>
        </w:rPr>
        <w:instrText>76B.</w:instrText>
      </w:r>
      <w:r>
        <w:rPr>
          <w:szCs w:val="24"/>
        </w:rPr>
        <w:tab/>
        <w:instrText>Interpretation in Part IIIC</w:instrText>
      </w:r>
      <w:r>
        <w:tab/>
      </w:r>
      <w:r>
        <w:fldChar w:fldCharType="begin"/>
      </w:r>
      <w:r>
        <w:instrText xml:space="preserve"> PAGEREF _Toc170193362 \h </w:instrText>
      </w:r>
      <w:r>
        <w:fldChar w:fldCharType="separate"/>
      </w:r>
      <w:r>
        <w:instrText>255</w:instrText>
      </w:r>
      <w:r>
        <w:fldChar w:fldCharType="end"/>
      </w:r>
    </w:p>
    <w:p>
      <w:pPr>
        <w:pStyle w:val="TOC8"/>
        <w:rPr>
          <w:sz w:val="24"/>
          <w:szCs w:val="24"/>
        </w:rPr>
      </w:pPr>
      <w:r>
        <w:rPr>
          <w:szCs w:val="24"/>
        </w:rPr>
        <w:instrText>76C.</w:instrText>
      </w:r>
      <w:r>
        <w:rPr>
          <w:szCs w:val="24"/>
        </w:rPr>
        <w:tab/>
        <w:instrText>Non</w:instrText>
      </w:r>
      <w:r>
        <w:rPr>
          <w:szCs w:val="24"/>
        </w:rPr>
        <w:noBreakHyphen/>
        <w:instrText>beneficial change of ownership</w:instrText>
      </w:r>
      <w:r>
        <w:tab/>
      </w:r>
      <w:r>
        <w:fldChar w:fldCharType="begin"/>
      </w:r>
      <w:r>
        <w:instrText xml:space="preserve"> PAGEREF _Toc170193363 \h </w:instrText>
      </w:r>
      <w:r>
        <w:fldChar w:fldCharType="separate"/>
      </w:r>
      <w:r>
        <w:instrText>258</w:instrText>
      </w:r>
      <w:r>
        <w:fldChar w:fldCharType="end"/>
      </w:r>
    </w:p>
    <w:p>
      <w:pPr>
        <w:pStyle w:val="TOC8"/>
        <w:rPr>
          <w:sz w:val="24"/>
          <w:szCs w:val="24"/>
        </w:rPr>
      </w:pPr>
      <w:r>
        <w:rPr>
          <w:szCs w:val="24"/>
        </w:rPr>
        <w:instrText>76D.</w:instrText>
      </w:r>
      <w:r>
        <w:rPr>
          <w:szCs w:val="24"/>
        </w:rPr>
        <w:tab/>
        <w:instrText>Duty on the grant or transfer of a vehicle licence</w:instrText>
      </w:r>
      <w:r>
        <w:tab/>
      </w:r>
      <w:r>
        <w:fldChar w:fldCharType="begin"/>
      </w:r>
      <w:r>
        <w:instrText xml:space="preserve"> PAGEREF _Toc170193364 \h </w:instrText>
      </w:r>
      <w:r>
        <w:fldChar w:fldCharType="separate"/>
      </w:r>
      <w:r>
        <w:instrText>261</w:instrText>
      </w:r>
      <w:r>
        <w:fldChar w:fldCharType="end"/>
      </w:r>
    </w:p>
    <w:p>
      <w:pPr>
        <w:pStyle w:val="TOC8"/>
        <w:rPr>
          <w:sz w:val="24"/>
          <w:szCs w:val="24"/>
        </w:rPr>
      </w:pPr>
      <w:r>
        <w:rPr>
          <w:szCs w:val="24"/>
        </w:rPr>
        <w:instrText>76E.</w:instrText>
      </w:r>
      <w:r>
        <w:rPr>
          <w:szCs w:val="24"/>
        </w:rPr>
        <w:tab/>
        <w:instrText>Determination of value and assessment of duty</w:instrText>
      </w:r>
      <w:r>
        <w:tab/>
      </w:r>
      <w:r>
        <w:fldChar w:fldCharType="begin"/>
      </w:r>
      <w:r>
        <w:instrText xml:space="preserve"> PAGEREF _Toc170193365 \h </w:instrText>
      </w:r>
      <w:r>
        <w:fldChar w:fldCharType="separate"/>
      </w:r>
      <w:r>
        <w:instrText>264</w:instrText>
      </w:r>
      <w:r>
        <w:fldChar w:fldCharType="end"/>
      </w:r>
    </w:p>
    <w:p>
      <w:pPr>
        <w:pStyle w:val="TOC8"/>
        <w:rPr>
          <w:sz w:val="24"/>
          <w:szCs w:val="24"/>
        </w:rPr>
      </w:pPr>
      <w:r>
        <w:rPr>
          <w:szCs w:val="24"/>
        </w:rPr>
        <w:instrText>76F.</w:instrText>
      </w:r>
      <w:r>
        <w:rPr>
          <w:szCs w:val="24"/>
        </w:rPr>
        <w:tab/>
        <w:instrText>Payment of duty</w:instrText>
      </w:r>
      <w:r>
        <w:tab/>
      </w:r>
      <w:r>
        <w:fldChar w:fldCharType="begin"/>
      </w:r>
      <w:r>
        <w:instrText xml:space="preserve"> PAGEREF _Toc170193366 \h </w:instrText>
      </w:r>
      <w:r>
        <w:fldChar w:fldCharType="separate"/>
      </w:r>
      <w:r>
        <w:instrText>264</w:instrText>
      </w:r>
      <w:r>
        <w:fldChar w:fldCharType="end"/>
      </w:r>
    </w:p>
    <w:p>
      <w:pPr>
        <w:pStyle w:val="TOC8"/>
        <w:rPr>
          <w:sz w:val="24"/>
          <w:szCs w:val="24"/>
        </w:rPr>
      </w:pPr>
      <w:r>
        <w:rPr>
          <w:szCs w:val="24"/>
        </w:rPr>
        <w:instrText>76G.</w:instrText>
      </w:r>
      <w:r>
        <w:rPr>
          <w:szCs w:val="24"/>
        </w:rPr>
        <w:tab/>
        <w:instrText>Applicant’s statement of value in application</w:instrText>
      </w:r>
      <w:r>
        <w:tab/>
      </w:r>
      <w:r>
        <w:fldChar w:fldCharType="begin"/>
      </w:r>
      <w:r>
        <w:instrText xml:space="preserve"> PAGEREF _Toc170193367 \h </w:instrText>
      </w:r>
      <w:r>
        <w:fldChar w:fldCharType="separate"/>
      </w:r>
      <w:r>
        <w:instrText>265</w:instrText>
      </w:r>
      <w:r>
        <w:fldChar w:fldCharType="end"/>
      </w:r>
    </w:p>
    <w:p>
      <w:pPr>
        <w:pStyle w:val="TOC8"/>
        <w:rPr>
          <w:sz w:val="24"/>
          <w:szCs w:val="24"/>
        </w:rPr>
      </w:pPr>
      <w:r>
        <w:rPr>
          <w:szCs w:val="24"/>
        </w:rPr>
        <w:instrText>76H.</w:instrText>
      </w:r>
      <w:r>
        <w:rPr>
          <w:szCs w:val="24"/>
        </w:rPr>
        <w:tab/>
        <w:instrText>Seller’s obligation to notify purchase price</w:instrText>
      </w:r>
      <w:r>
        <w:tab/>
      </w:r>
      <w:r>
        <w:fldChar w:fldCharType="begin"/>
      </w:r>
      <w:r>
        <w:instrText xml:space="preserve"> PAGEREF _Toc170193368 \h </w:instrText>
      </w:r>
      <w:r>
        <w:fldChar w:fldCharType="separate"/>
      </w:r>
      <w:r>
        <w:instrText>265</w:instrText>
      </w:r>
      <w:r>
        <w:fldChar w:fldCharType="end"/>
      </w:r>
    </w:p>
    <w:p>
      <w:pPr>
        <w:pStyle w:val="TOC8"/>
        <w:rPr>
          <w:sz w:val="24"/>
          <w:szCs w:val="24"/>
        </w:rPr>
      </w:pPr>
      <w:r>
        <w:rPr>
          <w:szCs w:val="24"/>
        </w:rPr>
        <w:instrText>76I.</w:instrText>
      </w:r>
      <w:r>
        <w:rPr>
          <w:szCs w:val="24"/>
        </w:rPr>
        <w:tab/>
        <w:instrText>Use of dealer registered vehicle for other purposes</w:instrText>
      </w:r>
      <w:r>
        <w:tab/>
      </w:r>
      <w:r>
        <w:fldChar w:fldCharType="begin"/>
      </w:r>
      <w:r>
        <w:instrText xml:space="preserve"> PAGEREF _Toc170193369 \h </w:instrText>
      </w:r>
      <w:r>
        <w:fldChar w:fldCharType="separate"/>
      </w:r>
      <w:r>
        <w:instrText>266</w:instrText>
      </w:r>
      <w:r>
        <w:fldChar w:fldCharType="end"/>
      </w:r>
    </w:p>
    <w:p>
      <w:pPr>
        <w:pStyle w:val="TOC8"/>
        <w:rPr>
          <w:sz w:val="24"/>
          <w:szCs w:val="24"/>
        </w:rPr>
      </w:pPr>
      <w:r>
        <w:rPr>
          <w:szCs w:val="24"/>
        </w:rPr>
        <w:instrText>76J.</w:instrText>
      </w:r>
      <w:r>
        <w:rPr>
          <w:szCs w:val="24"/>
        </w:rPr>
        <w:tab/>
        <w:instrText>Use of specialised equipment on another vehicle</w:instrText>
      </w:r>
      <w:r>
        <w:tab/>
      </w:r>
      <w:r>
        <w:fldChar w:fldCharType="begin"/>
      </w:r>
      <w:r>
        <w:instrText xml:space="preserve"> PAGEREF _Toc170193370 \h </w:instrText>
      </w:r>
      <w:r>
        <w:fldChar w:fldCharType="separate"/>
      </w:r>
      <w:r>
        <w:instrText>267</w:instrText>
      </w:r>
      <w:r>
        <w:fldChar w:fldCharType="end"/>
      </w:r>
    </w:p>
    <w:p>
      <w:pPr>
        <w:pStyle w:val="TOC8"/>
        <w:rPr>
          <w:sz w:val="24"/>
          <w:szCs w:val="24"/>
        </w:rPr>
      </w:pPr>
      <w:r>
        <w:rPr>
          <w:szCs w:val="24"/>
        </w:rPr>
        <w:instrText>76K.</w:instrText>
      </w:r>
      <w:r>
        <w:rPr>
          <w:szCs w:val="24"/>
        </w:rPr>
        <w:tab/>
        <w:instrText>Failure to apply for transfer of licence</w:instrText>
      </w:r>
      <w:r>
        <w:tab/>
      </w:r>
      <w:r>
        <w:fldChar w:fldCharType="begin"/>
      </w:r>
      <w:r>
        <w:instrText xml:space="preserve"> PAGEREF _Toc170193371 \h </w:instrText>
      </w:r>
      <w:r>
        <w:fldChar w:fldCharType="separate"/>
      </w:r>
      <w:r>
        <w:instrText>268</w:instrText>
      </w:r>
      <w:r>
        <w:fldChar w:fldCharType="end"/>
      </w:r>
    </w:p>
    <w:p>
      <w:pPr>
        <w:pStyle w:val="TOC8"/>
        <w:rPr>
          <w:sz w:val="24"/>
          <w:szCs w:val="24"/>
        </w:rPr>
      </w:pPr>
      <w:r>
        <w:rPr>
          <w:szCs w:val="24"/>
        </w:rPr>
        <w:instrText>76L.</w:instrText>
      </w:r>
      <w:r>
        <w:rPr>
          <w:szCs w:val="24"/>
        </w:rPr>
        <w:tab/>
        <w:instrText>Powers of Director General and Commissioner</w:instrText>
      </w:r>
      <w:r>
        <w:tab/>
      </w:r>
      <w:r>
        <w:fldChar w:fldCharType="begin"/>
      </w:r>
      <w:r>
        <w:instrText xml:space="preserve"> PAGEREF _Toc170193372 \h </w:instrText>
      </w:r>
      <w:r>
        <w:fldChar w:fldCharType="separate"/>
      </w:r>
      <w:r>
        <w:instrText>268</w:instrText>
      </w:r>
      <w:r>
        <w:fldChar w:fldCharType="end"/>
      </w:r>
    </w:p>
    <w:p>
      <w:pPr>
        <w:pStyle w:val="TOC8"/>
        <w:rPr>
          <w:sz w:val="24"/>
          <w:szCs w:val="24"/>
        </w:rPr>
      </w:pPr>
      <w:r>
        <w:rPr>
          <w:szCs w:val="24"/>
        </w:rPr>
        <w:instrText>76M.</w:instrText>
      </w:r>
      <w:r>
        <w:rPr>
          <w:szCs w:val="24"/>
        </w:rPr>
        <w:tab/>
        <w:instrText>Duty to be remitted to Commissioner</w:instrText>
      </w:r>
      <w:r>
        <w:tab/>
      </w:r>
      <w:r>
        <w:fldChar w:fldCharType="begin"/>
      </w:r>
      <w:r>
        <w:instrText xml:space="preserve"> PAGEREF _Toc170193373 \h </w:instrText>
      </w:r>
      <w:r>
        <w:fldChar w:fldCharType="separate"/>
      </w:r>
      <w:r>
        <w:instrText>269</w:instrText>
      </w:r>
      <w:r>
        <w:fldChar w:fldCharType="end"/>
      </w:r>
    </w:p>
    <w:p>
      <w:pPr>
        <w:pStyle w:val="TOC8"/>
        <w:rPr>
          <w:sz w:val="24"/>
          <w:szCs w:val="24"/>
        </w:rPr>
      </w:pPr>
      <w:r>
        <w:rPr>
          <w:szCs w:val="24"/>
        </w:rPr>
        <w:instrText>76N.</w:instrText>
      </w:r>
      <w:r>
        <w:rPr>
          <w:szCs w:val="24"/>
        </w:rPr>
        <w:tab/>
        <w:instrText>Records</w:instrText>
      </w:r>
      <w:r>
        <w:tab/>
      </w:r>
      <w:r>
        <w:fldChar w:fldCharType="begin"/>
      </w:r>
      <w:r>
        <w:instrText xml:space="preserve"> PAGEREF _Toc170193374 \h </w:instrText>
      </w:r>
      <w:r>
        <w:fldChar w:fldCharType="separate"/>
      </w:r>
      <w:r>
        <w:instrText>269</w:instrText>
      </w:r>
      <w:r>
        <w:fldChar w:fldCharType="end"/>
      </w:r>
    </w:p>
    <w:p>
      <w:pPr>
        <w:pStyle w:val="TOC2"/>
        <w:tabs>
          <w:tab w:val="right" w:pos="7086"/>
        </w:tabs>
        <w:rPr>
          <w:b w:val="0"/>
          <w:sz w:val="24"/>
          <w:szCs w:val="24"/>
        </w:rPr>
      </w:pPr>
      <w:r>
        <w:rPr>
          <w:szCs w:val="30"/>
        </w:rPr>
        <w:instrText>Part IIID — Leases</w:instrText>
      </w:r>
    </w:p>
    <w:p>
      <w:pPr>
        <w:pStyle w:val="TOC8"/>
        <w:rPr>
          <w:sz w:val="24"/>
          <w:szCs w:val="24"/>
        </w:rPr>
      </w:pPr>
      <w:r>
        <w:rPr>
          <w:szCs w:val="24"/>
        </w:rPr>
        <w:instrText>77</w:instrText>
      </w:r>
      <w:r>
        <w:rPr>
          <w:snapToGrid w:val="0"/>
          <w:szCs w:val="24"/>
        </w:rPr>
        <w:instrText>.</w:instrText>
      </w:r>
      <w:r>
        <w:rPr>
          <w:snapToGrid w:val="0"/>
          <w:szCs w:val="24"/>
        </w:rPr>
        <w:tab/>
        <w:instrText>Agreement for any lease to be charged as a lease</w:instrText>
      </w:r>
      <w:r>
        <w:tab/>
      </w:r>
      <w:r>
        <w:fldChar w:fldCharType="begin"/>
      </w:r>
      <w:r>
        <w:instrText xml:space="preserve"> PAGEREF _Toc170193376 \h </w:instrText>
      </w:r>
      <w:r>
        <w:fldChar w:fldCharType="separate"/>
      </w:r>
      <w:r>
        <w:instrText>270</w:instrText>
      </w:r>
      <w:r>
        <w:fldChar w:fldCharType="end"/>
      </w:r>
    </w:p>
    <w:p>
      <w:pPr>
        <w:pStyle w:val="TOC8"/>
        <w:rPr>
          <w:sz w:val="24"/>
          <w:szCs w:val="24"/>
        </w:rPr>
      </w:pPr>
      <w:r>
        <w:rPr>
          <w:szCs w:val="24"/>
        </w:rPr>
        <w:instrText>77A.</w:instrText>
      </w:r>
      <w:r>
        <w:rPr>
          <w:szCs w:val="24"/>
        </w:rPr>
        <w:tab/>
        <w:instrText>Offer to lease</w:instrText>
      </w:r>
      <w:r>
        <w:tab/>
      </w:r>
      <w:r>
        <w:fldChar w:fldCharType="begin"/>
      </w:r>
      <w:r>
        <w:instrText xml:space="preserve"> PAGEREF _Toc170193377 \h </w:instrText>
      </w:r>
      <w:r>
        <w:fldChar w:fldCharType="separate"/>
      </w:r>
      <w:r>
        <w:instrText>270</w:instrText>
      </w:r>
      <w:r>
        <w:fldChar w:fldCharType="end"/>
      </w:r>
    </w:p>
    <w:p>
      <w:pPr>
        <w:pStyle w:val="TOC8"/>
        <w:rPr>
          <w:sz w:val="24"/>
          <w:szCs w:val="24"/>
        </w:rPr>
      </w:pPr>
      <w:r>
        <w:rPr>
          <w:szCs w:val="24"/>
        </w:rPr>
        <w:instrText>78</w:instrText>
      </w:r>
      <w:r>
        <w:rPr>
          <w:snapToGrid w:val="0"/>
          <w:szCs w:val="24"/>
        </w:rPr>
        <w:instrText>.</w:instrText>
      </w:r>
      <w:r>
        <w:rPr>
          <w:snapToGrid w:val="0"/>
          <w:szCs w:val="24"/>
        </w:rPr>
        <w:tab/>
        <w:instrText>Leases: how to be charged in respect of produce, etc.</w:instrText>
      </w:r>
      <w:r>
        <w:tab/>
      </w:r>
      <w:r>
        <w:fldChar w:fldCharType="begin"/>
      </w:r>
      <w:r>
        <w:instrText xml:space="preserve"> PAGEREF _Toc170193378 \h </w:instrText>
      </w:r>
      <w:r>
        <w:fldChar w:fldCharType="separate"/>
      </w:r>
      <w:r>
        <w:instrText>272</w:instrText>
      </w:r>
      <w:r>
        <w:fldChar w:fldCharType="end"/>
      </w:r>
    </w:p>
    <w:p>
      <w:pPr>
        <w:pStyle w:val="TOC8"/>
        <w:rPr>
          <w:sz w:val="24"/>
          <w:szCs w:val="24"/>
        </w:rPr>
      </w:pPr>
      <w:r>
        <w:rPr>
          <w:szCs w:val="24"/>
        </w:rPr>
        <w:instrText>79</w:instrText>
      </w:r>
      <w:r>
        <w:rPr>
          <w:snapToGrid w:val="0"/>
          <w:szCs w:val="24"/>
        </w:rPr>
        <w:instrText>.</w:instrText>
      </w:r>
      <w:r>
        <w:rPr>
          <w:snapToGrid w:val="0"/>
          <w:szCs w:val="24"/>
        </w:rPr>
        <w:tab/>
        <w:instrText>Directions as to duty in certain cases</w:instrText>
      </w:r>
      <w:r>
        <w:tab/>
      </w:r>
      <w:r>
        <w:fldChar w:fldCharType="begin"/>
      </w:r>
      <w:r>
        <w:instrText xml:space="preserve"> PAGEREF _Toc170193379 \h </w:instrText>
      </w:r>
      <w:r>
        <w:fldChar w:fldCharType="separate"/>
      </w:r>
      <w:r>
        <w:instrText>273</w:instrText>
      </w:r>
      <w:r>
        <w:fldChar w:fldCharType="end"/>
      </w:r>
    </w:p>
    <w:p>
      <w:pPr>
        <w:pStyle w:val="TOC8"/>
        <w:rPr>
          <w:sz w:val="24"/>
          <w:szCs w:val="24"/>
        </w:rPr>
      </w:pPr>
      <w:r>
        <w:rPr>
          <w:szCs w:val="24"/>
        </w:rPr>
        <w:instrText>80A</w:instrText>
      </w:r>
      <w:r>
        <w:rPr>
          <w:snapToGrid w:val="0"/>
          <w:szCs w:val="24"/>
        </w:rPr>
        <w:instrText>.</w:instrText>
      </w:r>
      <w:r>
        <w:rPr>
          <w:snapToGrid w:val="0"/>
          <w:szCs w:val="24"/>
        </w:rPr>
        <w:tab/>
        <w:instrText>Power to exempt instruments made for charitable or similar purposes</w:instrText>
      </w:r>
      <w:r>
        <w:tab/>
      </w:r>
      <w:r>
        <w:fldChar w:fldCharType="begin"/>
      </w:r>
      <w:r>
        <w:instrText xml:space="preserve"> PAGEREF _Toc170193380 \h </w:instrText>
      </w:r>
      <w:r>
        <w:fldChar w:fldCharType="separate"/>
      </w:r>
      <w:r>
        <w:instrText>274</w:instrText>
      </w:r>
      <w:r>
        <w:fldChar w:fldCharType="end"/>
      </w:r>
    </w:p>
    <w:p>
      <w:pPr>
        <w:pStyle w:val="TOC2"/>
        <w:tabs>
          <w:tab w:val="right" w:pos="7086"/>
        </w:tabs>
        <w:rPr>
          <w:b w:val="0"/>
          <w:sz w:val="24"/>
          <w:szCs w:val="24"/>
        </w:rPr>
      </w:pPr>
      <w:r>
        <w:rPr>
          <w:szCs w:val="30"/>
        </w:rPr>
        <w:instrText>Part IIIE</w:instrText>
      </w:r>
      <w:r>
        <w:rPr>
          <w:b w:val="0"/>
          <w:szCs w:val="30"/>
        </w:rPr>
        <w:instrText> </w:instrText>
      </w:r>
      <w:r>
        <w:rPr>
          <w:szCs w:val="30"/>
        </w:rPr>
        <w:instrText>—</w:instrText>
      </w:r>
      <w:r>
        <w:rPr>
          <w:b w:val="0"/>
          <w:szCs w:val="30"/>
        </w:rPr>
        <w:instrText> </w:instrText>
      </w:r>
      <w:r>
        <w:rPr>
          <w:szCs w:val="30"/>
        </w:rPr>
        <w:instrText>Mortgage duty</w:instrText>
      </w:r>
    </w:p>
    <w:p>
      <w:pPr>
        <w:pStyle w:val="TOC4"/>
        <w:tabs>
          <w:tab w:val="right" w:pos="7086"/>
        </w:tabs>
        <w:rPr>
          <w:b w:val="0"/>
          <w:sz w:val="24"/>
          <w:szCs w:val="24"/>
        </w:rPr>
      </w:pPr>
      <w:r>
        <w:rPr>
          <w:szCs w:val="26"/>
        </w:rPr>
        <w:instrText>Division 1 — Interpretation for this Part</w:instrText>
      </w:r>
    </w:p>
    <w:p>
      <w:pPr>
        <w:pStyle w:val="TOC8"/>
        <w:rPr>
          <w:sz w:val="24"/>
          <w:szCs w:val="24"/>
        </w:rPr>
      </w:pPr>
      <w:r>
        <w:rPr>
          <w:szCs w:val="24"/>
        </w:rPr>
        <w:instrText>81.</w:instrText>
      </w:r>
      <w:r>
        <w:rPr>
          <w:szCs w:val="24"/>
        </w:rPr>
        <w:tab/>
        <w:instrText>Definitions</w:instrText>
      </w:r>
      <w:r>
        <w:tab/>
      </w:r>
      <w:r>
        <w:fldChar w:fldCharType="begin"/>
      </w:r>
      <w:r>
        <w:instrText xml:space="preserve"> PAGEREF _Toc170193383 \h </w:instrText>
      </w:r>
      <w:r>
        <w:fldChar w:fldCharType="separate"/>
      </w:r>
      <w:r>
        <w:instrText>275</w:instrText>
      </w:r>
      <w:r>
        <w:fldChar w:fldCharType="end"/>
      </w:r>
    </w:p>
    <w:p>
      <w:pPr>
        <w:pStyle w:val="TOC8"/>
        <w:rPr>
          <w:sz w:val="24"/>
          <w:szCs w:val="24"/>
        </w:rPr>
      </w:pPr>
      <w:r>
        <w:rPr>
          <w:szCs w:val="24"/>
        </w:rPr>
        <w:instrText>82.</w:instrText>
      </w:r>
      <w:r>
        <w:rPr>
          <w:szCs w:val="24"/>
        </w:rPr>
        <w:tab/>
        <w:instrText>Mortgages</w:instrText>
      </w:r>
      <w:r>
        <w:tab/>
      </w:r>
      <w:r>
        <w:fldChar w:fldCharType="begin"/>
      </w:r>
      <w:r>
        <w:instrText xml:space="preserve"> PAGEREF _Toc170193384 \h </w:instrText>
      </w:r>
      <w:r>
        <w:fldChar w:fldCharType="separate"/>
      </w:r>
      <w:r>
        <w:instrText>276</w:instrText>
      </w:r>
      <w:r>
        <w:fldChar w:fldCharType="end"/>
      </w:r>
    </w:p>
    <w:p>
      <w:pPr>
        <w:pStyle w:val="TOC8"/>
        <w:rPr>
          <w:sz w:val="24"/>
          <w:szCs w:val="24"/>
        </w:rPr>
      </w:pPr>
      <w:r>
        <w:rPr>
          <w:szCs w:val="24"/>
        </w:rPr>
        <w:instrText>83.</w:instrText>
      </w:r>
      <w:r>
        <w:rPr>
          <w:szCs w:val="24"/>
        </w:rPr>
        <w:tab/>
        <w:instrText>Advances</w:instrText>
      </w:r>
      <w:r>
        <w:tab/>
      </w:r>
      <w:r>
        <w:fldChar w:fldCharType="begin"/>
      </w:r>
      <w:r>
        <w:instrText xml:space="preserve"> PAGEREF _Toc170193385 \h </w:instrText>
      </w:r>
      <w:r>
        <w:fldChar w:fldCharType="separate"/>
      </w:r>
      <w:r>
        <w:instrText>277</w:instrText>
      </w:r>
      <w:r>
        <w:fldChar w:fldCharType="end"/>
      </w:r>
    </w:p>
    <w:p>
      <w:pPr>
        <w:pStyle w:val="TOC8"/>
        <w:rPr>
          <w:sz w:val="24"/>
          <w:szCs w:val="24"/>
        </w:rPr>
      </w:pPr>
      <w:r>
        <w:rPr>
          <w:szCs w:val="24"/>
        </w:rPr>
        <w:instrText>84.</w:instrText>
      </w:r>
      <w:r>
        <w:rPr>
          <w:szCs w:val="24"/>
        </w:rPr>
        <w:tab/>
        <w:instrText>Loans</w:instrText>
      </w:r>
      <w:r>
        <w:tab/>
      </w:r>
      <w:r>
        <w:fldChar w:fldCharType="begin"/>
      </w:r>
      <w:r>
        <w:instrText xml:space="preserve"> PAGEREF _Toc170193386 \h </w:instrText>
      </w:r>
      <w:r>
        <w:fldChar w:fldCharType="separate"/>
      </w:r>
      <w:r>
        <w:instrText>277</w:instrText>
      </w:r>
      <w:r>
        <w:fldChar w:fldCharType="end"/>
      </w:r>
    </w:p>
    <w:p>
      <w:pPr>
        <w:pStyle w:val="TOC8"/>
        <w:rPr>
          <w:sz w:val="24"/>
          <w:szCs w:val="24"/>
        </w:rPr>
      </w:pPr>
      <w:r>
        <w:rPr>
          <w:szCs w:val="24"/>
        </w:rPr>
        <w:instrText>85.</w:instrText>
      </w:r>
      <w:r>
        <w:rPr>
          <w:szCs w:val="24"/>
        </w:rPr>
        <w:tab/>
        <w:instrText>Home mortgages</w:instrText>
      </w:r>
      <w:r>
        <w:tab/>
      </w:r>
      <w:r>
        <w:fldChar w:fldCharType="begin"/>
      </w:r>
      <w:r>
        <w:instrText xml:space="preserve"> PAGEREF _Toc170193387 \h </w:instrText>
      </w:r>
      <w:r>
        <w:fldChar w:fldCharType="separate"/>
      </w:r>
      <w:r>
        <w:instrText>278</w:instrText>
      </w:r>
      <w:r>
        <w:fldChar w:fldCharType="end"/>
      </w:r>
    </w:p>
    <w:p>
      <w:pPr>
        <w:pStyle w:val="TOC4"/>
        <w:tabs>
          <w:tab w:val="right" w:pos="7086"/>
        </w:tabs>
        <w:rPr>
          <w:b w:val="0"/>
          <w:sz w:val="24"/>
          <w:szCs w:val="24"/>
        </w:rPr>
      </w:pPr>
      <w:r>
        <w:rPr>
          <w:szCs w:val="26"/>
        </w:rPr>
        <w:instrText>Division 2</w:instrText>
      </w:r>
      <w:r>
        <w:rPr>
          <w:sz w:val="24"/>
          <w:szCs w:val="26"/>
        </w:rPr>
        <w:instrText> — </w:instrText>
      </w:r>
      <w:r>
        <w:rPr>
          <w:szCs w:val="26"/>
        </w:rPr>
        <w:instrText>Liability for mortgage duty</w:instrText>
      </w:r>
    </w:p>
    <w:p>
      <w:pPr>
        <w:pStyle w:val="TOC8"/>
        <w:rPr>
          <w:sz w:val="24"/>
          <w:szCs w:val="24"/>
        </w:rPr>
      </w:pPr>
      <w:r>
        <w:rPr>
          <w:szCs w:val="24"/>
        </w:rPr>
        <w:instrText>86.</w:instrText>
      </w:r>
      <w:r>
        <w:rPr>
          <w:szCs w:val="24"/>
        </w:rPr>
        <w:tab/>
        <w:instrText>Assessing mortgage duty</w:instrText>
      </w:r>
      <w:r>
        <w:tab/>
      </w:r>
      <w:r>
        <w:fldChar w:fldCharType="begin"/>
      </w:r>
      <w:r>
        <w:instrText xml:space="preserve"> PAGEREF _Toc170193389 \h </w:instrText>
      </w:r>
      <w:r>
        <w:fldChar w:fldCharType="separate"/>
      </w:r>
      <w:r>
        <w:instrText>279</w:instrText>
      </w:r>
      <w:r>
        <w:fldChar w:fldCharType="end"/>
      </w:r>
    </w:p>
    <w:p>
      <w:pPr>
        <w:pStyle w:val="TOC8"/>
        <w:rPr>
          <w:sz w:val="24"/>
          <w:szCs w:val="24"/>
        </w:rPr>
      </w:pPr>
      <w:r>
        <w:rPr>
          <w:szCs w:val="24"/>
        </w:rPr>
        <w:instrText>86A.</w:instrText>
      </w:r>
      <w:r>
        <w:rPr>
          <w:szCs w:val="24"/>
        </w:rPr>
        <w:tab/>
        <w:instrText>Exemption — refinancing home loans</w:instrText>
      </w:r>
      <w:r>
        <w:tab/>
      </w:r>
      <w:r>
        <w:fldChar w:fldCharType="begin"/>
      </w:r>
      <w:r>
        <w:instrText xml:space="preserve"> PAGEREF _Toc170193390 \h </w:instrText>
      </w:r>
      <w:r>
        <w:fldChar w:fldCharType="separate"/>
      </w:r>
      <w:r>
        <w:instrText>279</w:instrText>
      </w:r>
      <w:r>
        <w:fldChar w:fldCharType="end"/>
      </w:r>
    </w:p>
    <w:p>
      <w:pPr>
        <w:pStyle w:val="TOC8"/>
        <w:rPr>
          <w:sz w:val="24"/>
          <w:szCs w:val="24"/>
        </w:rPr>
      </w:pPr>
      <w:r>
        <w:rPr>
          <w:szCs w:val="24"/>
        </w:rPr>
        <w:instrText>86B.</w:instrText>
      </w:r>
      <w:r>
        <w:rPr>
          <w:szCs w:val="24"/>
        </w:rPr>
        <w:tab/>
        <w:instrText>Exemption — refinancing small business loans</w:instrText>
      </w:r>
      <w:r>
        <w:tab/>
      </w:r>
      <w:r>
        <w:fldChar w:fldCharType="begin"/>
      </w:r>
      <w:r>
        <w:instrText xml:space="preserve"> PAGEREF _Toc170193391 \h </w:instrText>
      </w:r>
      <w:r>
        <w:fldChar w:fldCharType="separate"/>
      </w:r>
      <w:r>
        <w:instrText>281</w:instrText>
      </w:r>
      <w:r>
        <w:fldChar w:fldCharType="end"/>
      </w:r>
    </w:p>
    <w:p>
      <w:pPr>
        <w:pStyle w:val="TOC8"/>
        <w:rPr>
          <w:sz w:val="24"/>
          <w:szCs w:val="24"/>
        </w:rPr>
      </w:pPr>
      <w:r>
        <w:rPr>
          <w:szCs w:val="24"/>
        </w:rPr>
        <w:instrText>87.</w:instrText>
      </w:r>
      <w:r>
        <w:rPr>
          <w:szCs w:val="24"/>
        </w:rPr>
        <w:tab/>
        <w:instrText>Liability dates</w:instrText>
      </w:r>
      <w:r>
        <w:tab/>
      </w:r>
      <w:r>
        <w:fldChar w:fldCharType="begin"/>
      </w:r>
      <w:r>
        <w:instrText xml:space="preserve"> PAGEREF _Toc170193392 \h </w:instrText>
      </w:r>
      <w:r>
        <w:fldChar w:fldCharType="separate"/>
      </w:r>
      <w:r>
        <w:instrText>282</w:instrText>
      </w:r>
      <w:r>
        <w:fldChar w:fldCharType="end"/>
      </w:r>
    </w:p>
    <w:p>
      <w:pPr>
        <w:pStyle w:val="TOC8"/>
        <w:rPr>
          <w:sz w:val="24"/>
          <w:szCs w:val="24"/>
        </w:rPr>
      </w:pPr>
      <w:r>
        <w:rPr>
          <w:szCs w:val="24"/>
        </w:rPr>
        <w:instrText>88.</w:instrText>
      </w:r>
      <w:r>
        <w:rPr>
          <w:szCs w:val="24"/>
        </w:rPr>
        <w:tab/>
        <w:instrText>Stamping before advance</w:instrText>
      </w:r>
      <w:r>
        <w:tab/>
      </w:r>
      <w:r>
        <w:fldChar w:fldCharType="begin"/>
      </w:r>
      <w:r>
        <w:instrText xml:space="preserve"> PAGEREF _Toc170193393 \h </w:instrText>
      </w:r>
      <w:r>
        <w:fldChar w:fldCharType="separate"/>
      </w:r>
      <w:r>
        <w:instrText>283</w:instrText>
      </w:r>
      <w:r>
        <w:fldChar w:fldCharType="end"/>
      </w:r>
    </w:p>
    <w:p>
      <w:pPr>
        <w:pStyle w:val="TOC4"/>
        <w:tabs>
          <w:tab w:val="right" w:pos="7086"/>
        </w:tabs>
        <w:rPr>
          <w:b w:val="0"/>
          <w:sz w:val="24"/>
          <w:szCs w:val="24"/>
        </w:rPr>
      </w:pPr>
      <w:r>
        <w:rPr>
          <w:szCs w:val="26"/>
        </w:rPr>
        <w:instrText>Division 3 — Amount secured by a mortgage</w:instrText>
      </w:r>
    </w:p>
    <w:p>
      <w:pPr>
        <w:pStyle w:val="TOC8"/>
        <w:rPr>
          <w:sz w:val="24"/>
          <w:szCs w:val="24"/>
        </w:rPr>
      </w:pPr>
      <w:r>
        <w:rPr>
          <w:szCs w:val="24"/>
        </w:rPr>
        <w:instrText>89.</w:instrText>
      </w:r>
      <w:r>
        <w:rPr>
          <w:szCs w:val="24"/>
        </w:rPr>
        <w:tab/>
        <w:instrText>The secured amount</w:instrText>
      </w:r>
      <w:r>
        <w:tab/>
      </w:r>
      <w:r>
        <w:fldChar w:fldCharType="begin"/>
      </w:r>
      <w:r>
        <w:instrText xml:space="preserve"> PAGEREF _Toc170193395 \h </w:instrText>
      </w:r>
      <w:r>
        <w:fldChar w:fldCharType="separate"/>
      </w:r>
      <w:r>
        <w:instrText>284</w:instrText>
      </w:r>
      <w:r>
        <w:fldChar w:fldCharType="end"/>
      </w:r>
    </w:p>
    <w:p>
      <w:pPr>
        <w:pStyle w:val="TOC8"/>
        <w:rPr>
          <w:sz w:val="24"/>
          <w:szCs w:val="24"/>
        </w:rPr>
      </w:pPr>
      <w:r>
        <w:rPr>
          <w:szCs w:val="24"/>
        </w:rPr>
        <w:instrText>90.</w:instrText>
      </w:r>
      <w:r>
        <w:rPr>
          <w:szCs w:val="24"/>
        </w:rPr>
        <w:tab/>
        <w:instrText>Contingent liabilities</w:instrText>
      </w:r>
      <w:r>
        <w:tab/>
      </w:r>
      <w:r>
        <w:fldChar w:fldCharType="begin"/>
      </w:r>
      <w:r>
        <w:instrText xml:space="preserve"> PAGEREF _Toc170193396 \h </w:instrText>
      </w:r>
      <w:r>
        <w:fldChar w:fldCharType="separate"/>
      </w:r>
      <w:r>
        <w:instrText>285</w:instrText>
      </w:r>
      <w:r>
        <w:fldChar w:fldCharType="end"/>
      </w:r>
    </w:p>
    <w:p>
      <w:pPr>
        <w:pStyle w:val="TOC8"/>
        <w:rPr>
          <w:sz w:val="24"/>
          <w:szCs w:val="24"/>
        </w:rPr>
      </w:pPr>
      <w:r>
        <w:rPr>
          <w:szCs w:val="24"/>
        </w:rPr>
        <w:instrText>91.</w:instrText>
      </w:r>
      <w:r>
        <w:rPr>
          <w:szCs w:val="24"/>
        </w:rPr>
        <w:tab/>
        <w:instrText>Mortgage over property partly outside WA</w:instrText>
      </w:r>
      <w:r>
        <w:tab/>
      </w:r>
      <w:r>
        <w:fldChar w:fldCharType="begin"/>
      </w:r>
      <w:r>
        <w:instrText xml:space="preserve"> PAGEREF _Toc170193397 \h </w:instrText>
      </w:r>
      <w:r>
        <w:fldChar w:fldCharType="separate"/>
      </w:r>
      <w:r>
        <w:instrText>285</w:instrText>
      </w:r>
      <w:r>
        <w:fldChar w:fldCharType="end"/>
      </w:r>
    </w:p>
    <w:p>
      <w:pPr>
        <w:pStyle w:val="TOC8"/>
        <w:rPr>
          <w:sz w:val="24"/>
          <w:szCs w:val="24"/>
        </w:rPr>
      </w:pPr>
      <w:r>
        <w:rPr>
          <w:szCs w:val="24"/>
        </w:rPr>
        <w:instrText>91A.</w:instrText>
      </w:r>
      <w:r>
        <w:rPr>
          <w:szCs w:val="24"/>
        </w:rPr>
        <w:tab/>
        <w:instrText>Mortgage packages</w:instrText>
      </w:r>
      <w:r>
        <w:tab/>
      </w:r>
      <w:r>
        <w:fldChar w:fldCharType="begin"/>
      </w:r>
      <w:r>
        <w:instrText xml:space="preserve"> PAGEREF _Toc170193398 \h </w:instrText>
      </w:r>
      <w:r>
        <w:fldChar w:fldCharType="separate"/>
      </w:r>
      <w:r>
        <w:instrText>287</w:instrText>
      </w:r>
      <w:r>
        <w:fldChar w:fldCharType="end"/>
      </w:r>
    </w:p>
    <w:p>
      <w:pPr>
        <w:pStyle w:val="TOC8"/>
        <w:rPr>
          <w:sz w:val="24"/>
          <w:szCs w:val="24"/>
        </w:rPr>
      </w:pPr>
      <w:r>
        <w:rPr>
          <w:szCs w:val="24"/>
        </w:rPr>
        <w:instrText>91B.</w:instrText>
      </w:r>
      <w:r>
        <w:rPr>
          <w:szCs w:val="24"/>
        </w:rPr>
        <w:tab/>
        <w:instrText>Collateral mortgages</w:instrText>
      </w:r>
      <w:r>
        <w:tab/>
      </w:r>
      <w:r>
        <w:fldChar w:fldCharType="begin"/>
      </w:r>
      <w:r>
        <w:instrText xml:space="preserve"> PAGEREF _Toc170193399 \h </w:instrText>
      </w:r>
      <w:r>
        <w:fldChar w:fldCharType="separate"/>
      </w:r>
      <w:r>
        <w:instrText>287</w:instrText>
      </w:r>
      <w:r>
        <w:fldChar w:fldCharType="end"/>
      </w:r>
    </w:p>
    <w:p>
      <w:pPr>
        <w:pStyle w:val="TOC8"/>
        <w:rPr>
          <w:sz w:val="24"/>
          <w:szCs w:val="24"/>
        </w:rPr>
      </w:pPr>
      <w:r>
        <w:rPr>
          <w:szCs w:val="24"/>
        </w:rPr>
        <w:instrText>91C.</w:instrText>
      </w:r>
      <w:r>
        <w:rPr>
          <w:szCs w:val="24"/>
        </w:rPr>
        <w:tab/>
        <w:instrText>Extent to which mortgage can be enforced</w:instrText>
      </w:r>
      <w:r>
        <w:tab/>
      </w:r>
      <w:r>
        <w:fldChar w:fldCharType="begin"/>
      </w:r>
      <w:r>
        <w:instrText xml:space="preserve"> PAGEREF _Toc170193400 \h </w:instrText>
      </w:r>
      <w:r>
        <w:fldChar w:fldCharType="separate"/>
      </w:r>
      <w:r>
        <w:instrText>288</w:instrText>
      </w:r>
      <w:r>
        <w:fldChar w:fldCharType="end"/>
      </w:r>
    </w:p>
    <w:p>
      <w:pPr>
        <w:pStyle w:val="TOC8"/>
        <w:rPr>
          <w:sz w:val="24"/>
          <w:szCs w:val="24"/>
        </w:rPr>
      </w:pPr>
      <w:r>
        <w:rPr>
          <w:szCs w:val="24"/>
        </w:rPr>
        <w:instrText>91D.</w:instrText>
      </w:r>
      <w:r>
        <w:rPr>
          <w:szCs w:val="24"/>
        </w:rPr>
        <w:tab/>
        <w:instrText>Use of stamped and collateral mortgages as security</w:instrText>
      </w:r>
      <w:r>
        <w:tab/>
      </w:r>
      <w:r>
        <w:fldChar w:fldCharType="begin"/>
      </w:r>
      <w:r>
        <w:instrText xml:space="preserve"> PAGEREF _Toc170193401 \h </w:instrText>
      </w:r>
      <w:r>
        <w:fldChar w:fldCharType="separate"/>
      </w:r>
      <w:r>
        <w:instrText>289</w:instrText>
      </w:r>
      <w:r>
        <w:fldChar w:fldCharType="end"/>
      </w:r>
    </w:p>
    <w:p>
      <w:pPr>
        <w:pStyle w:val="TOC8"/>
        <w:rPr>
          <w:sz w:val="24"/>
          <w:szCs w:val="24"/>
        </w:rPr>
      </w:pPr>
      <w:r>
        <w:rPr>
          <w:szCs w:val="24"/>
        </w:rPr>
        <w:instrText>91E.</w:instrText>
      </w:r>
      <w:r>
        <w:rPr>
          <w:szCs w:val="24"/>
        </w:rPr>
        <w:tab/>
        <w:instrText>Multi</w:instrText>
      </w:r>
      <w:r>
        <w:rPr>
          <w:szCs w:val="24"/>
        </w:rPr>
        <w:noBreakHyphen/>
        <w:instrText>jurisdictional statement</w:instrText>
      </w:r>
      <w:r>
        <w:tab/>
      </w:r>
      <w:r>
        <w:fldChar w:fldCharType="begin"/>
      </w:r>
      <w:r>
        <w:instrText xml:space="preserve"> PAGEREF _Toc170193402 \h </w:instrText>
      </w:r>
      <w:r>
        <w:fldChar w:fldCharType="separate"/>
      </w:r>
      <w:r>
        <w:instrText>289</w:instrText>
      </w:r>
      <w:r>
        <w:fldChar w:fldCharType="end"/>
      </w:r>
    </w:p>
    <w:p>
      <w:pPr>
        <w:pStyle w:val="TOC8"/>
        <w:rPr>
          <w:sz w:val="24"/>
          <w:szCs w:val="24"/>
        </w:rPr>
      </w:pPr>
      <w:r>
        <w:rPr>
          <w:szCs w:val="24"/>
        </w:rPr>
        <w:instrText>91F.</w:instrText>
      </w:r>
      <w:r>
        <w:rPr>
          <w:szCs w:val="24"/>
        </w:rPr>
        <w:tab/>
        <w:instrText>Exemptions for charitable or public purposes</w:instrText>
      </w:r>
      <w:r>
        <w:tab/>
      </w:r>
      <w:r>
        <w:fldChar w:fldCharType="begin"/>
      </w:r>
      <w:r>
        <w:instrText xml:space="preserve"> PAGEREF _Toc170193403 \h </w:instrText>
      </w:r>
      <w:r>
        <w:fldChar w:fldCharType="separate"/>
      </w:r>
      <w:r>
        <w:instrText>289</w:instrText>
      </w:r>
      <w:r>
        <w:fldChar w:fldCharType="end"/>
      </w:r>
    </w:p>
    <w:p>
      <w:pPr>
        <w:pStyle w:val="TOC2"/>
        <w:tabs>
          <w:tab w:val="right" w:pos="7086"/>
        </w:tabs>
        <w:rPr>
          <w:b w:val="0"/>
          <w:sz w:val="24"/>
          <w:szCs w:val="24"/>
        </w:rPr>
      </w:pPr>
      <w:r>
        <w:rPr>
          <w:szCs w:val="30"/>
        </w:rPr>
        <w:instrText>Part IIIF</w:instrText>
      </w:r>
      <w:r>
        <w:rPr>
          <w:b w:val="0"/>
          <w:szCs w:val="30"/>
        </w:rPr>
        <w:instrText> </w:instrText>
      </w:r>
      <w:r>
        <w:rPr>
          <w:szCs w:val="30"/>
        </w:rPr>
        <w:instrText>—</w:instrText>
      </w:r>
      <w:r>
        <w:rPr>
          <w:b w:val="0"/>
          <w:szCs w:val="30"/>
        </w:rPr>
        <w:instrText> </w:instrText>
      </w:r>
      <w:r>
        <w:rPr>
          <w:szCs w:val="30"/>
        </w:rPr>
        <w:instrText>Insurance</w:instrText>
      </w:r>
    </w:p>
    <w:p>
      <w:pPr>
        <w:pStyle w:val="TOC4"/>
        <w:tabs>
          <w:tab w:val="right" w:pos="7086"/>
        </w:tabs>
        <w:rPr>
          <w:b w:val="0"/>
          <w:sz w:val="24"/>
          <w:szCs w:val="24"/>
        </w:rPr>
      </w:pPr>
      <w:r>
        <w:rPr>
          <w:szCs w:val="26"/>
        </w:rPr>
        <w:instrText>Division 1 — Interpretation in Part IIIF and connection to the State</w:instrText>
      </w:r>
    </w:p>
    <w:p>
      <w:pPr>
        <w:pStyle w:val="TOC8"/>
        <w:rPr>
          <w:sz w:val="24"/>
          <w:szCs w:val="24"/>
        </w:rPr>
      </w:pPr>
      <w:r>
        <w:rPr>
          <w:szCs w:val="24"/>
        </w:rPr>
        <w:instrText>92.</w:instrText>
      </w:r>
      <w:r>
        <w:rPr>
          <w:szCs w:val="24"/>
        </w:rPr>
        <w:tab/>
        <w:instrText>Terms used in this Part</w:instrText>
      </w:r>
      <w:r>
        <w:tab/>
      </w:r>
      <w:r>
        <w:fldChar w:fldCharType="begin"/>
      </w:r>
      <w:r>
        <w:instrText xml:space="preserve"> PAGEREF _Toc170193406 \h </w:instrText>
      </w:r>
      <w:r>
        <w:fldChar w:fldCharType="separate"/>
      </w:r>
      <w:r>
        <w:instrText>291</w:instrText>
      </w:r>
      <w:r>
        <w:fldChar w:fldCharType="end"/>
      </w:r>
    </w:p>
    <w:p>
      <w:pPr>
        <w:pStyle w:val="TOC8"/>
        <w:rPr>
          <w:sz w:val="24"/>
          <w:szCs w:val="24"/>
        </w:rPr>
      </w:pPr>
      <w:r>
        <w:rPr>
          <w:szCs w:val="24"/>
        </w:rPr>
        <w:instrText>92A.</w:instrText>
      </w:r>
      <w:r>
        <w:rPr>
          <w:szCs w:val="24"/>
        </w:rPr>
        <w:tab/>
        <w:instrText>Meaning of general insurance and connection to the State</w:instrText>
      </w:r>
      <w:r>
        <w:tab/>
      </w:r>
      <w:r>
        <w:fldChar w:fldCharType="begin"/>
      </w:r>
      <w:r>
        <w:instrText xml:space="preserve"> PAGEREF _Toc170193407 \h </w:instrText>
      </w:r>
      <w:r>
        <w:fldChar w:fldCharType="separate"/>
      </w:r>
      <w:r>
        <w:instrText>293</w:instrText>
      </w:r>
      <w:r>
        <w:fldChar w:fldCharType="end"/>
      </w:r>
    </w:p>
    <w:p>
      <w:pPr>
        <w:pStyle w:val="TOC8"/>
        <w:rPr>
          <w:sz w:val="24"/>
          <w:szCs w:val="24"/>
        </w:rPr>
      </w:pPr>
      <w:r>
        <w:rPr>
          <w:szCs w:val="24"/>
        </w:rPr>
        <w:instrText>92B.</w:instrText>
      </w:r>
      <w:r>
        <w:rPr>
          <w:szCs w:val="24"/>
        </w:rPr>
        <w:tab/>
        <w:instrText>Additional insurance — life riders</w:instrText>
      </w:r>
      <w:r>
        <w:tab/>
      </w:r>
      <w:r>
        <w:fldChar w:fldCharType="begin"/>
      </w:r>
      <w:r>
        <w:instrText xml:space="preserve"> PAGEREF _Toc170193408 \h </w:instrText>
      </w:r>
      <w:r>
        <w:fldChar w:fldCharType="separate"/>
      </w:r>
      <w:r>
        <w:instrText>294</w:instrText>
      </w:r>
      <w:r>
        <w:fldChar w:fldCharType="end"/>
      </w:r>
    </w:p>
    <w:p>
      <w:pPr>
        <w:pStyle w:val="TOC8"/>
        <w:rPr>
          <w:sz w:val="24"/>
          <w:szCs w:val="24"/>
        </w:rPr>
      </w:pPr>
      <w:r>
        <w:rPr>
          <w:szCs w:val="24"/>
        </w:rPr>
        <w:instrText>92C.</w:instrText>
      </w:r>
      <w:r>
        <w:rPr>
          <w:szCs w:val="24"/>
        </w:rPr>
        <w:tab/>
        <w:instrText>Payment of premiums</w:instrText>
      </w:r>
      <w:r>
        <w:tab/>
      </w:r>
      <w:r>
        <w:fldChar w:fldCharType="begin"/>
      </w:r>
      <w:r>
        <w:instrText xml:space="preserve"> PAGEREF _Toc170193409 \h </w:instrText>
      </w:r>
      <w:r>
        <w:fldChar w:fldCharType="separate"/>
      </w:r>
      <w:r>
        <w:instrText>295</w:instrText>
      </w:r>
      <w:r>
        <w:fldChar w:fldCharType="end"/>
      </w:r>
    </w:p>
    <w:p>
      <w:pPr>
        <w:pStyle w:val="TOC4"/>
        <w:tabs>
          <w:tab w:val="right" w:pos="7086"/>
        </w:tabs>
        <w:rPr>
          <w:b w:val="0"/>
          <w:sz w:val="24"/>
          <w:szCs w:val="24"/>
        </w:rPr>
      </w:pPr>
      <w:r>
        <w:rPr>
          <w:szCs w:val="26"/>
        </w:rPr>
        <w:instrText>Division 2 — Registration of insurers</w:instrText>
      </w:r>
    </w:p>
    <w:p>
      <w:pPr>
        <w:pStyle w:val="TOC8"/>
        <w:rPr>
          <w:sz w:val="24"/>
          <w:szCs w:val="24"/>
        </w:rPr>
      </w:pPr>
      <w:r>
        <w:rPr>
          <w:szCs w:val="24"/>
        </w:rPr>
        <w:instrText>93.</w:instrText>
      </w:r>
      <w:r>
        <w:rPr>
          <w:szCs w:val="24"/>
        </w:rPr>
        <w:tab/>
        <w:instrText>Insurers to be registered</w:instrText>
      </w:r>
      <w:r>
        <w:tab/>
      </w:r>
      <w:r>
        <w:fldChar w:fldCharType="begin"/>
      </w:r>
      <w:r>
        <w:instrText xml:space="preserve"> PAGEREF _Toc170193411 \h </w:instrText>
      </w:r>
      <w:r>
        <w:fldChar w:fldCharType="separate"/>
      </w:r>
      <w:r>
        <w:instrText>295</w:instrText>
      </w:r>
      <w:r>
        <w:fldChar w:fldCharType="end"/>
      </w:r>
    </w:p>
    <w:p>
      <w:pPr>
        <w:pStyle w:val="TOC8"/>
        <w:rPr>
          <w:sz w:val="24"/>
          <w:szCs w:val="24"/>
        </w:rPr>
      </w:pPr>
      <w:r>
        <w:rPr>
          <w:szCs w:val="24"/>
        </w:rPr>
        <w:instrText>93A.</w:instrText>
      </w:r>
      <w:r>
        <w:rPr>
          <w:szCs w:val="24"/>
        </w:rPr>
        <w:tab/>
        <w:instrText>Registration of insurers</w:instrText>
      </w:r>
      <w:r>
        <w:tab/>
      </w:r>
      <w:r>
        <w:fldChar w:fldCharType="begin"/>
      </w:r>
      <w:r>
        <w:instrText xml:space="preserve"> PAGEREF _Toc170193412 \h </w:instrText>
      </w:r>
      <w:r>
        <w:fldChar w:fldCharType="separate"/>
      </w:r>
      <w:r>
        <w:instrText>296</w:instrText>
      </w:r>
      <w:r>
        <w:fldChar w:fldCharType="end"/>
      </w:r>
    </w:p>
    <w:p>
      <w:pPr>
        <w:pStyle w:val="TOC8"/>
        <w:rPr>
          <w:sz w:val="24"/>
          <w:szCs w:val="24"/>
        </w:rPr>
      </w:pPr>
      <w:r>
        <w:rPr>
          <w:szCs w:val="24"/>
        </w:rPr>
        <w:instrText>93B.</w:instrText>
      </w:r>
      <w:r>
        <w:rPr>
          <w:szCs w:val="24"/>
        </w:rPr>
        <w:tab/>
        <w:instrText>Cancelling registration of insurers</w:instrText>
      </w:r>
      <w:r>
        <w:tab/>
      </w:r>
      <w:r>
        <w:fldChar w:fldCharType="begin"/>
      </w:r>
      <w:r>
        <w:instrText xml:space="preserve"> PAGEREF _Toc170193413 \h </w:instrText>
      </w:r>
      <w:r>
        <w:fldChar w:fldCharType="separate"/>
      </w:r>
      <w:r>
        <w:instrText>296</w:instrText>
      </w:r>
      <w:r>
        <w:fldChar w:fldCharType="end"/>
      </w:r>
    </w:p>
    <w:p>
      <w:pPr>
        <w:pStyle w:val="TOC4"/>
        <w:tabs>
          <w:tab w:val="right" w:pos="7086"/>
        </w:tabs>
        <w:rPr>
          <w:b w:val="0"/>
          <w:sz w:val="24"/>
          <w:szCs w:val="24"/>
        </w:rPr>
      </w:pPr>
      <w:r>
        <w:rPr>
          <w:szCs w:val="26"/>
        </w:rPr>
        <w:instrText>Division 3 — Duty payable by insurers</w:instrText>
      </w:r>
    </w:p>
    <w:p>
      <w:pPr>
        <w:pStyle w:val="TOC8"/>
        <w:rPr>
          <w:sz w:val="24"/>
          <w:szCs w:val="24"/>
        </w:rPr>
      </w:pPr>
      <w:r>
        <w:rPr>
          <w:szCs w:val="24"/>
        </w:rPr>
        <w:instrText>94.</w:instrText>
      </w:r>
      <w:r>
        <w:rPr>
          <w:szCs w:val="24"/>
        </w:rPr>
        <w:tab/>
        <w:instrText>Lodging returns and paying duty</w:instrText>
      </w:r>
      <w:r>
        <w:tab/>
      </w:r>
      <w:r>
        <w:fldChar w:fldCharType="begin"/>
      </w:r>
      <w:r>
        <w:instrText xml:space="preserve"> PAGEREF _Toc170193415 \h </w:instrText>
      </w:r>
      <w:r>
        <w:fldChar w:fldCharType="separate"/>
      </w:r>
      <w:r>
        <w:instrText>296</w:instrText>
      </w:r>
      <w:r>
        <w:fldChar w:fldCharType="end"/>
      </w:r>
    </w:p>
    <w:p>
      <w:pPr>
        <w:pStyle w:val="TOC8"/>
        <w:rPr>
          <w:sz w:val="24"/>
          <w:szCs w:val="24"/>
        </w:rPr>
      </w:pPr>
      <w:r>
        <w:rPr>
          <w:szCs w:val="24"/>
        </w:rPr>
        <w:instrText>94A.</w:instrText>
      </w:r>
      <w:r>
        <w:rPr>
          <w:szCs w:val="24"/>
        </w:rPr>
        <w:tab/>
        <w:instrText>Calculating the amount of duty payable on a return</w:instrText>
      </w:r>
      <w:r>
        <w:tab/>
      </w:r>
      <w:r>
        <w:fldChar w:fldCharType="begin"/>
      </w:r>
      <w:r>
        <w:instrText xml:space="preserve"> PAGEREF _Toc170193416 \h </w:instrText>
      </w:r>
      <w:r>
        <w:fldChar w:fldCharType="separate"/>
      </w:r>
      <w:r>
        <w:instrText>297</w:instrText>
      </w:r>
      <w:r>
        <w:fldChar w:fldCharType="end"/>
      </w:r>
    </w:p>
    <w:p>
      <w:pPr>
        <w:pStyle w:val="TOC8"/>
        <w:rPr>
          <w:sz w:val="24"/>
          <w:szCs w:val="24"/>
        </w:rPr>
      </w:pPr>
      <w:r>
        <w:rPr>
          <w:szCs w:val="24"/>
        </w:rPr>
        <w:instrText>94B.</w:instrText>
      </w:r>
      <w:r>
        <w:rPr>
          <w:szCs w:val="24"/>
        </w:rPr>
        <w:tab/>
        <w:instrText>Return period of an insurer</w:instrText>
      </w:r>
      <w:r>
        <w:tab/>
      </w:r>
      <w:r>
        <w:fldChar w:fldCharType="begin"/>
      </w:r>
      <w:r>
        <w:instrText xml:space="preserve"> PAGEREF _Toc170193417 \h </w:instrText>
      </w:r>
      <w:r>
        <w:fldChar w:fldCharType="separate"/>
      </w:r>
      <w:r>
        <w:instrText>298</w:instrText>
      </w:r>
      <w:r>
        <w:fldChar w:fldCharType="end"/>
      </w:r>
    </w:p>
    <w:p>
      <w:pPr>
        <w:pStyle w:val="TOC4"/>
        <w:tabs>
          <w:tab w:val="right" w:pos="7086"/>
        </w:tabs>
        <w:rPr>
          <w:b w:val="0"/>
          <w:sz w:val="24"/>
          <w:szCs w:val="24"/>
        </w:rPr>
      </w:pPr>
      <w:r>
        <w:rPr>
          <w:szCs w:val="26"/>
        </w:rPr>
        <w:instrText>Division 4 — Duty payable by insured persons</w:instrText>
      </w:r>
    </w:p>
    <w:p>
      <w:pPr>
        <w:pStyle w:val="TOC8"/>
        <w:rPr>
          <w:sz w:val="24"/>
          <w:szCs w:val="24"/>
        </w:rPr>
      </w:pPr>
      <w:r>
        <w:rPr>
          <w:szCs w:val="24"/>
        </w:rPr>
        <w:instrText>95.</w:instrText>
      </w:r>
      <w:r>
        <w:rPr>
          <w:szCs w:val="24"/>
        </w:rPr>
        <w:tab/>
        <w:instrText>Meaning of insurer in this Division</w:instrText>
      </w:r>
      <w:r>
        <w:tab/>
      </w:r>
      <w:r>
        <w:fldChar w:fldCharType="begin"/>
      </w:r>
      <w:r>
        <w:instrText xml:space="preserve"> PAGEREF _Toc170193419 \h </w:instrText>
      </w:r>
      <w:r>
        <w:fldChar w:fldCharType="separate"/>
      </w:r>
      <w:r>
        <w:instrText>298</w:instrText>
      </w:r>
      <w:r>
        <w:fldChar w:fldCharType="end"/>
      </w:r>
    </w:p>
    <w:p>
      <w:pPr>
        <w:pStyle w:val="TOC8"/>
        <w:rPr>
          <w:sz w:val="24"/>
          <w:szCs w:val="24"/>
        </w:rPr>
      </w:pPr>
      <w:r>
        <w:rPr>
          <w:szCs w:val="24"/>
        </w:rPr>
        <w:instrText>95A.</w:instrText>
      </w:r>
      <w:r>
        <w:rPr>
          <w:szCs w:val="24"/>
        </w:rPr>
        <w:tab/>
        <w:instrText>Insured person to lodge statement and pay duty</w:instrText>
      </w:r>
      <w:r>
        <w:tab/>
      </w:r>
      <w:r>
        <w:fldChar w:fldCharType="begin"/>
      </w:r>
      <w:r>
        <w:instrText xml:space="preserve"> PAGEREF _Toc170193420 \h </w:instrText>
      </w:r>
      <w:r>
        <w:fldChar w:fldCharType="separate"/>
      </w:r>
      <w:r>
        <w:instrText>298</w:instrText>
      </w:r>
      <w:r>
        <w:fldChar w:fldCharType="end"/>
      </w:r>
    </w:p>
    <w:p>
      <w:pPr>
        <w:pStyle w:val="TOC8"/>
        <w:rPr>
          <w:sz w:val="24"/>
          <w:szCs w:val="24"/>
        </w:rPr>
      </w:pPr>
      <w:r>
        <w:rPr>
          <w:szCs w:val="24"/>
        </w:rPr>
        <w:instrText>95B.</w:instrText>
      </w:r>
      <w:r>
        <w:rPr>
          <w:szCs w:val="24"/>
        </w:rPr>
        <w:tab/>
        <w:instrText>Insurer and intermediary to notify Commissioner of contracts of insurance</w:instrText>
      </w:r>
      <w:r>
        <w:tab/>
      </w:r>
      <w:r>
        <w:fldChar w:fldCharType="begin"/>
      </w:r>
      <w:r>
        <w:instrText xml:space="preserve"> PAGEREF _Toc170193421 \h </w:instrText>
      </w:r>
      <w:r>
        <w:fldChar w:fldCharType="separate"/>
      </w:r>
      <w:r>
        <w:instrText>299</w:instrText>
      </w:r>
      <w:r>
        <w:fldChar w:fldCharType="end"/>
      </w:r>
    </w:p>
    <w:p>
      <w:pPr>
        <w:pStyle w:val="TOC4"/>
        <w:tabs>
          <w:tab w:val="right" w:pos="7086"/>
        </w:tabs>
        <w:rPr>
          <w:b w:val="0"/>
          <w:sz w:val="24"/>
          <w:szCs w:val="24"/>
        </w:rPr>
      </w:pPr>
      <w:r>
        <w:rPr>
          <w:szCs w:val="26"/>
        </w:rPr>
        <w:instrText>Division 5 — General provisions</w:instrText>
      </w:r>
    </w:p>
    <w:p>
      <w:pPr>
        <w:pStyle w:val="TOC8"/>
        <w:rPr>
          <w:sz w:val="24"/>
          <w:szCs w:val="24"/>
        </w:rPr>
      </w:pPr>
      <w:r>
        <w:rPr>
          <w:szCs w:val="24"/>
        </w:rPr>
        <w:instrText>96.</w:instrText>
      </w:r>
      <w:r>
        <w:rPr>
          <w:szCs w:val="24"/>
        </w:rPr>
        <w:tab/>
        <w:instrText>Apportionment of premiums and instalments</w:instrText>
      </w:r>
      <w:r>
        <w:tab/>
      </w:r>
      <w:r>
        <w:fldChar w:fldCharType="begin"/>
      </w:r>
      <w:r>
        <w:instrText xml:space="preserve"> PAGEREF _Toc170193423 \h </w:instrText>
      </w:r>
      <w:r>
        <w:fldChar w:fldCharType="separate"/>
      </w:r>
      <w:r>
        <w:instrText>300</w:instrText>
      </w:r>
      <w:r>
        <w:fldChar w:fldCharType="end"/>
      </w:r>
    </w:p>
    <w:p>
      <w:pPr>
        <w:pStyle w:val="TOC8"/>
        <w:rPr>
          <w:sz w:val="24"/>
          <w:szCs w:val="24"/>
        </w:rPr>
      </w:pPr>
      <w:r>
        <w:rPr>
          <w:szCs w:val="24"/>
        </w:rPr>
        <w:instrText>96A.</w:instrText>
      </w:r>
      <w:r>
        <w:rPr>
          <w:szCs w:val="24"/>
        </w:rPr>
        <w:tab/>
        <w:instrText>Refunds</w:instrText>
      </w:r>
      <w:r>
        <w:tab/>
      </w:r>
      <w:r>
        <w:fldChar w:fldCharType="begin"/>
      </w:r>
      <w:r>
        <w:instrText xml:space="preserve"> PAGEREF _Toc170193424 \h </w:instrText>
      </w:r>
      <w:r>
        <w:fldChar w:fldCharType="separate"/>
      </w:r>
      <w:r>
        <w:instrText>301</w:instrText>
      </w:r>
      <w:r>
        <w:fldChar w:fldCharType="end"/>
      </w:r>
    </w:p>
    <w:p>
      <w:pPr>
        <w:pStyle w:val="TOC8"/>
        <w:rPr>
          <w:sz w:val="24"/>
          <w:szCs w:val="24"/>
        </w:rPr>
      </w:pPr>
      <w:r>
        <w:rPr>
          <w:szCs w:val="24"/>
        </w:rPr>
        <w:instrText>96B.</w:instrText>
      </w:r>
      <w:r>
        <w:rPr>
          <w:szCs w:val="24"/>
        </w:rPr>
        <w:tab/>
        <w:instrText>Records</w:instrText>
      </w:r>
      <w:r>
        <w:tab/>
      </w:r>
      <w:r>
        <w:fldChar w:fldCharType="begin"/>
      </w:r>
      <w:r>
        <w:instrText xml:space="preserve"> PAGEREF _Toc170193425 \h </w:instrText>
      </w:r>
      <w:r>
        <w:fldChar w:fldCharType="separate"/>
      </w:r>
      <w:r>
        <w:instrText>301</w:instrText>
      </w:r>
      <w:r>
        <w:fldChar w:fldCharType="end"/>
      </w:r>
    </w:p>
    <w:p>
      <w:pPr>
        <w:pStyle w:val="TOC2"/>
        <w:tabs>
          <w:tab w:val="right" w:pos="7086"/>
        </w:tabs>
        <w:rPr>
          <w:b w:val="0"/>
          <w:sz w:val="24"/>
          <w:szCs w:val="24"/>
        </w:rPr>
      </w:pPr>
      <w:r>
        <w:rPr>
          <w:szCs w:val="30"/>
        </w:rPr>
        <w:instrText>Part IVB</w:instrText>
      </w:r>
      <w:r>
        <w:rPr>
          <w:b w:val="0"/>
          <w:szCs w:val="30"/>
        </w:rPr>
        <w:instrText> </w:instrText>
      </w:r>
      <w:r>
        <w:rPr>
          <w:szCs w:val="30"/>
        </w:rPr>
        <w:instrText>—</w:instrText>
      </w:r>
      <w:r>
        <w:rPr>
          <w:b w:val="0"/>
          <w:szCs w:val="30"/>
        </w:rPr>
        <w:instrText> </w:instrText>
      </w:r>
      <w:r>
        <w:rPr>
          <w:szCs w:val="30"/>
        </w:rPr>
        <w:instrText>Hire of goods</w:instrText>
      </w:r>
    </w:p>
    <w:p>
      <w:pPr>
        <w:pStyle w:val="TOC4"/>
        <w:tabs>
          <w:tab w:val="right" w:pos="7086"/>
        </w:tabs>
        <w:rPr>
          <w:b w:val="0"/>
          <w:sz w:val="24"/>
          <w:szCs w:val="24"/>
        </w:rPr>
      </w:pPr>
      <w:r>
        <w:rPr>
          <w:szCs w:val="26"/>
        </w:rPr>
        <w:instrText>Division 1 — Interpretation in Part IVB</w:instrText>
      </w:r>
    </w:p>
    <w:p>
      <w:pPr>
        <w:pStyle w:val="TOC8"/>
        <w:rPr>
          <w:sz w:val="24"/>
          <w:szCs w:val="24"/>
        </w:rPr>
      </w:pPr>
      <w:r>
        <w:rPr>
          <w:szCs w:val="24"/>
        </w:rPr>
        <w:instrText>112I.</w:instrText>
      </w:r>
      <w:r>
        <w:rPr>
          <w:szCs w:val="24"/>
        </w:rPr>
        <w:tab/>
        <w:instrText>Commercial hire business</w:instrText>
      </w:r>
      <w:r>
        <w:tab/>
      </w:r>
      <w:r>
        <w:fldChar w:fldCharType="begin"/>
      </w:r>
      <w:r>
        <w:instrText xml:space="preserve"> PAGEREF _Toc170193428 \h </w:instrText>
      </w:r>
      <w:r>
        <w:fldChar w:fldCharType="separate"/>
      </w:r>
      <w:r>
        <w:instrText>303</w:instrText>
      </w:r>
      <w:r>
        <w:fldChar w:fldCharType="end"/>
      </w:r>
    </w:p>
    <w:p>
      <w:pPr>
        <w:pStyle w:val="TOC8"/>
        <w:rPr>
          <w:sz w:val="24"/>
          <w:szCs w:val="24"/>
        </w:rPr>
      </w:pPr>
      <w:r>
        <w:rPr>
          <w:szCs w:val="24"/>
        </w:rPr>
        <w:instrText>112IA.</w:instrText>
      </w:r>
      <w:r>
        <w:rPr>
          <w:szCs w:val="24"/>
        </w:rPr>
        <w:tab/>
        <w:instrText>Goods</w:instrText>
      </w:r>
      <w:r>
        <w:tab/>
      </w:r>
      <w:r>
        <w:fldChar w:fldCharType="begin"/>
      </w:r>
      <w:r>
        <w:instrText xml:space="preserve"> PAGEREF _Toc170193429 \h </w:instrText>
      </w:r>
      <w:r>
        <w:fldChar w:fldCharType="separate"/>
      </w:r>
      <w:r>
        <w:instrText>303</w:instrText>
      </w:r>
      <w:r>
        <w:fldChar w:fldCharType="end"/>
      </w:r>
    </w:p>
    <w:p>
      <w:pPr>
        <w:pStyle w:val="TOC8"/>
        <w:rPr>
          <w:sz w:val="24"/>
          <w:szCs w:val="24"/>
        </w:rPr>
      </w:pPr>
      <w:r>
        <w:rPr>
          <w:szCs w:val="24"/>
        </w:rPr>
        <w:instrText>112IB.</w:instrText>
      </w:r>
      <w:r>
        <w:rPr>
          <w:szCs w:val="24"/>
        </w:rPr>
        <w:tab/>
        <w:instrText>Hire of goods</w:instrText>
      </w:r>
      <w:r>
        <w:tab/>
      </w:r>
      <w:r>
        <w:fldChar w:fldCharType="begin"/>
      </w:r>
      <w:r>
        <w:instrText xml:space="preserve"> PAGEREF _Toc170193430 \h </w:instrText>
      </w:r>
      <w:r>
        <w:fldChar w:fldCharType="separate"/>
      </w:r>
      <w:r>
        <w:instrText>303</w:instrText>
      </w:r>
      <w:r>
        <w:fldChar w:fldCharType="end"/>
      </w:r>
    </w:p>
    <w:p>
      <w:pPr>
        <w:pStyle w:val="TOC8"/>
        <w:rPr>
          <w:sz w:val="24"/>
          <w:szCs w:val="24"/>
        </w:rPr>
      </w:pPr>
      <w:r>
        <w:rPr>
          <w:szCs w:val="24"/>
        </w:rPr>
        <w:instrText>112IC.</w:instrText>
      </w:r>
      <w:r>
        <w:rPr>
          <w:szCs w:val="24"/>
        </w:rPr>
        <w:tab/>
        <w:instrText>State hire of goods</w:instrText>
      </w:r>
      <w:r>
        <w:tab/>
      </w:r>
      <w:r>
        <w:fldChar w:fldCharType="begin"/>
      </w:r>
      <w:r>
        <w:instrText xml:space="preserve"> PAGEREF _Toc170193431 \h </w:instrText>
      </w:r>
      <w:r>
        <w:fldChar w:fldCharType="separate"/>
      </w:r>
      <w:r>
        <w:instrText>305</w:instrText>
      </w:r>
      <w:r>
        <w:fldChar w:fldCharType="end"/>
      </w:r>
    </w:p>
    <w:p>
      <w:pPr>
        <w:pStyle w:val="TOC8"/>
        <w:rPr>
          <w:sz w:val="24"/>
          <w:szCs w:val="24"/>
        </w:rPr>
      </w:pPr>
      <w:r>
        <w:rPr>
          <w:szCs w:val="24"/>
        </w:rPr>
        <w:instrText>112ID.</w:instrText>
      </w:r>
      <w:r>
        <w:rPr>
          <w:szCs w:val="24"/>
        </w:rPr>
        <w:tab/>
        <w:instrText>Equipment financing arrangements</w:instrText>
      </w:r>
      <w:r>
        <w:tab/>
      </w:r>
      <w:r>
        <w:fldChar w:fldCharType="begin"/>
      </w:r>
      <w:r>
        <w:instrText xml:space="preserve"> PAGEREF _Toc170193432 \h </w:instrText>
      </w:r>
      <w:r>
        <w:fldChar w:fldCharType="separate"/>
      </w:r>
      <w:r>
        <w:instrText>305</w:instrText>
      </w:r>
      <w:r>
        <w:fldChar w:fldCharType="end"/>
      </w:r>
    </w:p>
    <w:p>
      <w:pPr>
        <w:pStyle w:val="TOC8"/>
        <w:rPr>
          <w:sz w:val="24"/>
          <w:szCs w:val="24"/>
        </w:rPr>
      </w:pPr>
      <w:r>
        <w:rPr>
          <w:szCs w:val="24"/>
        </w:rPr>
        <w:instrText>112IE.</w:instrText>
      </w:r>
      <w:r>
        <w:rPr>
          <w:szCs w:val="24"/>
        </w:rPr>
        <w:tab/>
        <w:instrText>Hiring charges</w:instrText>
      </w:r>
      <w:r>
        <w:tab/>
      </w:r>
      <w:r>
        <w:fldChar w:fldCharType="begin"/>
      </w:r>
      <w:r>
        <w:instrText xml:space="preserve"> PAGEREF _Toc170193433 \h </w:instrText>
      </w:r>
      <w:r>
        <w:fldChar w:fldCharType="separate"/>
      </w:r>
      <w:r>
        <w:instrText>306</w:instrText>
      </w:r>
      <w:r>
        <w:fldChar w:fldCharType="end"/>
      </w:r>
    </w:p>
    <w:p>
      <w:pPr>
        <w:pStyle w:val="TOC8"/>
        <w:rPr>
          <w:sz w:val="24"/>
          <w:szCs w:val="24"/>
        </w:rPr>
      </w:pPr>
      <w:r>
        <w:rPr>
          <w:szCs w:val="24"/>
        </w:rPr>
        <w:instrText>112IF.</w:instrText>
      </w:r>
      <w:r>
        <w:rPr>
          <w:szCs w:val="24"/>
        </w:rPr>
        <w:tab/>
        <w:instrText>Terms used in this Part</w:instrText>
      </w:r>
      <w:r>
        <w:tab/>
      </w:r>
      <w:r>
        <w:fldChar w:fldCharType="begin"/>
      </w:r>
      <w:r>
        <w:instrText xml:space="preserve"> PAGEREF _Toc170193434 \h </w:instrText>
      </w:r>
      <w:r>
        <w:fldChar w:fldCharType="separate"/>
      </w:r>
      <w:r>
        <w:instrText>307</w:instrText>
      </w:r>
      <w:r>
        <w:fldChar w:fldCharType="end"/>
      </w:r>
    </w:p>
    <w:p>
      <w:pPr>
        <w:pStyle w:val="TOC4"/>
        <w:tabs>
          <w:tab w:val="right" w:pos="7086"/>
        </w:tabs>
        <w:rPr>
          <w:b w:val="0"/>
          <w:sz w:val="24"/>
          <w:szCs w:val="24"/>
        </w:rPr>
      </w:pPr>
      <w:r>
        <w:rPr>
          <w:szCs w:val="26"/>
        </w:rPr>
        <w:instrText>Division 2 — Registration of commercial hire businesses</w:instrText>
      </w:r>
    </w:p>
    <w:p>
      <w:pPr>
        <w:pStyle w:val="TOC8"/>
        <w:rPr>
          <w:sz w:val="24"/>
          <w:szCs w:val="24"/>
        </w:rPr>
      </w:pPr>
      <w:r>
        <w:rPr>
          <w:szCs w:val="24"/>
        </w:rPr>
        <w:instrText>112J.</w:instrText>
      </w:r>
      <w:r>
        <w:rPr>
          <w:szCs w:val="24"/>
        </w:rPr>
        <w:tab/>
        <w:instrText>Commercial hire businesses to be registered</w:instrText>
      </w:r>
      <w:r>
        <w:tab/>
      </w:r>
      <w:r>
        <w:fldChar w:fldCharType="begin"/>
      </w:r>
      <w:r>
        <w:instrText xml:space="preserve"> PAGEREF _Toc170193436 \h </w:instrText>
      </w:r>
      <w:r>
        <w:fldChar w:fldCharType="separate"/>
      </w:r>
      <w:r>
        <w:instrText>308</w:instrText>
      </w:r>
      <w:r>
        <w:fldChar w:fldCharType="end"/>
      </w:r>
    </w:p>
    <w:p>
      <w:pPr>
        <w:pStyle w:val="TOC8"/>
        <w:rPr>
          <w:sz w:val="24"/>
          <w:szCs w:val="24"/>
        </w:rPr>
      </w:pPr>
      <w:r>
        <w:rPr>
          <w:szCs w:val="24"/>
        </w:rPr>
        <w:instrText>112JA.</w:instrText>
      </w:r>
      <w:r>
        <w:rPr>
          <w:szCs w:val="24"/>
        </w:rPr>
        <w:tab/>
        <w:instrText>Registration of commercial hire businesses</w:instrText>
      </w:r>
      <w:r>
        <w:tab/>
      </w:r>
      <w:r>
        <w:fldChar w:fldCharType="begin"/>
      </w:r>
      <w:r>
        <w:instrText xml:space="preserve"> PAGEREF _Toc170193437 \h </w:instrText>
      </w:r>
      <w:r>
        <w:fldChar w:fldCharType="separate"/>
      </w:r>
      <w:r>
        <w:instrText>308</w:instrText>
      </w:r>
      <w:r>
        <w:fldChar w:fldCharType="end"/>
      </w:r>
    </w:p>
    <w:p>
      <w:pPr>
        <w:pStyle w:val="TOC8"/>
        <w:rPr>
          <w:sz w:val="24"/>
          <w:szCs w:val="24"/>
        </w:rPr>
      </w:pPr>
      <w:r>
        <w:rPr>
          <w:szCs w:val="24"/>
        </w:rPr>
        <w:instrText>112JB.</w:instrText>
      </w:r>
      <w:r>
        <w:rPr>
          <w:szCs w:val="24"/>
        </w:rPr>
        <w:tab/>
        <w:instrText>Cancelling registration of commercial hire businesses</w:instrText>
      </w:r>
      <w:r>
        <w:tab/>
      </w:r>
      <w:r>
        <w:fldChar w:fldCharType="begin"/>
      </w:r>
      <w:r>
        <w:instrText xml:space="preserve"> PAGEREF _Toc170193438 \h </w:instrText>
      </w:r>
      <w:r>
        <w:fldChar w:fldCharType="separate"/>
      </w:r>
      <w:r>
        <w:instrText>309</w:instrText>
      </w:r>
      <w:r>
        <w:fldChar w:fldCharType="end"/>
      </w:r>
    </w:p>
    <w:p>
      <w:pPr>
        <w:pStyle w:val="TOC4"/>
        <w:tabs>
          <w:tab w:val="right" w:pos="7086"/>
        </w:tabs>
        <w:rPr>
          <w:b w:val="0"/>
          <w:sz w:val="24"/>
          <w:szCs w:val="24"/>
        </w:rPr>
      </w:pPr>
      <w:r>
        <w:rPr>
          <w:szCs w:val="26"/>
        </w:rPr>
        <w:instrText>Division 3 — Connection to the State</w:instrText>
      </w:r>
    </w:p>
    <w:p>
      <w:pPr>
        <w:pStyle w:val="TOC8"/>
        <w:rPr>
          <w:sz w:val="24"/>
          <w:szCs w:val="24"/>
        </w:rPr>
      </w:pPr>
      <w:r>
        <w:rPr>
          <w:szCs w:val="24"/>
        </w:rPr>
        <w:instrText>112K.</w:instrText>
      </w:r>
      <w:r>
        <w:rPr>
          <w:szCs w:val="24"/>
        </w:rPr>
        <w:tab/>
        <w:instrText>Connection to the State — hire of goods and persons to which this Part applies</w:instrText>
      </w:r>
      <w:r>
        <w:tab/>
      </w:r>
      <w:r>
        <w:fldChar w:fldCharType="begin"/>
      </w:r>
      <w:r>
        <w:instrText xml:space="preserve"> PAGEREF _Toc170193440 \h </w:instrText>
      </w:r>
      <w:r>
        <w:fldChar w:fldCharType="separate"/>
      </w:r>
      <w:r>
        <w:instrText>309</w:instrText>
      </w:r>
      <w:r>
        <w:fldChar w:fldCharType="end"/>
      </w:r>
    </w:p>
    <w:p>
      <w:pPr>
        <w:pStyle w:val="TOC4"/>
        <w:tabs>
          <w:tab w:val="right" w:pos="7086"/>
        </w:tabs>
        <w:rPr>
          <w:b w:val="0"/>
          <w:sz w:val="24"/>
          <w:szCs w:val="24"/>
        </w:rPr>
      </w:pPr>
      <w:r>
        <w:rPr>
          <w:szCs w:val="26"/>
        </w:rPr>
        <w:instrText>Division 4 — Commercial hire businesses</w:instrText>
      </w:r>
    </w:p>
    <w:p>
      <w:pPr>
        <w:pStyle w:val="TOC8"/>
        <w:rPr>
          <w:sz w:val="24"/>
          <w:szCs w:val="24"/>
        </w:rPr>
      </w:pPr>
      <w:r>
        <w:rPr>
          <w:szCs w:val="24"/>
        </w:rPr>
        <w:instrText>112L.</w:instrText>
      </w:r>
      <w:r>
        <w:rPr>
          <w:szCs w:val="24"/>
        </w:rPr>
        <w:tab/>
        <w:instrText>Lodging returns and paying duty</w:instrText>
      </w:r>
      <w:r>
        <w:tab/>
      </w:r>
      <w:r>
        <w:fldChar w:fldCharType="begin"/>
      </w:r>
      <w:r>
        <w:instrText xml:space="preserve"> PAGEREF _Toc170193442 \h </w:instrText>
      </w:r>
      <w:r>
        <w:fldChar w:fldCharType="separate"/>
      </w:r>
      <w:r>
        <w:instrText>310</w:instrText>
      </w:r>
      <w:r>
        <w:fldChar w:fldCharType="end"/>
      </w:r>
    </w:p>
    <w:p>
      <w:pPr>
        <w:pStyle w:val="TOC8"/>
        <w:rPr>
          <w:sz w:val="24"/>
          <w:szCs w:val="24"/>
        </w:rPr>
      </w:pPr>
      <w:r>
        <w:rPr>
          <w:szCs w:val="24"/>
        </w:rPr>
        <w:instrText>112LA.</w:instrText>
      </w:r>
      <w:r>
        <w:rPr>
          <w:szCs w:val="24"/>
        </w:rPr>
        <w:tab/>
        <w:instrText>Calculating the assessable amount for a return period</w:instrText>
      </w:r>
      <w:r>
        <w:tab/>
      </w:r>
      <w:r>
        <w:fldChar w:fldCharType="begin"/>
      </w:r>
      <w:r>
        <w:instrText xml:space="preserve"> PAGEREF _Toc170193443 \h </w:instrText>
      </w:r>
      <w:r>
        <w:fldChar w:fldCharType="separate"/>
      </w:r>
      <w:r>
        <w:instrText>311</w:instrText>
      </w:r>
      <w:r>
        <w:fldChar w:fldCharType="end"/>
      </w:r>
    </w:p>
    <w:p>
      <w:pPr>
        <w:pStyle w:val="TOC8"/>
        <w:rPr>
          <w:sz w:val="24"/>
          <w:szCs w:val="24"/>
        </w:rPr>
      </w:pPr>
      <w:r>
        <w:rPr>
          <w:szCs w:val="24"/>
        </w:rPr>
        <w:instrText>112LB.</w:instrText>
      </w:r>
      <w:r>
        <w:rPr>
          <w:szCs w:val="24"/>
        </w:rPr>
        <w:tab/>
        <w:instrText>Calculating the amount of duty payable on a return</w:instrText>
      </w:r>
      <w:r>
        <w:tab/>
      </w:r>
      <w:r>
        <w:fldChar w:fldCharType="begin"/>
      </w:r>
      <w:r>
        <w:instrText xml:space="preserve"> PAGEREF _Toc170193444 \h </w:instrText>
      </w:r>
      <w:r>
        <w:fldChar w:fldCharType="separate"/>
      </w:r>
      <w:r>
        <w:instrText>312</w:instrText>
      </w:r>
      <w:r>
        <w:fldChar w:fldCharType="end"/>
      </w:r>
    </w:p>
    <w:p>
      <w:pPr>
        <w:pStyle w:val="TOC8"/>
        <w:rPr>
          <w:sz w:val="24"/>
          <w:szCs w:val="24"/>
        </w:rPr>
      </w:pPr>
      <w:r>
        <w:rPr>
          <w:szCs w:val="24"/>
        </w:rPr>
        <w:instrText>112LC.</w:instrText>
      </w:r>
      <w:r>
        <w:rPr>
          <w:szCs w:val="24"/>
        </w:rPr>
        <w:tab/>
        <w:instrText>Return period for a commercial hire business</w:instrText>
      </w:r>
      <w:r>
        <w:tab/>
      </w:r>
      <w:r>
        <w:fldChar w:fldCharType="begin"/>
      </w:r>
      <w:r>
        <w:instrText xml:space="preserve"> PAGEREF _Toc170193445 \h </w:instrText>
      </w:r>
      <w:r>
        <w:fldChar w:fldCharType="separate"/>
      </w:r>
      <w:r>
        <w:instrText>312</w:instrText>
      </w:r>
      <w:r>
        <w:fldChar w:fldCharType="end"/>
      </w:r>
    </w:p>
    <w:p>
      <w:pPr>
        <w:pStyle w:val="TOC8"/>
        <w:rPr>
          <w:sz w:val="24"/>
          <w:szCs w:val="24"/>
        </w:rPr>
      </w:pPr>
      <w:r>
        <w:rPr>
          <w:szCs w:val="24"/>
        </w:rPr>
        <w:instrText>112LD.</w:instrText>
      </w:r>
      <w:r>
        <w:rPr>
          <w:szCs w:val="24"/>
        </w:rPr>
        <w:tab/>
        <w:instrText>Annual reconciliation</w:instrText>
      </w:r>
      <w:r>
        <w:tab/>
      </w:r>
      <w:r>
        <w:fldChar w:fldCharType="begin"/>
      </w:r>
      <w:r>
        <w:instrText xml:space="preserve"> PAGEREF _Toc170193446 \h </w:instrText>
      </w:r>
      <w:r>
        <w:fldChar w:fldCharType="separate"/>
      </w:r>
      <w:r>
        <w:instrText>313</w:instrText>
      </w:r>
      <w:r>
        <w:fldChar w:fldCharType="end"/>
      </w:r>
    </w:p>
    <w:p>
      <w:pPr>
        <w:pStyle w:val="TOC4"/>
        <w:tabs>
          <w:tab w:val="right" w:pos="7086"/>
        </w:tabs>
        <w:rPr>
          <w:b w:val="0"/>
          <w:sz w:val="24"/>
          <w:szCs w:val="24"/>
        </w:rPr>
      </w:pPr>
      <w:r>
        <w:rPr>
          <w:szCs w:val="26"/>
        </w:rPr>
        <w:instrText>Division 5 — Persons other than commercial hire businesses</w:instrText>
      </w:r>
    </w:p>
    <w:p>
      <w:pPr>
        <w:pStyle w:val="TOC8"/>
        <w:rPr>
          <w:sz w:val="24"/>
          <w:szCs w:val="24"/>
        </w:rPr>
      </w:pPr>
      <w:r>
        <w:rPr>
          <w:szCs w:val="24"/>
        </w:rPr>
        <w:instrText>112M.</w:instrText>
      </w:r>
      <w:r>
        <w:rPr>
          <w:szCs w:val="24"/>
        </w:rPr>
        <w:tab/>
        <w:instrText>Statement of transaction</w:instrText>
      </w:r>
      <w:r>
        <w:tab/>
      </w:r>
      <w:r>
        <w:fldChar w:fldCharType="begin"/>
      </w:r>
      <w:r>
        <w:instrText xml:space="preserve"> PAGEREF _Toc170193448 \h </w:instrText>
      </w:r>
      <w:r>
        <w:fldChar w:fldCharType="separate"/>
      </w:r>
      <w:r>
        <w:instrText>314</w:instrText>
      </w:r>
      <w:r>
        <w:fldChar w:fldCharType="end"/>
      </w:r>
    </w:p>
    <w:p>
      <w:pPr>
        <w:pStyle w:val="TOC8"/>
        <w:rPr>
          <w:sz w:val="24"/>
          <w:szCs w:val="24"/>
        </w:rPr>
      </w:pPr>
      <w:r>
        <w:rPr>
          <w:szCs w:val="24"/>
        </w:rPr>
        <w:instrText>112MA.</w:instrText>
      </w:r>
      <w:r>
        <w:rPr>
          <w:szCs w:val="24"/>
        </w:rPr>
        <w:tab/>
        <w:instrText>Lodging statements and paying duty</w:instrText>
      </w:r>
      <w:r>
        <w:tab/>
      </w:r>
      <w:r>
        <w:fldChar w:fldCharType="begin"/>
      </w:r>
      <w:r>
        <w:instrText xml:space="preserve"> PAGEREF _Toc170193449 \h </w:instrText>
      </w:r>
      <w:r>
        <w:fldChar w:fldCharType="separate"/>
      </w:r>
      <w:r>
        <w:instrText>315</w:instrText>
      </w:r>
      <w:r>
        <w:fldChar w:fldCharType="end"/>
      </w:r>
    </w:p>
    <w:p>
      <w:pPr>
        <w:pStyle w:val="TOC8"/>
        <w:rPr>
          <w:sz w:val="24"/>
          <w:szCs w:val="24"/>
        </w:rPr>
      </w:pPr>
      <w:r>
        <w:rPr>
          <w:szCs w:val="24"/>
        </w:rPr>
        <w:instrText>112MB.</w:instrText>
      </w:r>
      <w:r>
        <w:rPr>
          <w:szCs w:val="24"/>
        </w:rPr>
        <w:tab/>
        <w:instrText>Method of calculating total hiring charges if they are not readily ascertainable</w:instrText>
      </w:r>
      <w:r>
        <w:tab/>
      </w:r>
      <w:r>
        <w:fldChar w:fldCharType="begin"/>
      </w:r>
      <w:r>
        <w:instrText xml:space="preserve"> PAGEREF _Toc170193450 \h </w:instrText>
      </w:r>
      <w:r>
        <w:fldChar w:fldCharType="separate"/>
      </w:r>
      <w:r>
        <w:instrText>316</w:instrText>
      </w:r>
      <w:r>
        <w:fldChar w:fldCharType="end"/>
      </w:r>
    </w:p>
    <w:p>
      <w:pPr>
        <w:pStyle w:val="TOC4"/>
        <w:tabs>
          <w:tab w:val="right" w:pos="7086"/>
        </w:tabs>
        <w:rPr>
          <w:b w:val="0"/>
          <w:sz w:val="24"/>
          <w:szCs w:val="24"/>
        </w:rPr>
      </w:pPr>
      <w:r>
        <w:rPr>
          <w:szCs w:val="26"/>
        </w:rPr>
        <w:instrText>Division 6 — General provisions</w:instrText>
      </w:r>
    </w:p>
    <w:p>
      <w:pPr>
        <w:pStyle w:val="TOC8"/>
        <w:rPr>
          <w:sz w:val="24"/>
          <w:szCs w:val="24"/>
        </w:rPr>
      </w:pPr>
      <w:r>
        <w:rPr>
          <w:szCs w:val="24"/>
        </w:rPr>
        <w:instrText>112N.</w:instrText>
      </w:r>
      <w:r>
        <w:rPr>
          <w:szCs w:val="24"/>
        </w:rPr>
        <w:tab/>
        <w:instrText>Credit for duty paid in another Australian jurisdiction</w:instrText>
      </w:r>
      <w:r>
        <w:tab/>
      </w:r>
      <w:r>
        <w:fldChar w:fldCharType="begin"/>
      </w:r>
      <w:r>
        <w:instrText xml:space="preserve"> PAGEREF _Toc170193452 \h </w:instrText>
      </w:r>
      <w:r>
        <w:fldChar w:fldCharType="separate"/>
      </w:r>
      <w:r>
        <w:instrText>316</w:instrText>
      </w:r>
      <w:r>
        <w:fldChar w:fldCharType="end"/>
      </w:r>
    </w:p>
    <w:p>
      <w:pPr>
        <w:pStyle w:val="TOC8"/>
        <w:rPr>
          <w:sz w:val="24"/>
          <w:szCs w:val="24"/>
        </w:rPr>
      </w:pPr>
      <w:r>
        <w:rPr>
          <w:szCs w:val="24"/>
        </w:rPr>
        <w:instrText>112NA.</w:instrText>
      </w:r>
      <w:r>
        <w:rPr>
          <w:szCs w:val="24"/>
        </w:rPr>
        <w:tab/>
        <w:instrText>Splitting or redirecting hiring charges — anti</w:instrText>
      </w:r>
      <w:r>
        <w:rPr>
          <w:szCs w:val="24"/>
        </w:rPr>
        <w:noBreakHyphen/>
        <w:instrText>avoidance provision</w:instrText>
      </w:r>
      <w:r>
        <w:tab/>
      </w:r>
      <w:r>
        <w:fldChar w:fldCharType="begin"/>
      </w:r>
      <w:r>
        <w:instrText xml:space="preserve"> PAGEREF _Toc170193453 \h </w:instrText>
      </w:r>
      <w:r>
        <w:fldChar w:fldCharType="separate"/>
      </w:r>
      <w:r>
        <w:instrText>317</w:instrText>
      </w:r>
      <w:r>
        <w:fldChar w:fldCharType="end"/>
      </w:r>
    </w:p>
    <w:p>
      <w:pPr>
        <w:pStyle w:val="TOC8"/>
        <w:rPr>
          <w:sz w:val="24"/>
          <w:szCs w:val="24"/>
        </w:rPr>
      </w:pPr>
      <w:r>
        <w:rPr>
          <w:szCs w:val="24"/>
        </w:rPr>
        <w:instrText>112NB.</w:instrText>
      </w:r>
      <w:r>
        <w:rPr>
          <w:szCs w:val="24"/>
        </w:rPr>
        <w:tab/>
        <w:instrText>Ascertainment and disclosure of place of use of goods</w:instrText>
      </w:r>
      <w:r>
        <w:tab/>
      </w:r>
      <w:r>
        <w:fldChar w:fldCharType="begin"/>
      </w:r>
      <w:r>
        <w:instrText xml:space="preserve"> PAGEREF _Toc170193454 \h </w:instrText>
      </w:r>
      <w:r>
        <w:fldChar w:fldCharType="separate"/>
      </w:r>
      <w:r>
        <w:instrText>317</w:instrText>
      </w:r>
      <w:r>
        <w:fldChar w:fldCharType="end"/>
      </w:r>
    </w:p>
    <w:p>
      <w:pPr>
        <w:pStyle w:val="TOC8"/>
        <w:rPr>
          <w:sz w:val="24"/>
          <w:szCs w:val="24"/>
        </w:rPr>
      </w:pPr>
      <w:r>
        <w:rPr>
          <w:szCs w:val="24"/>
        </w:rPr>
        <w:instrText>112NC.</w:instrText>
      </w:r>
      <w:r>
        <w:rPr>
          <w:szCs w:val="24"/>
        </w:rPr>
        <w:tab/>
        <w:instrText>Records</w:instrText>
      </w:r>
      <w:r>
        <w:tab/>
      </w:r>
      <w:r>
        <w:fldChar w:fldCharType="begin"/>
      </w:r>
      <w:r>
        <w:instrText xml:space="preserve"> PAGEREF _Toc170193455 \h </w:instrText>
      </w:r>
      <w:r>
        <w:fldChar w:fldCharType="separate"/>
      </w:r>
      <w:r>
        <w:instrText>318</w:instrText>
      </w:r>
      <w:r>
        <w:fldChar w:fldCharType="end"/>
      </w:r>
    </w:p>
    <w:p>
      <w:pPr>
        <w:pStyle w:val="TOC2"/>
        <w:tabs>
          <w:tab w:val="right" w:pos="7086"/>
        </w:tabs>
        <w:rPr>
          <w:b w:val="0"/>
          <w:sz w:val="24"/>
          <w:szCs w:val="24"/>
        </w:rPr>
      </w:pPr>
      <w:r>
        <w:rPr>
          <w:szCs w:val="30"/>
        </w:rPr>
        <w:instrText>Part IVC — Exemptions in relation to aged or disabled persons</w:instrText>
      </w:r>
    </w:p>
    <w:p>
      <w:pPr>
        <w:pStyle w:val="TOC8"/>
        <w:rPr>
          <w:sz w:val="24"/>
          <w:szCs w:val="24"/>
        </w:rPr>
      </w:pPr>
      <w:r>
        <w:rPr>
          <w:szCs w:val="24"/>
        </w:rPr>
        <w:instrText>112Q</w:instrText>
      </w:r>
      <w:r>
        <w:rPr>
          <w:snapToGrid w:val="0"/>
          <w:szCs w:val="24"/>
        </w:rPr>
        <w:instrText>.</w:instrText>
      </w:r>
      <w:r>
        <w:rPr>
          <w:snapToGrid w:val="0"/>
          <w:szCs w:val="24"/>
        </w:rPr>
        <w:tab/>
        <w:instrText>Certain residential agreements with charitable bodies exempt</w:instrText>
      </w:r>
      <w:r>
        <w:tab/>
      </w:r>
      <w:r>
        <w:fldChar w:fldCharType="begin"/>
      </w:r>
      <w:r>
        <w:instrText xml:space="preserve"> PAGEREF _Toc170193457 \h </w:instrText>
      </w:r>
      <w:r>
        <w:fldChar w:fldCharType="separate"/>
      </w:r>
      <w:r>
        <w:instrText>320</w:instrText>
      </w:r>
      <w:r>
        <w:fldChar w:fldCharType="end"/>
      </w:r>
    </w:p>
    <w:p>
      <w:pPr>
        <w:pStyle w:val="TOC8"/>
        <w:rPr>
          <w:sz w:val="24"/>
          <w:szCs w:val="24"/>
        </w:rPr>
      </w:pPr>
      <w:r>
        <w:rPr>
          <w:szCs w:val="24"/>
        </w:rPr>
        <w:instrText>112R</w:instrText>
      </w:r>
      <w:r>
        <w:rPr>
          <w:snapToGrid w:val="0"/>
          <w:szCs w:val="24"/>
        </w:rPr>
        <w:instrText>.</w:instrText>
      </w:r>
      <w:r>
        <w:rPr>
          <w:snapToGrid w:val="0"/>
          <w:szCs w:val="24"/>
        </w:rPr>
        <w:tab/>
        <w:instrText>Certain aged care agreements exempt</w:instrText>
      </w:r>
      <w:r>
        <w:tab/>
      </w:r>
      <w:r>
        <w:fldChar w:fldCharType="begin"/>
      </w:r>
      <w:r>
        <w:instrText xml:space="preserve"> PAGEREF _Toc170193458 \h </w:instrText>
      </w:r>
      <w:r>
        <w:fldChar w:fldCharType="separate"/>
      </w:r>
      <w:r>
        <w:instrText>320</w:instrText>
      </w:r>
      <w:r>
        <w:fldChar w:fldCharType="end"/>
      </w:r>
    </w:p>
    <w:p>
      <w:pPr>
        <w:pStyle w:val="TOC8"/>
        <w:rPr>
          <w:sz w:val="24"/>
          <w:szCs w:val="24"/>
        </w:rPr>
      </w:pPr>
      <w:r>
        <w:rPr>
          <w:szCs w:val="24"/>
        </w:rPr>
        <w:instrText>112S</w:instrText>
      </w:r>
      <w:r>
        <w:rPr>
          <w:snapToGrid w:val="0"/>
          <w:szCs w:val="24"/>
        </w:rPr>
        <w:instrText>.</w:instrText>
      </w:r>
      <w:r>
        <w:rPr>
          <w:snapToGrid w:val="0"/>
          <w:szCs w:val="24"/>
        </w:rPr>
        <w:tab/>
        <w:instrText>Instruments not required to be lodged</w:instrText>
      </w:r>
      <w:r>
        <w:tab/>
      </w:r>
      <w:r>
        <w:fldChar w:fldCharType="begin"/>
      </w:r>
      <w:r>
        <w:instrText xml:space="preserve"> PAGEREF _Toc170193459 \h </w:instrText>
      </w:r>
      <w:r>
        <w:fldChar w:fldCharType="separate"/>
      </w:r>
      <w:r>
        <w:instrText>321</w:instrText>
      </w:r>
      <w:r>
        <w:fldChar w:fldCharType="end"/>
      </w:r>
    </w:p>
    <w:p>
      <w:pPr>
        <w:pStyle w:val="TOC2"/>
        <w:tabs>
          <w:tab w:val="right" w:pos="7086"/>
        </w:tabs>
        <w:rPr>
          <w:b w:val="0"/>
          <w:sz w:val="24"/>
          <w:szCs w:val="24"/>
        </w:rPr>
      </w:pPr>
      <w:r>
        <w:rPr>
          <w:szCs w:val="30"/>
        </w:rPr>
        <w:instrText>Part IVD — Maintenance agreements and orders</w:instrText>
      </w:r>
    </w:p>
    <w:p>
      <w:pPr>
        <w:pStyle w:val="TOC8"/>
        <w:rPr>
          <w:sz w:val="24"/>
          <w:szCs w:val="24"/>
        </w:rPr>
      </w:pPr>
      <w:r>
        <w:rPr>
          <w:szCs w:val="24"/>
        </w:rPr>
        <w:instrText>112UA</w:instrText>
      </w:r>
      <w:r>
        <w:rPr>
          <w:snapToGrid w:val="0"/>
          <w:szCs w:val="24"/>
        </w:rPr>
        <w:instrText>.</w:instrText>
      </w:r>
      <w:r>
        <w:rPr>
          <w:snapToGrid w:val="0"/>
          <w:szCs w:val="24"/>
        </w:rPr>
        <w:tab/>
        <w:instrText>Interpretation in Part IVD</w:instrText>
      </w:r>
      <w:r>
        <w:tab/>
      </w:r>
      <w:r>
        <w:fldChar w:fldCharType="begin"/>
      </w:r>
      <w:r>
        <w:instrText xml:space="preserve"> PAGEREF _Toc170193461 \h </w:instrText>
      </w:r>
      <w:r>
        <w:fldChar w:fldCharType="separate"/>
      </w:r>
      <w:r>
        <w:instrText>322</w:instrText>
      </w:r>
      <w:r>
        <w:fldChar w:fldCharType="end"/>
      </w:r>
    </w:p>
    <w:p>
      <w:pPr>
        <w:pStyle w:val="TOC8"/>
        <w:rPr>
          <w:sz w:val="24"/>
          <w:szCs w:val="24"/>
        </w:rPr>
      </w:pPr>
      <w:r>
        <w:rPr>
          <w:szCs w:val="24"/>
        </w:rPr>
        <w:instrText>112UB</w:instrText>
      </w:r>
      <w:r>
        <w:rPr>
          <w:snapToGrid w:val="0"/>
          <w:szCs w:val="24"/>
        </w:rPr>
        <w:instrText>.</w:instrText>
      </w:r>
      <w:r>
        <w:rPr>
          <w:snapToGrid w:val="0"/>
          <w:szCs w:val="24"/>
        </w:rPr>
        <w:tab/>
        <w:instrText>Application of Part IVD</w:instrText>
      </w:r>
      <w:r>
        <w:tab/>
      </w:r>
      <w:r>
        <w:fldChar w:fldCharType="begin"/>
      </w:r>
      <w:r>
        <w:instrText xml:space="preserve"> PAGEREF _Toc170193462 \h </w:instrText>
      </w:r>
      <w:r>
        <w:fldChar w:fldCharType="separate"/>
      </w:r>
      <w:r>
        <w:instrText>323</w:instrText>
      </w:r>
      <w:r>
        <w:fldChar w:fldCharType="end"/>
      </w:r>
    </w:p>
    <w:p>
      <w:pPr>
        <w:pStyle w:val="TOC8"/>
        <w:rPr>
          <w:sz w:val="24"/>
          <w:szCs w:val="24"/>
        </w:rPr>
      </w:pPr>
      <w:r>
        <w:rPr>
          <w:szCs w:val="24"/>
        </w:rPr>
        <w:instrText>112UC</w:instrText>
      </w:r>
      <w:r>
        <w:rPr>
          <w:snapToGrid w:val="0"/>
          <w:szCs w:val="24"/>
        </w:rPr>
        <w:instrText>.</w:instrText>
      </w:r>
      <w:r>
        <w:rPr>
          <w:snapToGrid w:val="0"/>
          <w:szCs w:val="24"/>
        </w:rPr>
        <w:tab/>
        <w:instrText>Duty on maintenance agreements and orders</w:instrText>
      </w:r>
      <w:r>
        <w:tab/>
      </w:r>
      <w:r>
        <w:fldChar w:fldCharType="begin"/>
      </w:r>
      <w:r>
        <w:instrText xml:space="preserve"> PAGEREF _Toc170193463 \h </w:instrText>
      </w:r>
      <w:r>
        <w:fldChar w:fldCharType="separate"/>
      </w:r>
      <w:r>
        <w:instrText>324</w:instrText>
      </w:r>
      <w:r>
        <w:fldChar w:fldCharType="end"/>
      </w:r>
    </w:p>
    <w:p>
      <w:pPr>
        <w:pStyle w:val="TOC8"/>
        <w:rPr>
          <w:sz w:val="24"/>
          <w:szCs w:val="24"/>
        </w:rPr>
      </w:pPr>
      <w:r>
        <w:rPr>
          <w:szCs w:val="24"/>
        </w:rPr>
        <w:instrText>112UD</w:instrText>
      </w:r>
      <w:r>
        <w:rPr>
          <w:snapToGrid w:val="0"/>
          <w:szCs w:val="24"/>
        </w:rPr>
        <w:instrText>.</w:instrText>
      </w:r>
      <w:r>
        <w:rPr>
          <w:snapToGrid w:val="0"/>
          <w:szCs w:val="24"/>
        </w:rPr>
        <w:tab/>
        <w:instrText>Duty on conveyance or transfer under maintenance agreement or order</w:instrText>
      </w:r>
      <w:r>
        <w:tab/>
      </w:r>
      <w:r>
        <w:fldChar w:fldCharType="begin"/>
      </w:r>
      <w:r>
        <w:instrText xml:space="preserve"> PAGEREF _Toc170193464 \h </w:instrText>
      </w:r>
      <w:r>
        <w:fldChar w:fldCharType="separate"/>
      </w:r>
      <w:r>
        <w:instrText>325</w:instrText>
      </w:r>
      <w:r>
        <w:fldChar w:fldCharType="end"/>
      </w:r>
    </w:p>
    <w:p>
      <w:pPr>
        <w:pStyle w:val="TOC2"/>
        <w:tabs>
          <w:tab w:val="right" w:pos="7086"/>
        </w:tabs>
        <w:rPr>
          <w:b w:val="0"/>
          <w:sz w:val="24"/>
          <w:szCs w:val="24"/>
        </w:rPr>
      </w:pPr>
      <w:r>
        <w:rPr>
          <w:szCs w:val="30"/>
        </w:rPr>
        <w:instrText>Part IVE — Managed investment schemes</w:instrText>
      </w:r>
    </w:p>
    <w:p>
      <w:pPr>
        <w:pStyle w:val="TOC8"/>
        <w:rPr>
          <w:sz w:val="24"/>
          <w:szCs w:val="24"/>
        </w:rPr>
      </w:pPr>
      <w:r>
        <w:rPr>
          <w:szCs w:val="24"/>
        </w:rPr>
        <w:instrText>112UE.</w:instrText>
      </w:r>
      <w:r>
        <w:rPr>
          <w:szCs w:val="24"/>
        </w:rPr>
        <w:tab/>
        <w:instrText>Duty on certain instruments for the purpose of managed investment schemes</w:instrText>
      </w:r>
      <w:r>
        <w:tab/>
      </w:r>
      <w:r>
        <w:fldChar w:fldCharType="begin"/>
      </w:r>
      <w:r>
        <w:instrText xml:space="preserve"> PAGEREF _Toc170193466 \h </w:instrText>
      </w:r>
      <w:r>
        <w:fldChar w:fldCharType="separate"/>
      </w:r>
      <w:r>
        <w:instrText>326</w:instrText>
      </w:r>
      <w:r>
        <w:fldChar w:fldCharType="end"/>
      </w:r>
    </w:p>
    <w:p>
      <w:pPr>
        <w:pStyle w:val="TOC2"/>
        <w:tabs>
          <w:tab w:val="right" w:pos="7086"/>
        </w:tabs>
        <w:rPr>
          <w:b w:val="0"/>
          <w:sz w:val="24"/>
          <w:szCs w:val="24"/>
        </w:rPr>
      </w:pPr>
      <w:r>
        <w:rPr>
          <w:szCs w:val="30"/>
        </w:rPr>
        <w:instrText>Part V — Miscellaneous</w:instrText>
      </w:r>
    </w:p>
    <w:p>
      <w:pPr>
        <w:pStyle w:val="TOC8"/>
        <w:rPr>
          <w:sz w:val="24"/>
          <w:szCs w:val="24"/>
        </w:rPr>
      </w:pPr>
      <w:r>
        <w:rPr>
          <w:szCs w:val="24"/>
        </w:rPr>
        <w:instrText>113.</w:instrText>
      </w:r>
      <w:r>
        <w:rPr>
          <w:szCs w:val="24"/>
        </w:rPr>
        <w:tab/>
        <w:instrText>Commissioner may impound unstamped documents</w:instrText>
      </w:r>
      <w:r>
        <w:tab/>
      </w:r>
      <w:r>
        <w:fldChar w:fldCharType="begin"/>
      </w:r>
      <w:r>
        <w:instrText xml:space="preserve"> PAGEREF _Toc170193468 \h </w:instrText>
      </w:r>
      <w:r>
        <w:fldChar w:fldCharType="separate"/>
      </w:r>
      <w:r>
        <w:instrText>328</w:instrText>
      </w:r>
      <w:r>
        <w:fldChar w:fldCharType="end"/>
      </w:r>
    </w:p>
    <w:p>
      <w:pPr>
        <w:pStyle w:val="TOC8"/>
        <w:rPr>
          <w:sz w:val="24"/>
          <w:szCs w:val="24"/>
        </w:rPr>
      </w:pPr>
      <w:r>
        <w:rPr>
          <w:szCs w:val="24"/>
        </w:rPr>
        <w:instrText>114.</w:instrText>
      </w:r>
      <w:r>
        <w:rPr>
          <w:szCs w:val="24"/>
        </w:rPr>
        <w:tab/>
        <w:instrText>Commissioner may destroy instruments</w:instrText>
      </w:r>
      <w:r>
        <w:tab/>
      </w:r>
      <w:r>
        <w:fldChar w:fldCharType="begin"/>
      </w:r>
      <w:r>
        <w:instrText xml:space="preserve"> PAGEREF _Toc170193469 \h </w:instrText>
      </w:r>
      <w:r>
        <w:fldChar w:fldCharType="separate"/>
      </w:r>
      <w:r>
        <w:instrText>328</w:instrText>
      </w:r>
      <w:r>
        <w:fldChar w:fldCharType="end"/>
      </w:r>
    </w:p>
    <w:p>
      <w:pPr>
        <w:pStyle w:val="TOC8"/>
        <w:rPr>
          <w:sz w:val="24"/>
          <w:szCs w:val="24"/>
        </w:rPr>
      </w:pPr>
      <w:r>
        <w:rPr>
          <w:szCs w:val="24"/>
        </w:rPr>
        <w:instrText>119</w:instrText>
      </w:r>
      <w:r>
        <w:rPr>
          <w:snapToGrid w:val="0"/>
          <w:szCs w:val="24"/>
        </w:rPr>
        <w:instrText>.</w:instrText>
      </w:r>
      <w:r>
        <w:rPr>
          <w:snapToGrid w:val="0"/>
          <w:szCs w:val="24"/>
        </w:rPr>
        <w:tab/>
        <w:instrText>Certain exemptions where the State of Western Australia etc. is a party</w:instrText>
      </w:r>
      <w:r>
        <w:tab/>
      </w:r>
      <w:r>
        <w:fldChar w:fldCharType="begin"/>
      </w:r>
      <w:r>
        <w:instrText xml:space="preserve"> PAGEREF _Toc170193470 \h </w:instrText>
      </w:r>
      <w:r>
        <w:fldChar w:fldCharType="separate"/>
      </w:r>
      <w:r>
        <w:instrText>329</w:instrText>
      </w:r>
      <w:r>
        <w:fldChar w:fldCharType="end"/>
      </w:r>
    </w:p>
    <w:p>
      <w:pPr>
        <w:pStyle w:val="TOC8"/>
        <w:rPr>
          <w:sz w:val="24"/>
          <w:szCs w:val="24"/>
        </w:rPr>
      </w:pPr>
      <w:r>
        <w:rPr>
          <w:szCs w:val="24"/>
        </w:rPr>
        <w:instrText>120.</w:instrText>
      </w:r>
      <w:r>
        <w:rPr>
          <w:szCs w:val="24"/>
        </w:rPr>
        <w:tab/>
        <w:instrText>Regulations</w:instrText>
      </w:r>
      <w:r>
        <w:tab/>
      </w:r>
      <w:r>
        <w:fldChar w:fldCharType="begin"/>
      </w:r>
      <w:r>
        <w:instrText xml:space="preserve"> PAGEREF _Toc170193471 \h </w:instrText>
      </w:r>
      <w:r>
        <w:fldChar w:fldCharType="separate"/>
      </w:r>
      <w:r>
        <w:instrText>330</w:instrText>
      </w:r>
      <w:r>
        <w:fldChar w:fldCharType="end"/>
      </w:r>
    </w:p>
    <w:p>
      <w:pPr>
        <w:pStyle w:val="TOC8"/>
        <w:rPr>
          <w:sz w:val="24"/>
          <w:szCs w:val="24"/>
        </w:rPr>
      </w:pPr>
      <w:r>
        <w:rPr>
          <w:szCs w:val="24"/>
        </w:rPr>
        <w:instrText>121.</w:instrText>
      </w:r>
      <w:r>
        <w:rPr>
          <w:szCs w:val="24"/>
        </w:rPr>
        <w:tab/>
        <w:instrText>Application of section 1070A of the Corporations Act limited</w:instrText>
      </w:r>
      <w:r>
        <w:tab/>
      </w:r>
      <w:r>
        <w:fldChar w:fldCharType="begin"/>
      </w:r>
      <w:r>
        <w:instrText xml:space="preserve"> PAGEREF _Toc170193472 \h </w:instrText>
      </w:r>
      <w:r>
        <w:fldChar w:fldCharType="separate"/>
      </w:r>
      <w:r>
        <w:instrText>331</w:instrText>
      </w:r>
      <w:r>
        <w:fldChar w:fldCharType="end"/>
      </w:r>
    </w:p>
    <w:p>
      <w:pPr>
        <w:pStyle w:val="TOC2"/>
        <w:tabs>
          <w:tab w:val="right" w:pos="7086"/>
        </w:tabs>
        <w:rPr>
          <w:b w:val="0"/>
          <w:sz w:val="24"/>
          <w:szCs w:val="24"/>
        </w:rPr>
      </w:pPr>
      <w:r>
        <w:rPr>
          <w:szCs w:val="28"/>
        </w:rPr>
        <w:instrText>Second Schedule</w:instrText>
      </w:r>
    </w:p>
    <w:p>
      <w:pPr>
        <w:pStyle w:val="TOC2"/>
        <w:tabs>
          <w:tab w:val="right" w:pos="7086"/>
        </w:tabs>
        <w:rPr>
          <w:b w:val="0"/>
          <w:sz w:val="24"/>
          <w:szCs w:val="24"/>
        </w:rPr>
      </w:pPr>
      <w:r>
        <w:rPr>
          <w:szCs w:val="28"/>
        </w:rPr>
        <w:instrText>Duties payable on instruments</w:instrText>
      </w:r>
    </w:p>
    <w:p>
      <w:pPr>
        <w:pStyle w:val="TOC2"/>
        <w:tabs>
          <w:tab w:val="right" w:pos="7086"/>
        </w:tabs>
        <w:rPr>
          <w:b w:val="0"/>
          <w:sz w:val="24"/>
          <w:szCs w:val="24"/>
        </w:rPr>
      </w:pPr>
      <w:r>
        <w:rPr>
          <w:szCs w:val="28"/>
        </w:rPr>
        <w:instrText>Third Schedule</w:instrText>
      </w:r>
    </w:p>
    <w:p>
      <w:pPr>
        <w:pStyle w:val="TOC2"/>
        <w:tabs>
          <w:tab w:val="right" w:pos="7086"/>
        </w:tabs>
        <w:rPr>
          <w:b w:val="0"/>
          <w:sz w:val="24"/>
          <w:szCs w:val="24"/>
        </w:rPr>
      </w:pPr>
      <w:r>
        <w:rPr>
          <w:szCs w:val="28"/>
        </w:rPr>
        <w:instrText>Exemptions from duty</w:instrText>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_Toc170193478 \h </w:instrText>
      </w:r>
      <w:r>
        <w:fldChar w:fldCharType="separate"/>
      </w:r>
      <w:r>
        <w:instrText>349</w:instrText>
      </w:r>
      <w:r>
        <w:fldChar w:fldCharType="end"/>
      </w:r>
    </w:p>
    <w:p>
      <w:pPr>
        <w:pStyle w:val="TOC8"/>
        <w:rPr>
          <w:sz w:val="24"/>
          <w:szCs w:val="24"/>
        </w:rPr>
      </w:pPr>
      <w:r>
        <w:rPr>
          <w:snapToGrid w:val="0"/>
          <w:szCs w:val="24"/>
        </w:rPr>
        <w:instrText>Provisions that have not come into operation</w:instrText>
      </w:r>
      <w:r>
        <w:tab/>
      </w:r>
      <w:r>
        <w:fldChar w:fldCharType="begin"/>
      </w:r>
      <w:r>
        <w:instrText xml:space="preserve"> PAGEREF _Toc170193479 \h </w:instrText>
      </w:r>
      <w:r>
        <w:fldChar w:fldCharType="separate"/>
      </w:r>
      <w:r>
        <w:instrText>362</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080"/>
      </w:pPr>
      <w:r>
        <w:t xml:space="preserve">Stamp Act 1921 </w:t>
      </w:r>
    </w:p>
    <w:p>
      <w:pPr>
        <w:pStyle w:val="LongTitle"/>
        <w:rPr>
          <w:snapToGrid w:val="0"/>
        </w:rPr>
      </w:pPr>
      <w:r>
        <w:rPr>
          <w:snapToGrid w:val="0"/>
        </w:rPr>
        <w:t xml:space="preserve">An Act to amend and consolidate the law relating to stamp duties upon instruments and to impose certain stamp duties, and for other relative purposes. </w:t>
      </w:r>
    </w:p>
    <w:p>
      <w:pPr>
        <w:pStyle w:val="Heading2"/>
      </w:pPr>
      <w:bookmarkStart w:id="2" w:name="_Toc58902506"/>
      <w:bookmarkStart w:id="3" w:name="_Toc76899495"/>
      <w:bookmarkStart w:id="4" w:name="_Toc78090397"/>
      <w:bookmarkStart w:id="5" w:name="_Toc88886765"/>
      <w:bookmarkStart w:id="6" w:name="_Toc90443381"/>
      <w:bookmarkStart w:id="7" w:name="_Toc90452732"/>
      <w:bookmarkStart w:id="8" w:name="_Toc100029323"/>
      <w:bookmarkStart w:id="9" w:name="_Toc100031396"/>
      <w:bookmarkStart w:id="10" w:name="_Toc100458455"/>
      <w:bookmarkStart w:id="11" w:name="_Toc101671871"/>
      <w:bookmarkStart w:id="12" w:name="_Toc101672128"/>
      <w:bookmarkStart w:id="13" w:name="_Toc102799154"/>
      <w:bookmarkStart w:id="14" w:name="_Toc102981828"/>
      <w:bookmarkStart w:id="15" w:name="_Toc103403141"/>
      <w:bookmarkStart w:id="16" w:name="_Toc103403398"/>
      <w:bookmarkStart w:id="17" w:name="_Toc103747397"/>
      <w:bookmarkStart w:id="18" w:name="_Toc107054826"/>
      <w:bookmarkStart w:id="19" w:name="_Toc113874273"/>
      <w:bookmarkStart w:id="20" w:name="_Toc113956689"/>
      <w:bookmarkStart w:id="21" w:name="_Toc116717245"/>
      <w:bookmarkStart w:id="22" w:name="_Toc116813272"/>
      <w:bookmarkStart w:id="23" w:name="_Toc122332924"/>
      <w:bookmarkStart w:id="24" w:name="_Toc122861894"/>
      <w:bookmarkStart w:id="25" w:name="_Toc122862490"/>
      <w:bookmarkStart w:id="26" w:name="_Toc122921097"/>
      <w:bookmarkStart w:id="27" w:name="_Toc122921357"/>
      <w:bookmarkStart w:id="28" w:name="_Toc122947302"/>
      <w:bookmarkStart w:id="29" w:name="_Toc124046138"/>
      <w:bookmarkStart w:id="30" w:name="_Toc131415723"/>
      <w:bookmarkStart w:id="31" w:name="_Toc131416022"/>
      <w:bookmarkStart w:id="32" w:name="_Toc17019320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500739862"/>
      <w:bookmarkStart w:id="34" w:name="_Toc520101053"/>
      <w:bookmarkStart w:id="35" w:name="_Toc520532952"/>
      <w:bookmarkStart w:id="36" w:name="_Toc49223859"/>
      <w:bookmarkStart w:id="37" w:name="_Toc107054827"/>
      <w:bookmarkStart w:id="38" w:name="_Toc131416023"/>
      <w:bookmarkStart w:id="39" w:name="_Toc170193206"/>
      <w:r>
        <w:rPr>
          <w:rStyle w:val="CharSectno"/>
        </w:rPr>
        <w:t>1</w:t>
      </w:r>
      <w:r>
        <w:rPr>
          <w:snapToGrid w:val="0"/>
        </w:rPr>
        <w:t>.</w:t>
      </w:r>
      <w:r>
        <w:rPr>
          <w:snapToGrid w:val="0"/>
        </w:rPr>
        <w:tab/>
        <w:t>Short title and commencement</w:t>
      </w:r>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 xml:space="preserve">Repealed by No. 37 of 1979 s. 3.] </w:t>
      </w:r>
    </w:p>
    <w:p>
      <w:pPr>
        <w:pStyle w:val="Ednotesection"/>
        <w:ind w:left="890" w:hanging="890"/>
      </w:pPr>
      <w:bookmarkStart w:id="40" w:name="_Toc500739865"/>
      <w:bookmarkStart w:id="41" w:name="_Toc520101056"/>
      <w:bookmarkStart w:id="42" w:name="_Toc520532955"/>
      <w:r>
        <w:t>[</w:t>
      </w:r>
      <w:r>
        <w:rPr>
          <w:b/>
        </w:rPr>
        <w:t>2A, 3.</w:t>
      </w:r>
      <w:r>
        <w:tab/>
        <w:t xml:space="preserve">Repealed by No. 2 of 2003 s. 4.] </w:t>
      </w:r>
    </w:p>
    <w:p>
      <w:pPr>
        <w:pStyle w:val="Heading5"/>
        <w:rPr>
          <w:snapToGrid w:val="0"/>
        </w:rPr>
      </w:pPr>
      <w:bookmarkStart w:id="43" w:name="_Toc49223860"/>
      <w:bookmarkStart w:id="44" w:name="_Toc107054828"/>
      <w:bookmarkStart w:id="45" w:name="_Toc131416024"/>
      <w:bookmarkStart w:id="46" w:name="_Toc170193207"/>
      <w:r>
        <w:rPr>
          <w:rStyle w:val="CharSectno"/>
        </w:rPr>
        <w:t>4</w:t>
      </w:r>
      <w:r>
        <w:rPr>
          <w:snapToGrid w:val="0"/>
        </w:rPr>
        <w:t>.</w:t>
      </w:r>
      <w:r>
        <w:rPr>
          <w:snapToGrid w:val="0"/>
        </w:rPr>
        <w:tab/>
        <w:t>Interpretation</w:t>
      </w:r>
      <w:bookmarkEnd w:id="40"/>
      <w:bookmarkEnd w:id="41"/>
      <w:bookmarkEnd w:id="42"/>
      <w:bookmarkEnd w:id="43"/>
      <w:bookmarkEnd w:id="44"/>
      <w:bookmarkEnd w:id="45"/>
      <w:bookmarkEnd w:id="46"/>
      <w:r>
        <w:rPr>
          <w:snapToGrid w:val="0"/>
        </w:rPr>
        <w:t xml:space="preserve"> </w:t>
      </w:r>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 xml:space="preserve">a section 76AG statement; </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r>
        <w:rPr>
          <w:rFonts w:ascii="Times" w:hAnsi="Times"/>
          <w:i w:val="0"/>
          <w:vertAlign w:val="superscript"/>
        </w:rPr>
        <w:t> 2</w:t>
      </w:r>
      <w:r>
        <w:t xml:space="preserve">.] </w:t>
      </w:r>
    </w:p>
    <w:p>
      <w:pPr>
        <w:pStyle w:val="Heading5"/>
      </w:pPr>
      <w:bookmarkStart w:id="47" w:name="_Toc500739866"/>
      <w:bookmarkStart w:id="48" w:name="_Toc520101057"/>
      <w:bookmarkStart w:id="49" w:name="_Toc520532956"/>
      <w:bookmarkStart w:id="50" w:name="_Toc49223861"/>
      <w:bookmarkStart w:id="51" w:name="_Toc107054829"/>
      <w:bookmarkStart w:id="52" w:name="_Toc131416025"/>
      <w:bookmarkStart w:id="53" w:name="_Toc170193208"/>
      <w:r>
        <w:rPr>
          <w:rStyle w:val="CharSectno"/>
        </w:rPr>
        <w:t>4A</w:t>
      </w:r>
      <w:r>
        <w:t>.</w:t>
      </w:r>
      <w:r>
        <w:tab/>
        <w:t>Treatment of amounts payable for GST</w:t>
      </w:r>
      <w:bookmarkEnd w:id="47"/>
      <w:bookmarkEnd w:id="48"/>
      <w:bookmarkEnd w:id="49"/>
      <w:bookmarkEnd w:id="50"/>
      <w:bookmarkEnd w:id="51"/>
      <w:bookmarkEnd w:id="52"/>
      <w:bookmarkEnd w:id="53"/>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54" w:name="_Toc76899499"/>
      <w:bookmarkStart w:id="55" w:name="_Toc78090401"/>
      <w:bookmarkStart w:id="56" w:name="_Toc88886769"/>
      <w:bookmarkStart w:id="57" w:name="_Toc90443385"/>
      <w:bookmarkStart w:id="58" w:name="_Toc90452736"/>
      <w:bookmarkStart w:id="59" w:name="_Toc100029327"/>
      <w:bookmarkStart w:id="60" w:name="_Toc100031400"/>
      <w:bookmarkStart w:id="61" w:name="_Toc100458459"/>
      <w:bookmarkStart w:id="62" w:name="_Toc101671875"/>
      <w:bookmarkStart w:id="63" w:name="_Toc101672132"/>
      <w:bookmarkStart w:id="64" w:name="_Toc102799158"/>
      <w:bookmarkStart w:id="65" w:name="_Toc102981832"/>
      <w:bookmarkStart w:id="66" w:name="_Toc103403145"/>
      <w:bookmarkStart w:id="67" w:name="_Toc103403402"/>
      <w:bookmarkStart w:id="68" w:name="_Toc103747401"/>
      <w:bookmarkStart w:id="69" w:name="_Toc107054830"/>
      <w:bookmarkStart w:id="70" w:name="_Toc113874277"/>
      <w:bookmarkStart w:id="71" w:name="_Toc113956693"/>
      <w:bookmarkStart w:id="72" w:name="_Toc116717249"/>
      <w:bookmarkStart w:id="73" w:name="_Toc116813276"/>
      <w:bookmarkStart w:id="74" w:name="_Toc122332928"/>
      <w:bookmarkStart w:id="75" w:name="_Toc122861898"/>
      <w:bookmarkStart w:id="76" w:name="_Toc122862494"/>
      <w:bookmarkStart w:id="77" w:name="_Toc122921101"/>
      <w:bookmarkStart w:id="78" w:name="_Toc122921361"/>
      <w:bookmarkStart w:id="79" w:name="_Toc122947306"/>
      <w:bookmarkStart w:id="80" w:name="_Toc124046142"/>
      <w:bookmarkStart w:id="81" w:name="_Toc131415727"/>
      <w:bookmarkStart w:id="82" w:name="_Toc131416026"/>
      <w:bookmarkStart w:id="83" w:name="_Toc170193209"/>
      <w:bookmarkStart w:id="84" w:name="_Toc58902510"/>
      <w:r>
        <w:rPr>
          <w:rStyle w:val="CharPartNo"/>
        </w:rPr>
        <w:t>Part II</w:t>
      </w:r>
      <w:r>
        <w:rPr>
          <w:rStyle w:val="CharDivNo"/>
        </w:rPr>
        <w:t> </w:t>
      </w:r>
      <w:r>
        <w:t>—</w:t>
      </w:r>
      <w:r>
        <w:rPr>
          <w:rStyle w:val="CharDivText"/>
        </w:rPr>
        <w:t> </w:t>
      </w:r>
      <w:r>
        <w:rPr>
          <w:rStyle w:val="CharPartText"/>
        </w:rPr>
        <w:t>Conditional contracts (interpretation)</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Footnoteheading"/>
        <w:tabs>
          <w:tab w:val="left" w:pos="851"/>
        </w:tabs>
      </w:pPr>
      <w:r>
        <w:tab/>
        <w:t>[Heading inserted by No. 12 of 2004 s. 15.]</w:t>
      </w:r>
    </w:p>
    <w:p>
      <w:pPr>
        <w:pStyle w:val="Heading5"/>
      </w:pPr>
      <w:bookmarkStart w:id="85" w:name="_Toc107054831"/>
      <w:bookmarkStart w:id="86" w:name="_Toc131416027"/>
      <w:bookmarkStart w:id="87" w:name="_Toc170193210"/>
      <w:r>
        <w:rPr>
          <w:rStyle w:val="CharSectno"/>
        </w:rPr>
        <w:t>6</w:t>
      </w:r>
      <w:r>
        <w:t>.</w:t>
      </w:r>
      <w:r>
        <w:tab/>
        <w:t>Meaning of “eligible conditional contract”</w:t>
      </w:r>
      <w:bookmarkEnd w:id="85"/>
      <w:bookmarkEnd w:id="86"/>
      <w:bookmarkEnd w:id="87"/>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 xml:space="preserve">However, none of the following is an eligible conditional contract — </w:t>
      </w:r>
    </w:p>
    <w:p>
      <w:pPr>
        <w:pStyle w:val="Indenta"/>
      </w:pPr>
      <w:r>
        <w:tab/>
        <w:t>(a)</w:t>
      </w:r>
      <w:r>
        <w:tab/>
        <w:t>a put option and a call option (as defined in section 74B(1)) to which section 74B(6) applies;</w:t>
      </w:r>
    </w:p>
    <w:p>
      <w:pPr>
        <w:pStyle w:val="Indenta"/>
      </w:pPr>
      <w:r>
        <w:tab/>
        <w:t>(b)</w:t>
      </w:r>
      <w:r>
        <w:tab/>
        <w:t xml:space="preserve">a contract for the sale of a unit in a unit trust scheme as defined in section 63(1); </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88" w:name="_Toc107054832"/>
      <w:bookmarkStart w:id="89" w:name="_Toc131416028"/>
      <w:bookmarkStart w:id="90" w:name="_Toc170193211"/>
      <w:r>
        <w:rPr>
          <w:rStyle w:val="CharSectno"/>
        </w:rPr>
        <w:t>7</w:t>
      </w:r>
      <w:r>
        <w:t>.</w:t>
      </w:r>
      <w:r>
        <w:tab/>
        <w:t>Persons who are “related” for the purposes of this Part</w:t>
      </w:r>
      <w:bookmarkEnd w:id="88"/>
      <w:bookmarkEnd w:id="89"/>
      <w:bookmarkEnd w:id="90"/>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 xml:space="preserve">a corporation and a trustee, if —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 xml:space="preserve">For the purposes of subsection (1) —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91" w:name="_Toc107054833"/>
      <w:bookmarkStart w:id="92" w:name="_Toc131416029"/>
      <w:bookmarkStart w:id="93" w:name="_Toc170193212"/>
      <w:r>
        <w:rPr>
          <w:rStyle w:val="CharSectno"/>
        </w:rPr>
        <w:t>8</w:t>
      </w:r>
      <w:r>
        <w:t>.</w:t>
      </w:r>
      <w:r>
        <w:tab/>
        <w:t>Meaning of “general conditional contract”</w:t>
      </w:r>
      <w:bookmarkEnd w:id="91"/>
      <w:bookmarkEnd w:id="92"/>
      <w:bookmarkEnd w:id="93"/>
    </w:p>
    <w:p>
      <w:pPr>
        <w:pStyle w:val="Subsection"/>
      </w:pPr>
      <w:r>
        <w:tab/>
        <w:t>(1)</w:t>
      </w:r>
      <w:r>
        <w:tab/>
        <w:t xml:space="preserve">A </w:t>
      </w:r>
      <w:r>
        <w:rPr>
          <w:b/>
        </w:rPr>
        <w:t>“</w:t>
      </w:r>
      <w:r>
        <w:rPr>
          <w:rStyle w:val="CharDefText"/>
        </w:rPr>
        <w:t>general conditional contract</w:t>
      </w:r>
      <w:r>
        <w:rPr>
          <w:b/>
          <w:bCs/>
        </w:rPr>
        <w:t>”</w:t>
      </w:r>
      <w:r>
        <w:t xml:space="preserve"> is an eligible conditional contract, completion of which is conditional on the happening of one or more of the following events, as specified in the contract —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94" w:name="_Toc107054834"/>
      <w:bookmarkStart w:id="95" w:name="_Toc131416030"/>
      <w:bookmarkStart w:id="96" w:name="_Toc170193213"/>
      <w:r>
        <w:rPr>
          <w:rStyle w:val="CharSectno"/>
        </w:rPr>
        <w:t>9</w:t>
      </w:r>
      <w:r>
        <w:t>.</w:t>
      </w:r>
      <w:r>
        <w:tab/>
        <w:t>Meaning of “farming land conditional contract”</w:t>
      </w:r>
      <w:bookmarkEnd w:id="94"/>
      <w:bookmarkEnd w:id="95"/>
      <w:bookmarkEnd w:id="96"/>
    </w:p>
    <w:p>
      <w:pPr>
        <w:pStyle w:val="Subsection"/>
      </w:pPr>
      <w:r>
        <w:tab/>
        <w:t>(1)</w:t>
      </w:r>
      <w:r>
        <w:tab/>
        <w:t>A</w:t>
      </w:r>
      <w:r>
        <w:rPr>
          <w:b/>
        </w:rPr>
        <w:t xml:space="preserve"> “</w:t>
      </w:r>
      <w:r>
        <w:rPr>
          <w:rStyle w:val="CharDefText"/>
        </w:rPr>
        <w:t>farming land conditional contract</w:t>
      </w:r>
      <w:r>
        <w:rPr>
          <w:b/>
        </w:rPr>
        <w:t>”</w:t>
      </w:r>
      <w:r>
        <w:t xml:space="preserve"> is —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97" w:name="_Toc107054835"/>
      <w:bookmarkStart w:id="98" w:name="_Toc131416031"/>
      <w:bookmarkStart w:id="99" w:name="_Toc170193214"/>
      <w:r>
        <w:rPr>
          <w:rStyle w:val="CharSectno"/>
        </w:rPr>
        <w:t>10</w:t>
      </w:r>
      <w:r>
        <w:t>.</w:t>
      </w:r>
      <w:r>
        <w:tab/>
        <w:t>Meaning of “off</w:t>
      </w:r>
      <w:r>
        <w:noBreakHyphen/>
        <w:t>the</w:t>
      </w:r>
      <w:r>
        <w:noBreakHyphen/>
        <w:t>plan conditional contract”</w:t>
      </w:r>
      <w:bookmarkEnd w:id="97"/>
      <w:bookmarkEnd w:id="98"/>
      <w:bookmarkEnd w:id="99"/>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00" w:name="_Toc107054836"/>
      <w:bookmarkStart w:id="101" w:name="_Toc131416032"/>
      <w:bookmarkStart w:id="102" w:name="_Toc170193215"/>
      <w:r>
        <w:rPr>
          <w:rStyle w:val="CharSectno"/>
        </w:rPr>
        <w:t>11</w:t>
      </w:r>
      <w:r>
        <w:t>.</w:t>
      </w:r>
      <w:r>
        <w:tab/>
        <w:t>Meaning of “mining tenement conditional contract”</w:t>
      </w:r>
      <w:bookmarkEnd w:id="100"/>
      <w:bookmarkEnd w:id="101"/>
      <w:bookmarkEnd w:id="102"/>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3</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 xml:space="preserve">a tenement, right or interest that is —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03" w:name="_Toc107054837"/>
      <w:bookmarkStart w:id="104" w:name="_Toc131416033"/>
      <w:bookmarkStart w:id="105" w:name="_Toc170193216"/>
      <w:r>
        <w:rPr>
          <w:rStyle w:val="CharSectno"/>
        </w:rPr>
        <w:t>12</w:t>
      </w:r>
      <w:r>
        <w:t>.</w:t>
      </w:r>
      <w:r>
        <w:tab/>
        <w:t>Meaning of “subdivision conditional contract”</w:t>
      </w:r>
      <w:bookmarkEnd w:id="103"/>
      <w:bookmarkEnd w:id="104"/>
      <w:bookmarkEnd w:id="105"/>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06" w:name="_Toc107054838"/>
      <w:bookmarkStart w:id="107" w:name="_Toc131416034"/>
      <w:bookmarkStart w:id="108" w:name="_Toc170193217"/>
      <w:r>
        <w:rPr>
          <w:rStyle w:val="CharSectno"/>
        </w:rPr>
        <w:t>13</w:t>
      </w:r>
      <w:r>
        <w:t>.</w:t>
      </w:r>
      <w:r>
        <w:tab/>
        <w:t>When a conditional contract becomes unconditional</w:t>
      </w:r>
      <w:bookmarkEnd w:id="106"/>
      <w:bookmarkEnd w:id="107"/>
      <w:bookmarkEnd w:id="108"/>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09" w:name="_Toc107054839"/>
      <w:bookmarkStart w:id="110" w:name="_Toc131416035"/>
      <w:bookmarkStart w:id="111" w:name="_Toc170193218"/>
      <w:r>
        <w:rPr>
          <w:rStyle w:val="CharSectno"/>
        </w:rPr>
        <w:t>14</w:t>
      </w:r>
      <w:r>
        <w:t>.</w:t>
      </w:r>
      <w:r>
        <w:tab/>
        <w:t>Termination of conditional contracts on relevant grounds</w:t>
      </w:r>
      <w:bookmarkEnd w:id="109"/>
      <w:bookmarkEnd w:id="110"/>
      <w:bookmarkEnd w:id="111"/>
    </w:p>
    <w:p>
      <w:pPr>
        <w:pStyle w:val="Subsection"/>
      </w:pPr>
      <w:r>
        <w:tab/>
      </w:r>
      <w:r>
        <w:tab/>
        <w:t xml:space="preserve">A general conditional contract is </w:t>
      </w:r>
      <w:r>
        <w:rPr>
          <w:b/>
        </w:rPr>
        <w:t>“</w:t>
      </w:r>
      <w:r>
        <w:rPr>
          <w:rStyle w:val="CharDefText"/>
        </w:rPr>
        <w:t>terminated on relevant grounds</w:t>
      </w:r>
      <w:r>
        <w:rPr>
          <w:b/>
        </w:rPr>
        <w:t>”</w:t>
      </w:r>
      <w:r>
        <w:t xml:space="preserve"> if —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 xml:space="preserve">Repealed by No. 2 of 2003 s. 7.] </w:t>
      </w:r>
    </w:p>
    <w:p>
      <w:pPr>
        <w:pStyle w:val="Heading2"/>
      </w:pPr>
      <w:bookmarkStart w:id="112" w:name="_Toc76899509"/>
      <w:bookmarkStart w:id="113" w:name="_Toc78090411"/>
      <w:bookmarkStart w:id="114" w:name="_Toc88886779"/>
      <w:bookmarkStart w:id="115" w:name="_Toc90443395"/>
      <w:bookmarkStart w:id="116" w:name="_Toc90452746"/>
      <w:bookmarkStart w:id="117" w:name="_Toc100029337"/>
      <w:bookmarkStart w:id="118" w:name="_Toc100031410"/>
      <w:bookmarkStart w:id="119" w:name="_Toc100458469"/>
      <w:bookmarkStart w:id="120" w:name="_Toc101671885"/>
      <w:bookmarkStart w:id="121" w:name="_Toc101672142"/>
      <w:bookmarkStart w:id="122" w:name="_Toc102799168"/>
      <w:bookmarkStart w:id="123" w:name="_Toc102981842"/>
      <w:bookmarkStart w:id="124" w:name="_Toc103403155"/>
      <w:bookmarkStart w:id="125" w:name="_Toc103403412"/>
      <w:bookmarkStart w:id="126" w:name="_Toc103747411"/>
      <w:bookmarkStart w:id="127" w:name="_Toc107054840"/>
      <w:bookmarkStart w:id="128" w:name="_Toc113874287"/>
      <w:bookmarkStart w:id="129" w:name="_Toc113956703"/>
      <w:bookmarkStart w:id="130" w:name="_Toc116717259"/>
      <w:bookmarkStart w:id="131" w:name="_Toc116813286"/>
      <w:bookmarkStart w:id="132" w:name="_Toc122332938"/>
      <w:bookmarkStart w:id="133" w:name="_Toc122861908"/>
      <w:bookmarkStart w:id="134" w:name="_Toc122862504"/>
      <w:bookmarkStart w:id="135" w:name="_Toc122921111"/>
      <w:bookmarkStart w:id="136" w:name="_Toc122921371"/>
      <w:bookmarkStart w:id="137" w:name="_Toc122947316"/>
      <w:bookmarkStart w:id="138" w:name="_Toc124046152"/>
      <w:bookmarkStart w:id="139" w:name="_Toc131415737"/>
      <w:bookmarkStart w:id="140" w:name="_Toc131416036"/>
      <w:bookmarkStart w:id="141" w:name="_Toc170193219"/>
      <w:r>
        <w:rPr>
          <w:rStyle w:val="CharPartNo"/>
        </w:rPr>
        <w:t>Part III</w:t>
      </w:r>
      <w:r>
        <w:rPr>
          <w:rStyle w:val="CharDivNo"/>
        </w:rPr>
        <w:t> </w:t>
      </w:r>
      <w:r>
        <w:t>—</w:t>
      </w:r>
      <w:r>
        <w:rPr>
          <w:rStyle w:val="CharDivText"/>
        </w:rPr>
        <w:t> </w:t>
      </w:r>
      <w:r>
        <w:rPr>
          <w:rStyle w:val="CharPartText"/>
        </w:rPr>
        <w:t>General provisions</w:t>
      </w:r>
      <w:bookmarkEnd w:id="84"/>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500739879"/>
      <w:bookmarkStart w:id="143" w:name="_Toc520101070"/>
      <w:bookmarkStart w:id="144" w:name="_Toc520532969"/>
      <w:bookmarkStart w:id="145" w:name="_Toc49223862"/>
      <w:bookmarkStart w:id="146" w:name="_Toc107054841"/>
      <w:bookmarkStart w:id="147" w:name="_Toc131416037"/>
      <w:bookmarkStart w:id="148" w:name="_Toc170193220"/>
      <w:r>
        <w:rPr>
          <w:rStyle w:val="CharSectno"/>
        </w:rPr>
        <w:t>16</w:t>
      </w:r>
      <w:r>
        <w:rPr>
          <w:snapToGrid w:val="0"/>
        </w:rPr>
        <w:t>.</w:t>
      </w:r>
      <w:r>
        <w:rPr>
          <w:snapToGrid w:val="0"/>
        </w:rPr>
        <w:tab/>
        <w:t>Charge of duties on instruments</w:t>
      </w:r>
      <w:bookmarkEnd w:id="142"/>
      <w:bookmarkEnd w:id="143"/>
      <w:bookmarkEnd w:id="144"/>
      <w:bookmarkEnd w:id="145"/>
      <w:bookmarkEnd w:id="146"/>
      <w:bookmarkEnd w:id="147"/>
      <w:bookmarkEnd w:id="148"/>
      <w:r>
        <w:rPr>
          <w:snapToGrid w:val="0"/>
        </w:rPr>
        <w:t xml:space="preserve"> </w:t>
      </w:r>
    </w:p>
    <w:p>
      <w:pPr>
        <w:pStyle w:val="Subsection"/>
        <w:spacing w:before="140"/>
        <w:rPr>
          <w:snapToGrid w:val="0"/>
        </w:rPr>
      </w:pPr>
      <w:r>
        <w:rPr>
          <w:snapToGrid w:val="0"/>
        </w:rPr>
        <w:tab/>
        <w:t>(1)</w:t>
      </w:r>
      <w:r>
        <w:rPr>
          <w:snapToGrid w:val="0"/>
        </w:rPr>
        <w:tab/>
        <w:t>From and after the commencement of this Act </w:t>
      </w:r>
      <w:r>
        <w:rPr>
          <w:snapToGrid w:val="0"/>
          <w:vertAlign w:val="superscript"/>
        </w:rPr>
        <w:t>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 xml:space="preserve">[Section 16 amended by No. 21 of 1961 s. 2; No. 3 of 1971 s. 2; No. 37 of 1979 s. 14; No. 112 of 1982 s. 3; No. 98 of 1986 s. 4; No. 33 of 1987 s. 6; No. 41 of 1989 s. 7; No. 2 of 2003 s. 8; No. 12 of 2004 s. 16.] </w:t>
      </w:r>
    </w:p>
    <w:p>
      <w:pPr>
        <w:pStyle w:val="Heading5"/>
      </w:pPr>
      <w:bookmarkStart w:id="149" w:name="_Toc49223863"/>
      <w:bookmarkStart w:id="150" w:name="_Toc107054842"/>
      <w:bookmarkStart w:id="151" w:name="_Toc131416038"/>
      <w:bookmarkStart w:id="152" w:name="_Toc170193221"/>
      <w:bookmarkStart w:id="153" w:name="_Toc500739881"/>
      <w:bookmarkStart w:id="154" w:name="_Toc520101072"/>
      <w:bookmarkStart w:id="155" w:name="_Toc520532971"/>
      <w:r>
        <w:rPr>
          <w:rStyle w:val="CharSectno"/>
        </w:rPr>
        <w:t>17</w:t>
      </w:r>
      <w:r>
        <w:t>.</w:t>
      </w:r>
      <w:r>
        <w:tab/>
        <w:t>Liability to pay duty</w:t>
      </w:r>
      <w:bookmarkEnd w:id="149"/>
      <w:bookmarkEnd w:id="150"/>
      <w:bookmarkEnd w:id="151"/>
      <w:bookmarkEnd w:id="152"/>
    </w:p>
    <w:p>
      <w:pPr>
        <w:pStyle w:val="Subsection"/>
        <w:keepNext/>
      </w:pPr>
      <w:r>
        <w:tab/>
        <w:t>(1)</w:t>
      </w:r>
      <w:r>
        <w:tab/>
        <w:t xml:space="preserve">The person liable to pay duty on an instrument is —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 xml:space="preserve">[Section 17 inserted by No. 2 of 2003 s. 9; amended by No. 66 of 2003 s. 6.] </w:t>
      </w:r>
    </w:p>
    <w:p>
      <w:pPr>
        <w:pStyle w:val="Heading5"/>
      </w:pPr>
      <w:bookmarkStart w:id="156" w:name="_Toc49223864"/>
      <w:bookmarkStart w:id="157" w:name="_Toc107054843"/>
      <w:bookmarkStart w:id="158" w:name="_Toc131416039"/>
      <w:bookmarkStart w:id="159" w:name="_Toc170193222"/>
      <w:r>
        <w:rPr>
          <w:rStyle w:val="CharSectno"/>
        </w:rPr>
        <w:t>17A</w:t>
      </w:r>
      <w:r>
        <w:t>.</w:t>
      </w:r>
      <w:r>
        <w:tab/>
        <w:t>Time for payment of duty</w:t>
      </w:r>
      <w:bookmarkEnd w:id="156"/>
      <w:bookmarkEnd w:id="157"/>
      <w:bookmarkEnd w:id="158"/>
      <w:bookmarkEnd w:id="159"/>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 xml:space="preserve">[Section 17A inserted by No. 2 of 2003 s. 9.] </w:t>
      </w:r>
    </w:p>
    <w:p>
      <w:pPr>
        <w:pStyle w:val="Heading5"/>
      </w:pPr>
      <w:bookmarkStart w:id="160" w:name="_Toc107054844"/>
      <w:bookmarkStart w:id="161" w:name="_Toc131416040"/>
      <w:bookmarkStart w:id="162" w:name="_Toc170193223"/>
      <w:bookmarkStart w:id="163" w:name="_Toc49223865"/>
      <w:r>
        <w:rPr>
          <w:rStyle w:val="CharSectno"/>
        </w:rPr>
        <w:t>17AA</w:t>
      </w:r>
      <w:r>
        <w:t>.</w:t>
      </w:r>
      <w:r>
        <w:tab/>
        <w:t>Time for payment on certain conditional contracts</w:t>
      </w:r>
      <w:bookmarkEnd w:id="160"/>
      <w:bookmarkEnd w:id="161"/>
      <w:bookmarkEnd w:id="162"/>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164" w:name="_Toc107054845"/>
      <w:bookmarkStart w:id="165" w:name="_Toc131416041"/>
      <w:bookmarkStart w:id="166" w:name="_Toc170193224"/>
      <w:r>
        <w:rPr>
          <w:rStyle w:val="CharSectno"/>
        </w:rPr>
        <w:t>17B</w:t>
      </w:r>
      <w:r>
        <w:t>.</w:t>
      </w:r>
      <w:r>
        <w:tab/>
        <w:t>Requirement to lodge instrument</w:t>
      </w:r>
      <w:bookmarkEnd w:id="163"/>
      <w:bookmarkEnd w:id="164"/>
      <w:bookmarkEnd w:id="165"/>
      <w:bookmarkEnd w:id="166"/>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 xml:space="preserve">[Section 17B inserted by No. 2 of 2003 s. 9; amended by No. 66 of 2003 s. 7; No. 12 of 2004 s. 22.] </w:t>
      </w:r>
    </w:p>
    <w:p>
      <w:pPr>
        <w:pStyle w:val="Heading5"/>
      </w:pPr>
      <w:bookmarkStart w:id="167" w:name="_Toc107054846"/>
      <w:bookmarkStart w:id="168" w:name="_Toc131416042"/>
      <w:bookmarkStart w:id="169" w:name="_Toc170193225"/>
      <w:bookmarkStart w:id="170" w:name="_Toc49223866"/>
      <w:r>
        <w:rPr>
          <w:rStyle w:val="CharSectno"/>
        </w:rPr>
        <w:t>17BA</w:t>
      </w:r>
      <w:r>
        <w:t>.</w:t>
      </w:r>
      <w:r>
        <w:tab/>
        <w:t>Time for lodging certain conditional contracts</w:t>
      </w:r>
      <w:bookmarkEnd w:id="167"/>
      <w:bookmarkEnd w:id="168"/>
      <w:bookmarkEnd w:id="169"/>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 xml:space="preserve">If a general conditional contract is not required to be lodged under subsection (1), then the person who is, or may be, liable to pay duty on the contract must lodge the contract —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 xml:space="preserve">The person who is or may be liable to pay duty on a contract of any of the following kinds must lodge the contract with the Commissioner within 2 months after the day on which the contract was first executed — </w:t>
      </w:r>
    </w:p>
    <w:p>
      <w:pPr>
        <w:pStyle w:val="Indenta"/>
        <w:spacing w:before="60"/>
      </w:pPr>
      <w:r>
        <w:tab/>
        <w:t>(a)</w:t>
      </w:r>
      <w:r>
        <w:tab/>
        <w:t xml:space="preserve">a farming land conditional contract; </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171" w:name="_Toc107054847"/>
      <w:bookmarkStart w:id="172" w:name="_Toc131416043"/>
      <w:bookmarkStart w:id="173" w:name="_Toc170193226"/>
      <w:r>
        <w:rPr>
          <w:rStyle w:val="CharSectno"/>
        </w:rPr>
        <w:t>17C</w:t>
      </w:r>
      <w:r>
        <w:t>.</w:t>
      </w:r>
      <w:r>
        <w:tab/>
        <w:t>Instrument to be endorsed when duty paid etc.</w:t>
      </w:r>
      <w:bookmarkEnd w:id="170"/>
      <w:bookmarkEnd w:id="171"/>
      <w:bookmarkEnd w:id="172"/>
      <w:bookmarkEnd w:id="173"/>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 xml:space="preserve">then the Commissioner must —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 xml:space="preserve">The grant or transfer of a licence (as defined in section 76B) is taken to be endorsed in accordance with subsection (1) when it is granted or transferred. </w:t>
      </w:r>
    </w:p>
    <w:p>
      <w:pPr>
        <w:pStyle w:val="Subsection"/>
      </w:pPr>
      <w:r>
        <w:tab/>
        <w:t>(5)</w:t>
      </w:r>
      <w:r>
        <w:tab/>
        <w:t xml:space="preserve">An endorsement of an instrument, or on a copy or memorandum of an instrument, in a prescribed manner is </w:t>
      </w:r>
      <w:r>
        <w:rPr>
          <w:i/>
        </w:rPr>
        <w:t>prima facie</w:t>
      </w:r>
      <w:r>
        <w:t xml:space="preserv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pPr>
      <w:r>
        <w:tab/>
        <w:t xml:space="preserve">[Section 17C inserted by No. 2 of 2003 s. 9; amended by No. 66 of 2003 s. 8; No. 12 of 2004 s. 23.] </w:t>
      </w:r>
    </w:p>
    <w:p>
      <w:pPr>
        <w:pStyle w:val="Heading5"/>
        <w:rPr>
          <w:snapToGrid w:val="0"/>
        </w:rPr>
      </w:pPr>
      <w:bookmarkStart w:id="174" w:name="_Toc49223867"/>
      <w:bookmarkStart w:id="175" w:name="_Toc107054848"/>
      <w:bookmarkStart w:id="176" w:name="_Toc131416044"/>
      <w:bookmarkStart w:id="177" w:name="_Toc170193227"/>
      <w:r>
        <w:rPr>
          <w:rStyle w:val="CharSectno"/>
        </w:rPr>
        <w:t>18</w:t>
      </w:r>
      <w:r>
        <w:rPr>
          <w:snapToGrid w:val="0"/>
        </w:rPr>
        <w:t>.</w:t>
      </w:r>
      <w:r>
        <w:rPr>
          <w:snapToGrid w:val="0"/>
        </w:rPr>
        <w:tab/>
        <w:t>How instruments to be written</w:t>
      </w:r>
      <w:bookmarkEnd w:id="153"/>
      <w:bookmarkEnd w:id="154"/>
      <w:bookmarkEnd w:id="155"/>
      <w:bookmarkEnd w:id="174"/>
      <w:bookmarkEnd w:id="175"/>
      <w:bookmarkEnd w:id="176"/>
      <w:bookmarkEnd w:id="177"/>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 xml:space="preserve">[Section 18 inserted by No. 37 of 1979 s. 16; amended by No. 2 of 2003 s. 10.] </w:t>
      </w:r>
    </w:p>
    <w:p>
      <w:pPr>
        <w:pStyle w:val="Heading5"/>
        <w:rPr>
          <w:snapToGrid w:val="0"/>
        </w:rPr>
      </w:pPr>
      <w:bookmarkStart w:id="178" w:name="_Toc500739882"/>
      <w:bookmarkStart w:id="179" w:name="_Toc520101073"/>
      <w:bookmarkStart w:id="180" w:name="_Toc520532972"/>
      <w:bookmarkStart w:id="181" w:name="_Toc49223868"/>
      <w:bookmarkStart w:id="182" w:name="_Toc107054849"/>
      <w:bookmarkStart w:id="183" w:name="_Toc131416045"/>
      <w:bookmarkStart w:id="184" w:name="_Toc170193228"/>
      <w:r>
        <w:rPr>
          <w:rStyle w:val="CharSectno"/>
        </w:rPr>
        <w:t>19</w:t>
      </w:r>
      <w:r>
        <w:rPr>
          <w:snapToGrid w:val="0"/>
        </w:rPr>
        <w:t>.</w:t>
      </w:r>
      <w:r>
        <w:rPr>
          <w:snapToGrid w:val="0"/>
        </w:rPr>
        <w:tab/>
        <w:t>Instruments to be separately charged with duty in certain cases</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Except where express provision to the contrary is made by this or any other Act —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pPr>
      <w:bookmarkStart w:id="185" w:name="_Toc500739883"/>
      <w:bookmarkStart w:id="186" w:name="_Toc520101074"/>
      <w:bookmarkStart w:id="187" w:name="_Toc520532973"/>
      <w:r>
        <w:tab/>
        <w:t xml:space="preserve">[Section 19 amended by No. 2 of 2003 s. 11.] </w:t>
      </w:r>
    </w:p>
    <w:p>
      <w:pPr>
        <w:pStyle w:val="Heading5"/>
      </w:pPr>
      <w:bookmarkStart w:id="188" w:name="_Toc49223869"/>
      <w:bookmarkStart w:id="189" w:name="_Toc107054850"/>
      <w:bookmarkStart w:id="190" w:name="_Toc131416046"/>
      <w:bookmarkStart w:id="191" w:name="_Toc170193229"/>
      <w:bookmarkEnd w:id="185"/>
      <w:bookmarkEnd w:id="186"/>
      <w:bookmarkEnd w:id="187"/>
      <w:r>
        <w:rPr>
          <w:rStyle w:val="CharSectno"/>
        </w:rPr>
        <w:t>20</w:t>
      </w:r>
      <w:r>
        <w:t>.</w:t>
      </w:r>
      <w:r>
        <w:tab/>
        <w:t>Reduction of duty if matter not carried into effect</w:t>
      </w:r>
      <w:bookmarkEnd w:id="188"/>
      <w:bookmarkEnd w:id="189"/>
      <w:bookmarkEnd w:id="190"/>
      <w:bookmarkEnd w:id="191"/>
    </w:p>
    <w:p>
      <w:pPr>
        <w:pStyle w:val="Subsection"/>
      </w:pPr>
      <w:r>
        <w:tab/>
        <w:t>(1)</w:t>
      </w:r>
      <w:r>
        <w:tab/>
        <w:t xml:space="preserve">The amount of duty payable on an instrument is reduced by the amount of the full duty payable in respect of a matter included in the instrument if the Commissioner is satisfied that —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 xml:space="preserve">The amount of duty payable on an instrument is reduced in accordance with subsection (3) if the Commissioner is satisfied that — </w:t>
      </w:r>
    </w:p>
    <w:p>
      <w:pPr>
        <w:pStyle w:val="Indenta"/>
      </w:pPr>
      <w:r>
        <w:tab/>
        <w:t>(a)</w:t>
      </w:r>
      <w:r>
        <w:tab/>
        <w:t>a matter included in an instrument has not been, and will not be, carried into effect;</w:t>
      </w:r>
    </w:p>
    <w:p>
      <w:pPr>
        <w:pStyle w:val="Indenta"/>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 xml:space="preserve">A taxpayer receives a benefit in respect of a matter contained in an instrument chargeable as a conveyance or transfer of property if —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 xml:space="preserve">In this section —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pPr>
      <w:r>
        <w:tab/>
        <w:t xml:space="preserve">[Section 20 inserted by No. 2 of 2003 s. 12.] </w:t>
      </w:r>
    </w:p>
    <w:p>
      <w:pPr>
        <w:pStyle w:val="Ednotesection"/>
        <w:spacing w:before="200"/>
      </w:pPr>
      <w:r>
        <w:t>[</w:t>
      </w:r>
      <w:r>
        <w:rPr>
          <w:b/>
        </w:rPr>
        <w:t>21.</w:t>
      </w:r>
      <w:r>
        <w:rPr>
          <w:b/>
        </w:rPr>
        <w:tab/>
      </w:r>
      <w:r>
        <w:t xml:space="preserve">Repealed by No. 2 of 2003 s. 12.] </w:t>
      </w:r>
    </w:p>
    <w:p>
      <w:pPr>
        <w:pStyle w:val="Ednotesection"/>
        <w:spacing w:before="200"/>
        <w:ind w:left="890" w:hanging="890"/>
      </w:pPr>
      <w:r>
        <w:t>[</w:t>
      </w:r>
      <w:r>
        <w:rPr>
          <w:b/>
        </w:rPr>
        <w:t>22.</w:t>
      </w:r>
      <w:r>
        <w:tab/>
      </w:r>
      <w:r>
        <w:tab/>
        <w:t xml:space="preserve">Repealed by No. 37 of 1979 s. 18.] </w:t>
      </w:r>
    </w:p>
    <w:p>
      <w:pPr>
        <w:pStyle w:val="Ednotesection"/>
        <w:keepNext/>
        <w:spacing w:before="200"/>
      </w:pPr>
      <w:r>
        <w:t>[</w:t>
      </w:r>
      <w:r>
        <w:rPr>
          <w:b/>
        </w:rPr>
        <w:t>23.</w:t>
      </w:r>
      <w:r>
        <w:rPr>
          <w:b/>
        </w:rPr>
        <w:tab/>
      </w:r>
      <w:r>
        <w:t xml:space="preserve">Repealed by No. 2 of 2003 s. 12.] </w:t>
      </w:r>
    </w:p>
    <w:p>
      <w:pPr>
        <w:pStyle w:val="Ednotesection"/>
        <w:keepNext/>
        <w:spacing w:before="200"/>
        <w:ind w:left="890" w:hanging="890"/>
      </w:pPr>
      <w:r>
        <w:t>[</w:t>
      </w:r>
      <w:r>
        <w:rPr>
          <w:b/>
        </w:rPr>
        <w:t>24, 25.</w:t>
      </w:r>
      <w:r>
        <w:tab/>
        <w:t xml:space="preserve">Repealed by No. 37 of 1979 s. 20.] </w:t>
      </w:r>
    </w:p>
    <w:p>
      <w:pPr>
        <w:pStyle w:val="Heading5"/>
        <w:keepNext w:val="0"/>
        <w:keepLines w:val="0"/>
        <w:rPr>
          <w:snapToGrid w:val="0"/>
        </w:rPr>
      </w:pPr>
      <w:bookmarkStart w:id="192" w:name="_Toc500739886"/>
      <w:bookmarkStart w:id="193" w:name="_Toc520101077"/>
      <w:bookmarkStart w:id="194" w:name="_Toc520532976"/>
      <w:bookmarkStart w:id="195" w:name="_Toc49223870"/>
      <w:bookmarkStart w:id="196" w:name="_Toc107054851"/>
      <w:bookmarkStart w:id="197" w:name="_Toc131416047"/>
      <w:bookmarkStart w:id="198" w:name="_Toc170193230"/>
      <w:r>
        <w:rPr>
          <w:rStyle w:val="CharSectno"/>
        </w:rPr>
        <w:t>26</w:t>
      </w:r>
      <w:r>
        <w:rPr>
          <w:snapToGrid w:val="0"/>
        </w:rPr>
        <w:t>.</w:t>
      </w:r>
      <w:r>
        <w:rPr>
          <w:snapToGrid w:val="0"/>
        </w:rPr>
        <w:tab/>
        <w:t>Facts and circumstances affecting duty to be set forth in instrument</w:t>
      </w:r>
      <w:bookmarkEnd w:id="192"/>
      <w:bookmarkEnd w:id="193"/>
      <w:bookmarkEnd w:id="194"/>
      <w:bookmarkEnd w:id="195"/>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 xml:space="preserve">For the purposes of subsection (1) the suppression from an instrument of any fact or circumstance referred to in subsection (1) or the inclusion therein of any matter that is known to be false in a material particular is </w:t>
      </w:r>
      <w:r>
        <w:rPr>
          <w:i/>
          <w:snapToGrid w:val="0"/>
        </w:rPr>
        <w:t>prima facie</w:t>
      </w:r>
      <w:r>
        <w:rPr>
          <w:snapToGrid w:val="0"/>
        </w:rPr>
        <w:t xml:space="preserv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keepNext/>
        <w:keepLines/>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 xml:space="preserve">[Section 26 amended by No. 113 of 1965 s. 4(1); No. 37 of 1979 s. 21; No. 81 of 1984 s. 8; No. 33 of 1987 s. 8; No. 20 of 1996 s. 18; No. 2 of 2003 s. 13.] </w:t>
      </w:r>
    </w:p>
    <w:p>
      <w:pPr>
        <w:pStyle w:val="Heading5"/>
        <w:spacing w:before="200"/>
        <w:rPr>
          <w:snapToGrid w:val="0"/>
        </w:rPr>
      </w:pPr>
      <w:bookmarkStart w:id="199" w:name="_Toc500739887"/>
      <w:bookmarkStart w:id="200" w:name="_Toc520101078"/>
      <w:bookmarkStart w:id="201" w:name="_Toc520532977"/>
      <w:bookmarkStart w:id="202" w:name="_Toc49223871"/>
      <w:bookmarkStart w:id="203" w:name="_Toc107054852"/>
      <w:bookmarkStart w:id="204" w:name="_Toc131416048"/>
      <w:bookmarkStart w:id="205" w:name="_Toc170193231"/>
      <w:r>
        <w:rPr>
          <w:rStyle w:val="CharSectno"/>
        </w:rPr>
        <w:t>27</w:t>
      </w:r>
      <w:r>
        <w:rPr>
          <w:snapToGrid w:val="0"/>
        </w:rPr>
        <w:t>.</w:t>
      </w:r>
      <w:r>
        <w:rPr>
          <w:snapToGrid w:val="0"/>
        </w:rPr>
        <w:tab/>
        <w:t>Instruments not stamped inadmissible except in criminal proceedings</w:t>
      </w:r>
      <w:bookmarkEnd w:id="199"/>
      <w:bookmarkEnd w:id="200"/>
      <w:bookmarkEnd w:id="201"/>
      <w:bookmarkEnd w:id="202"/>
      <w:bookmarkEnd w:id="203"/>
      <w:bookmarkEnd w:id="204"/>
      <w:bookmarkEnd w:id="205"/>
      <w:r>
        <w:rPr>
          <w:snapToGrid w:val="0"/>
        </w:rPr>
        <w:t xml:space="preserve"> </w:t>
      </w:r>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 </w:t>
      </w:r>
    </w:p>
    <w:p>
      <w:pPr>
        <w:pStyle w:val="Indenta"/>
      </w:pPr>
      <w:r>
        <w:tab/>
        <w:t>(a)</w:t>
      </w:r>
      <w:r>
        <w:tab/>
        <w:t xml:space="preserve">affords any evidence of — </w:t>
      </w:r>
    </w:p>
    <w:p>
      <w:pPr>
        <w:pStyle w:val="Indenti"/>
        <w:spacing w:before="60"/>
      </w:pPr>
      <w:r>
        <w:tab/>
        <w:t>(i)</w:t>
      </w:r>
      <w:r>
        <w:tab/>
        <w:t>an acquisition to which section 31B applies;</w:t>
      </w:r>
    </w:p>
    <w:p>
      <w:pPr>
        <w:pStyle w:val="Indenti"/>
        <w:spacing w:before="60"/>
      </w:pPr>
      <w:r>
        <w:tab/>
        <w:t>(ii)</w:t>
      </w:r>
      <w:r>
        <w:tab/>
        <w:t>a transfer to which section 31C applies;</w:t>
      </w:r>
    </w:p>
    <w:p>
      <w:pPr>
        <w:pStyle w:val="Indenti"/>
        <w:spacing w:before="60"/>
      </w:pPr>
      <w:r>
        <w:tab/>
        <w:t>(iii)</w:t>
      </w:r>
      <w:r>
        <w:tab/>
        <w:t>a disposition to which section 73DAA(1) applies; or</w:t>
      </w:r>
    </w:p>
    <w:p>
      <w:pPr>
        <w:pStyle w:val="Indenti"/>
        <w:spacing w:before="60"/>
      </w:pPr>
      <w:r>
        <w:tab/>
        <w:t>(iv)</w:t>
      </w:r>
      <w:r>
        <w:tab/>
        <w:t>a transaction referred to in section 77A(1);</w:t>
      </w:r>
    </w:p>
    <w:p>
      <w:pPr>
        <w:pStyle w:val="Indenta"/>
        <w:spacing w:before="60"/>
      </w:pPr>
      <w:r>
        <w:tab/>
      </w:r>
      <w:r>
        <w:tab/>
        <w:t>and</w:t>
      </w:r>
    </w:p>
    <w:p>
      <w:pPr>
        <w:pStyle w:val="Indenta"/>
        <w:spacing w:before="60"/>
        <w:rPr>
          <w:snapToGrid w:val="0"/>
        </w:rPr>
      </w:pPr>
      <w:r>
        <w:rPr>
          <w:snapToGrid w:val="0"/>
        </w:rPr>
        <w:tab/>
        <w:t>(b)</w:t>
      </w:r>
      <w:r>
        <w:rPr>
          <w:snapToGrid w:val="0"/>
        </w:rPr>
        <w:tab/>
        <w:t>is a document — </w:t>
      </w:r>
    </w:p>
    <w:p>
      <w:pPr>
        <w:pStyle w:val="Indenti"/>
        <w:spacing w:before="60"/>
      </w:pPr>
      <w:r>
        <w:tab/>
        <w:t>(i)</w:t>
      </w:r>
      <w:r>
        <w:tab/>
        <w:t>relating to an acquisition, transaction, disposition or transfer for which a dutiable statement is required to be lodged under section 31B, 31C, 73DAA(1) or 77A; but</w:t>
      </w:r>
    </w:p>
    <w:p>
      <w:pPr>
        <w:pStyle w:val="Indenti"/>
        <w:spacing w:before="60"/>
        <w:rPr>
          <w:snapToGrid w:val="0"/>
        </w:rPr>
      </w:pPr>
      <w:r>
        <w:rPr>
          <w:snapToGrid w:val="0"/>
        </w:rPr>
        <w:tab/>
        <w:t>(ii)</w:t>
      </w:r>
      <w:r>
        <w:rPr>
          <w:snapToGrid w:val="0"/>
        </w:rPr>
        <w:tab/>
        <w:t>which is not itself chargeable with duty,</w:t>
      </w:r>
    </w:p>
    <w:p>
      <w:pPr>
        <w:pStyle w:val="Subsection"/>
        <w:spacing w:before="140"/>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spacing w:before="140"/>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 xml:space="preserve">[Section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 </w:t>
      </w:r>
    </w:p>
    <w:p>
      <w:pPr>
        <w:pStyle w:val="Heading5"/>
        <w:spacing w:before="180"/>
        <w:rPr>
          <w:snapToGrid w:val="0"/>
        </w:rPr>
      </w:pPr>
      <w:bookmarkStart w:id="206" w:name="_Toc500739888"/>
      <w:bookmarkStart w:id="207" w:name="_Toc520101079"/>
      <w:bookmarkStart w:id="208" w:name="_Toc520532978"/>
      <w:bookmarkStart w:id="209" w:name="_Toc49223872"/>
      <w:bookmarkStart w:id="210" w:name="_Toc107054853"/>
      <w:bookmarkStart w:id="211" w:name="_Toc131416049"/>
      <w:bookmarkStart w:id="212" w:name="_Toc170193232"/>
      <w:r>
        <w:rPr>
          <w:rStyle w:val="CharSectno"/>
        </w:rPr>
        <w:t>28</w:t>
      </w:r>
      <w:r>
        <w:rPr>
          <w:snapToGrid w:val="0"/>
        </w:rPr>
        <w:t>.</w:t>
      </w:r>
      <w:r>
        <w:rPr>
          <w:snapToGrid w:val="0"/>
        </w:rPr>
        <w:tab/>
        <w:t>No instrument to be registered, etc. unless stamped</w:t>
      </w:r>
      <w:bookmarkEnd w:id="206"/>
      <w:bookmarkEnd w:id="207"/>
      <w:bookmarkEnd w:id="208"/>
      <w:bookmarkEnd w:id="209"/>
      <w:bookmarkEnd w:id="210"/>
      <w:bookmarkEnd w:id="211"/>
      <w:bookmarkEnd w:id="212"/>
      <w:r>
        <w:rPr>
          <w:snapToGrid w:val="0"/>
        </w:rPr>
        <w:t xml:space="preserve"> </w:t>
      </w:r>
    </w:p>
    <w:p>
      <w:pPr>
        <w:pStyle w:val="Subsection"/>
        <w:spacing w:before="120"/>
        <w:rPr>
          <w:snapToGrid w:val="0"/>
        </w:rPr>
      </w:pPr>
      <w:r>
        <w:rPr>
          <w:snapToGrid w:val="0"/>
        </w:rPr>
        <w:tab/>
        <w:t>(1)</w:t>
      </w:r>
      <w:r>
        <w:rPr>
          <w:snapToGrid w:val="0"/>
        </w:rPr>
        <w:tab/>
        <w:t>A person whose duty it is to receive, register, enrol, enter or record —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 xml:space="preserve">If a caveat relates to an instrument which is liable to duty or a document referred to in section 27(2) the registrar must reject the caveat unless —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 xml:space="preserve">If a caveat relates to an instrument that is not liable to duty the registrar may reject it unless when it is lodged it is accompanied by a statutory declaration —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 xml:space="preserve">In subsections (4) and (5) — </w:t>
      </w:r>
    </w:p>
    <w:p>
      <w:pPr>
        <w:pStyle w:val="Defstart"/>
        <w:keepNext/>
      </w:pPr>
      <w:r>
        <w:tab/>
      </w:r>
      <w:r>
        <w:rPr>
          <w:b/>
        </w:rPr>
        <w:t>“</w:t>
      </w:r>
      <w:r>
        <w:rPr>
          <w:rStyle w:val="CharDefText"/>
        </w:rPr>
        <w:t>caveat</w:t>
      </w:r>
      <w:r>
        <w:rPr>
          <w:b/>
        </w:rPr>
        <w:t>”</w:t>
      </w:r>
      <w:r>
        <w:t xml:space="preserve"> means a caveat lodged under — </w:t>
      </w:r>
    </w:p>
    <w:p>
      <w:pPr>
        <w:pStyle w:val="Defpara"/>
      </w:pPr>
      <w:r>
        <w:tab/>
        <w:t>(a)</w:t>
      </w:r>
      <w:r>
        <w:tab/>
        <w:t xml:space="preserve">Part V of the </w:t>
      </w:r>
      <w:r>
        <w:rPr>
          <w:i/>
        </w:rPr>
        <w:t>Transfer of Land Act 1893</w:t>
      </w:r>
      <w:r>
        <w:t xml:space="preserve">; or </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 xml:space="preserve">[Section 28 inserted by No. 37 of 1979 s. 22; amended by No. 93 of 1982 s. 4; No. 81 of 1984 s. 9; No. 98 of 1986 s. 7; No. 33 of 1987 s. 10; No. 41 of 1989 s. 9; No. 36 of 2001 s. 15; No. 2 of 2003 s. 15; No. 66 of 2003 s. 10.] </w:t>
      </w:r>
    </w:p>
    <w:p>
      <w:pPr>
        <w:pStyle w:val="Heading5"/>
        <w:rPr>
          <w:snapToGrid w:val="0"/>
        </w:rPr>
      </w:pPr>
      <w:bookmarkStart w:id="213" w:name="_Toc500739889"/>
      <w:bookmarkStart w:id="214" w:name="_Toc520101080"/>
      <w:bookmarkStart w:id="215" w:name="_Toc520532979"/>
      <w:bookmarkStart w:id="216" w:name="_Toc49223873"/>
      <w:bookmarkStart w:id="217" w:name="_Toc107054854"/>
      <w:bookmarkStart w:id="218" w:name="_Toc131416050"/>
      <w:bookmarkStart w:id="219" w:name="_Toc170193233"/>
      <w:r>
        <w:rPr>
          <w:rStyle w:val="CharSectno"/>
        </w:rPr>
        <w:t>29</w:t>
      </w:r>
      <w:r>
        <w:rPr>
          <w:snapToGrid w:val="0"/>
        </w:rPr>
        <w:t>.</w:t>
      </w:r>
      <w:r>
        <w:rPr>
          <w:snapToGrid w:val="0"/>
        </w:rPr>
        <w:tab/>
      </w:r>
      <w:bookmarkEnd w:id="213"/>
      <w:bookmarkEnd w:id="214"/>
      <w:bookmarkEnd w:id="215"/>
      <w:r>
        <w:rPr>
          <w:snapToGrid w:val="0"/>
        </w:rPr>
        <w:t>Production of instruments as evidence</w:t>
      </w:r>
      <w:bookmarkEnd w:id="216"/>
      <w:bookmarkEnd w:id="217"/>
      <w:bookmarkEnd w:id="218"/>
      <w:bookmarkEnd w:id="219"/>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 xml:space="preserve">[Section 29 amended by No. 9 of 1974 s. 10; No. 37 of 1979 s. 23; No. 98 of 1986 s. 8; No. 33 of 1987 s. 11; No. 57 of 1997 s. 113(1); No. 36 of 2001 s. 16; No. 2 of 2003 s. 16; No. 66 of 2003 s. 11.] </w:t>
      </w:r>
    </w:p>
    <w:p>
      <w:pPr>
        <w:pStyle w:val="Heading5"/>
        <w:rPr>
          <w:snapToGrid w:val="0"/>
        </w:rPr>
      </w:pPr>
      <w:bookmarkStart w:id="220" w:name="_Toc500739890"/>
      <w:bookmarkStart w:id="221" w:name="_Toc520101081"/>
      <w:bookmarkStart w:id="222" w:name="_Toc520532980"/>
      <w:bookmarkStart w:id="223" w:name="_Toc49223874"/>
      <w:bookmarkStart w:id="224" w:name="_Toc107054855"/>
      <w:bookmarkStart w:id="225" w:name="_Toc131416051"/>
      <w:bookmarkStart w:id="226" w:name="_Toc170193234"/>
      <w:r>
        <w:rPr>
          <w:rStyle w:val="CharSectno"/>
        </w:rPr>
        <w:t>30</w:t>
      </w:r>
      <w:r>
        <w:rPr>
          <w:snapToGrid w:val="0"/>
        </w:rPr>
        <w:t>.</w:t>
      </w:r>
      <w:r>
        <w:rPr>
          <w:snapToGrid w:val="0"/>
        </w:rPr>
        <w:tab/>
        <w:t>Secondary evidence</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In proceedings in any court of civil judicature or before any arbitrator or referee, secondary evidence of —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 xml:space="preserve">[Section 30 inserted by No. 98 of 1986 s. 9; amended by No. 33 of 1987 s. 12; No. 36 of 2001 s. 17; No. 2 of 2003 s. 17; No. 66 of 2003 s. 12.] </w:t>
      </w:r>
    </w:p>
    <w:p>
      <w:pPr>
        <w:pStyle w:val="Heading5"/>
      </w:pPr>
      <w:bookmarkStart w:id="227" w:name="_Toc107054856"/>
      <w:bookmarkStart w:id="228" w:name="_Toc131416052"/>
      <w:bookmarkStart w:id="229" w:name="_Toc170193235"/>
      <w:r>
        <w:rPr>
          <w:rStyle w:val="CharSectno"/>
        </w:rPr>
        <w:t>31</w:t>
      </w:r>
      <w:r>
        <w:t>.</w:t>
      </w:r>
      <w:r>
        <w:tab/>
        <w:t>Stamped instruments as evidence</w:t>
      </w:r>
      <w:bookmarkEnd w:id="227"/>
      <w:bookmarkEnd w:id="228"/>
      <w:bookmarkEnd w:id="229"/>
    </w:p>
    <w:p>
      <w:pPr>
        <w:pStyle w:val="Subsection"/>
      </w:pPr>
      <w:r>
        <w:tab/>
      </w:r>
      <w:r>
        <w:tab/>
        <w:t xml:space="preserve">An instrument that has been stamped or is taken to have been stamped —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30" w:name="_Toc500739896"/>
      <w:bookmarkStart w:id="231" w:name="_Toc520101087"/>
      <w:bookmarkStart w:id="232" w:name="_Toc520532986"/>
      <w:r>
        <w:t>[</w:t>
      </w:r>
      <w:r>
        <w:rPr>
          <w:b/>
        </w:rPr>
        <w:t>31AA-31AC, 31A.</w:t>
      </w:r>
      <w:r>
        <w:tab/>
        <w:t xml:space="preserve">Repealed by No. 2 of 2003 s. 18.] </w:t>
      </w:r>
    </w:p>
    <w:p>
      <w:pPr>
        <w:pStyle w:val="Heading5"/>
      </w:pPr>
      <w:bookmarkStart w:id="233" w:name="_Toc107054857"/>
      <w:bookmarkStart w:id="234" w:name="_Toc131416053"/>
      <w:bookmarkStart w:id="235" w:name="_Toc170193236"/>
      <w:bookmarkStart w:id="236" w:name="_Toc49223876"/>
      <w:bookmarkStart w:id="237" w:name="_Toc500739897"/>
      <w:bookmarkStart w:id="238" w:name="_Toc520101088"/>
      <w:bookmarkStart w:id="239" w:name="_Toc520532987"/>
      <w:bookmarkEnd w:id="230"/>
      <w:bookmarkEnd w:id="231"/>
      <w:bookmarkEnd w:id="232"/>
      <w:r>
        <w:rPr>
          <w:rStyle w:val="CharSectno"/>
        </w:rPr>
        <w:t>31B</w:t>
      </w:r>
      <w:r>
        <w:t>.</w:t>
      </w:r>
      <w:r>
        <w:tab/>
        <w:t>Payment of duty on statements in absence of dutiable instrument</w:t>
      </w:r>
      <w:bookmarkEnd w:id="233"/>
      <w:bookmarkEnd w:id="234"/>
      <w:bookmarkEnd w:id="235"/>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 xml:space="preserve">Subject to subsection (8), this section applies to any of the following — </w:t>
      </w:r>
    </w:p>
    <w:p>
      <w:pPr>
        <w:pStyle w:val="Indenta"/>
      </w:pPr>
      <w:r>
        <w:tab/>
        <w:t>(a)</w:t>
      </w:r>
      <w:r>
        <w:tab/>
        <w:t xml:space="preserve">the acquisition of beneficial ownership of an estate or interest in —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 xml:space="preserve">Where —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 xml:space="preserve">This section does not apply to — </w:t>
      </w:r>
    </w:p>
    <w:p>
      <w:pPr>
        <w:pStyle w:val="Indenta"/>
      </w:pPr>
      <w:r>
        <w:tab/>
        <w:t>(a)</w:t>
      </w:r>
      <w:r>
        <w:tab/>
        <w:t xml:space="preserve">an acquisition effected by an instrument that is — </w:t>
      </w:r>
    </w:p>
    <w:p>
      <w:pPr>
        <w:pStyle w:val="Indenti"/>
        <w:spacing w:before="60"/>
      </w:pPr>
      <w:r>
        <w:tab/>
        <w:t>(i)</w:t>
      </w:r>
      <w:r>
        <w:tab/>
        <w:t>chargeable with duty under item 4 or 6 of the Second Schedule; or</w:t>
      </w:r>
    </w:p>
    <w:p>
      <w:pPr>
        <w:pStyle w:val="Indenti"/>
        <w:spacing w:before="60"/>
      </w:pPr>
      <w:r>
        <w:tab/>
        <w:t>(ii)</w:t>
      </w:r>
      <w:r>
        <w:tab/>
        <w:t>exempt from duty;</w:t>
      </w:r>
    </w:p>
    <w:p>
      <w:pPr>
        <w:pStyle w:val="Indenta"/>
      </w:pPr>
      <w:r>
        <w:tab/>
        <w:t>(b)</w:t>
      </w:r>
      <w:r>
        <w:tab/>
        <w:t>an acquisition evidenced by an instrument if the instrument is chargeable with duty under item 4 of the Second Schedule;</w:t>
      </w:r>
    </w:p>
    <w:p>
      <w:pPr>
        <w:pStyle w:val="Indenta"/>
      </w:pPr>
      <w:r>
        <w:tab/>
        <w:t>(c)</w:t>
      </w:r>
      <w:r>
        <w:tab/>
        <w:t xml:space="preserve">an acquisition evidenced by an instrument which, if the acquisition were effected by that instrument (irrespective of whether it is practicable or possible to do so), would be an acquisition effected by an instrument that is — </w:t>
      </w:r>
    </w:p>
    <w:p>
      <w:pPr>
        <w:pStyle w:val="Indenti"/>
        <w:spacing w:before="60"/>
      </w:pPr>
      <w:r>
        <w:tab/>
        <w:t>(i)</w:t>
      </w:r>
      <w:r>
        <w:tab/>
        <w:t>exempt from duty; or</w:t>
      </w:r>
    </w:p>
    <w:p>
      <w:pPr>
        <w:pStyle w:val="Indenti"/>
        <w:spacing w:before="60"/>
      </w:pPr>
      <w:r>
        <w:tab/>
        <w:t>(ii)</w:t>
      </w:r>
      <w:r>
        <w:tab/>
        <w:t>chargeable with duty under item 6 of the Second Schedule;</w:t>
      </w:r>
    </w:p>
    <w:p>
      <w:pPr>
        <w:pStyle w:val="Indenta"/>
      </w:pPr>
      <w:r>
        <w:tab/>
        <w:t>(d)</w:t>
      </w:r>
      <w:r>
        <w:tab/>
        <w:t xml:space="preserve">an acquisition which, if it were effected by an instrument (irrespective of whether it is practicable or possible to do so), would be effected by an instrument that is — </w:t>
      </w:r>
    </w:p>
    <w:p>
      <w:pPr>
        <w:pStyle w:val="Indenti"/>
      </w:pPr>
      <w:r>
        <w:tab/>
        <w:t>(i)</w:t>
      </w:r>
      <w:r>
        <w:tab/>
        <w:t>exempt from duty; or</w:t>
      </w:r>
    </w:p>
    <w:p>
      <w:pPr>
        <w:pStyle w:val="Indenti"/>
      </w:pPr>
      <w:r>
        <w:tab/>
        <w:t>(ii)</w:t>
      </w:r>
      <w:r>
        <w:tab/>
        <w:t>chargeable with duty under item 6 of the Second Schedule;</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 xml:space="preserve">a transaction relating to chattels as referred to in subsection (3)(c) unless at least one of the transactions in the series relates to other property (as defined in section 70) and is — </w:t>
      </w:r>
    </w:p>
    <w:p>
      <w:pPr>
        <w:pStyle w:val="Indenti"/>
      </w:pPr>
      <w:r>
        <w:tab/>
        <w:t>(i)</w:t>
      </w:r>
      <w:r>
        <w:tab/>
        <w:t>dutiable (as defined in section 70); or</w:t>
      </w:r>
    </w:p>
    <w:p>
      <w:pPr>
        <w:pStyle w:val="Indenti"/>
      </w:pPr>
      <w:r>
        <w:tab/>
        <w:t>(ii)</w:t>
      </w:r>
      <w:r>
        <w:tab/>
        <w:t>a transaction to which subsection (1) applies.</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w:t>
      </w:r>
    </w:p>
    <w:p>
      <w:pPr>
        <w:pStyle w:val="Heading5"/>
      </w:pPr>
      <w:bookmarkStart w:id="240" w:name="_Toc107054858"/>
      <w:bookmarkStart w:id="241" w:name="_Toc131416054"/>
      <w:bookmarkStart w:id="242" w:name="_Toc170193237"/>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36"/>
      <w:bookmarkEnd w:id="240"/>
      <w:bookmarkEnd w:id="241"/>
      <w:bookmarkEnd w:id="242"/>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 xml:space="preserve">Repealed by No. 2 of 2003 s. 21.] </w:t>
      </w:r>
    </w:p>
    <w:p>
      <w:pPr>
        <w:pStyle w:val="Ednotesection"/>
      </w:pPr>
      <w:bookmarkStart w:id="243" w:name="_Toc500739898"/>
      <w:bookmarkStart w:id="244" w:name="_Toc520101089"/>
      <w:bookmarkStart w:id="245" w:name="_Toc520532988"/>
      <w:bookmarkEnd w:id="237"/>
      <w:bookmarkEnd w:id="238"/>
      <w:bookmarkEnd w:id="239"/>
      <w:r>
        <w:t>[</w:t>
      </w:r>
      <w:r>
        <w:rPr>
          <w:b/>
        </w:rPr>
        <w:t>32.</w:t>
      </w:r>
      <w:r>
        <w:tab/>
        <w:t xml:space="preserve">Repealed by No. 2 of 2003 s. 22.] </w:t>
      </w:r>
    </w:p>
    <w:p>
      <w:pPr>
        <w:pStyle w:val="Heading5"/>
      </w:pPr>
      <w:bookmarkStart w:id="246" w:name="_Toc49223877"/>
      <w:bookmarkStart w:id="247" w:name="_Toc107054859"/>
      <w:bookmarkStart w:id="248" w:name="_Toc131416055"/>
      <w:bookmarkStart w:id="249" w:name="_Toc170193238"/>
      <w:bookmarkStart w:id="250" w:name="_Toc500739899"/>
      <w:bookmarkStart w:id="251" w:name="_Toc520101090"/>
      <w:bookmarkStart w:id="252" w:name="_Toc520532989"/>
      <w:bookmarkEnd w:id="243"/>
      <w:bookmarkEnd w:id="244"/>
      <w:bookmarkEnd w:id="245"/>
      <w:r>
        <w:rPr>
          <w:rStyle w:val="CharSectno"/>
        </w:rPr>
        <w:t>33</w:t>
      </w:r>
      <w:r>
        <w:t>.</w:t>
      </w:r>
      <w:r>
        <w:tab/>
        <w:t>Valuation of land or other property</w:t>
      </w:r>
      <w:bookmarkEnd w:id="246"/>
      <w:bookmarkEnd w:id="247"/>
      <w:bookmarkEnd w:id="248"/>
      <w:bookmarkEnd w:id="249"/>
      <w:r>
        <w:t xml:space="preserve"> </w:t>
      </w:r>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 xml:space="preserve">When determining the unencumbered value of any land or other property for the purposes of a stamp Act —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 xml:space="preserve">An interest, agreement or arrangement is not to be disregarded if, in the Commissioner’s opinion — </w:t>
      </w:r>
    </w:p>
    <w:p>
      <w:pPr>
        <w:pStyle w:val="Indenta"/>
      </w:pPr>
      <w:r>
        <w:tab/>
        <w:t>(a)</w:t>
      </w:r>
      <w:r>
        <w:tab/>
        <w:t>it was not granted or made for the purpose of reducing the value of the land or other property; and</w:t>
      </w:r>
    </w:p>
    <w:p>
      <w:pPr>
        <w:pStyle w:val="Indenta"/>
      </w:pPr>
      <w:r>
        <w:tab/>
        <w:t>(b)</w:t>
      </w:r>
      <w:r>
        <w:tab/>
        <w:t xml:space="preserve">it was not granted to or made in favour of —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 xml:space="preserve">in the case of a relevant acquisition to which Division 3 of Part IIIBA applies — the person who acquired the majority interest or further interest; </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 xml:space="preserve">[Section 33 inserted by No. 2 of 2003 s. 22; amended by No. 11 of 2004 s. 10; 36 of 2005 s. 4.] </w:t>
      </w:r>
    </w:p>
    <w:p>
      <w:pPr>
        <w:pStyle w:val="Ednotesection"/>
      </w:pPr>
      <w:bookmarkStart w:id="253" w:name="_Toc500739900"/>
      <w:bookmarkStart w:id="254" w:name="_Toc520101091"/>
      <w:bookmarkStart w:id="255" w:name="_Toc520532990"/>
      <w:bookmarkEnd w:id="250"/>
      <w:bookmarkEnd w:id="251"/>
      <w:bookmarkEnd w:id="252"/>
      <w:r>
        <w:t>[</w:t>
      </w:r>
      <w:r>
        <w:rPr>
          <w:b/>
        </w:rPr>
        <w:t>33A.</w:t>
      </w:r>
      <w:r>
        <w:tab/>
        <w:t xml:space="preserve">Repealed by No. 2 of 2003 s. 22.] </w:t>
      </w:r>
    </w:p>
    <w:p>
      <w:pPr>
        <w:pStyle w:val="Heading5"/>
      </w:pPr>
      <w:bookmarkStart w:id="256" w:name="_Toc49223878"/>
      <w:bookmarkStart w:id="257" w:name="_Toc107054860"/>
      <w:bookmarkStart w:id="258" w:name="_Toc131416056"/>
      <w:bookmarkStart w:id="259" w:name="_Toc170193239"/>
      <w:bookmarkStart w:id="260" w:name="_Toc500739901"/>
      <w:bookmarkStart w:id="261" w:name="_Toc520101092"/>
      <w:bookmarkStart w:id="262" w:name="_Toc520532991"/>
      <w:bookmarkEnd w:id="253"/>
      <w:bookmarkEnd w:id="254"/>
      <w:bookmarkEnd w:id="255"/>
      <w:r>
        <w:rPr>
          <w:rStyle w:val="CharSectno"/>
        </w:rPr>
        <w:t>34</w:t>
      </w:r>
      <w:r>
        <w:t>.</w:t>
      </w:r>
      <w:r>
        <w:tab/>
        <w:t>Duplicates and counterparts</w:t>
      </w:r>
      <w:bookmarkEnd w:id="256"/>
      <w:bookmarkEnd w:id="257"/>
      <w:bookmarkEnd w:id="258"/>
      <w:bookmarkEnd w:id="259"/>
    </w:p>
    <w:p>
      <w:pPr>
        <w:pStyle w:val="Subsection"/>
      </w:pPr>
      <w:r>
        <w:tab/>
      </w:r>
      <w:r>
        <w:tab/>
        <w:t>A duplicate or counterpart of a stamped instrument is chargeable with duty under item 9 of the Second Schedule.</w:t>
      </w:r>
    </w:p>
    <w:p>
      <w:pPr>
        <w:pStyle w:val="Footnotesection"/>
      </w:pPr>
      <w:r>
        <w:tab/>
        <w:t xml:space="preserve">[Section 34 inserted by No. 2 of 2003 s. 22.] </w:t>
      </w:r>
    </w:p>
    <w:p>
      <w:pPr>
        <w:pStyle w:val="Ednotesection"/>
      </w:pPr>
      <w:bookmarkStart w:id="263" w:name="_Toc500739904"/>
      <w:bookmarkStart w:id="264" w:name="_Toc520101095"/>
      <w:bookmarkStart w:id="265" w:name="_Toc520532994"/>
      <w:bookmarkEnd w:id="260"/>
      <w:bookmarkEnd w:id="261"/>
      <w:bookmarkEnd w:id="262"/>
      <w:r>
        <w:t>[</w:t>
      </w:r>
      <w:r>
        <w:rPr>
          <w:b/>
        </w:rPr>
        <w:t>34A</w:t>
      </w:r>
      <w:r>
        <w:rPr>
          <w:b/>
        </w:rPr>
        <w:noBreakHyphen/>
        <w:t>34C.</w:t>
      </w:r>
      <w:r>
        <w:tab/>
        <w:t xml:space="preserve">Repealed by No. 2 of 2003 s. 22.] </w:t>
      </w:r>
    </w:p>
    <w:p>
      <w:pPr>
        <w:pStyle w:val="Heading5"/>
      </w:pPr>
      <w:bookmarkStart w:id="266" w:name="_Toc49223879"/>
      <w:bookmarkStart w:id="267" w:name="_Toc107054861"/>
      <w:bookmarkStart w:id="268" w:name="_Toc131416057"/>
      <w:bookmarkStart w:id="269" w:name="_Toc170193240"/>
      <w:bookmarkStart w:id="270" w:name="_Toc500739905"/>
      <w:bookmarkStart w:id="271" w:name="_Toc520101096"/>
      <w:bookmarkStart w:id="272" w:name="_Toc520532995"/>
      <w:bookmarkEnd w:id="263"/>
      <w:bookmarkEnd w:id="264"/>
      <w:bookmarkEnd w:id="265"/>
      <w:r>
        <w:rPr>
          <w:rStyle w:val="CharSectno"/>
        </w:rPr>
        <w:t>35</w:t>
      </w:r>
      <w:r>
        <w:t>.</w:t>
      </w:r>
      <w:r>
        <w:tab/>
        <w:t>Unlodged transfers — independent person’s obligations</w:t>
      </w:r>
      <w:bookmarkEnd w:id="266"/>
      <w:bookmarkEnd w:id="267"/>
      <w:bookmarkEnd w:id="268"/>
      <w:bookmarkEnd w:id="269"/>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 xml:space="preserve">A notification under subsection (2) must set out, to the extent that the information can be ascertained from the transfer or is otherwise known to the person —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 xml:space="preserve">[Section 35 inserted by No. 2 of 2003 s. 22; amended by No. 66 of 2003 s. 107(3).] </w:t>
      </w:r>
    </w:p>
    <w:p>
      <w:pPr>
        <w:pStyle w:val="Heading5"/>
        <w:rPr>
          <w:snapToGrid w:val="0"/>
        </w:rPr>
      </w:pPr>
      <w:bookmarkStart w:id="273" w:name="_Toc49223880"/>
      <w:bookmarkStart w:id="274" w:name="_Toc107054862"/>
      <w:bookmarkStart w:id="275" w:name="_Toc131416058"/>
      <w:bookmarkStart w:id="276" w:name="_Toc170193241"/>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 xml:space="preserve">[Section 36 amended by No. 93 of 1966 s. 5; No. 37 of 1979 s. 27; No. 2 of 2003 s. 23.] </w:t>
      </w:r>
    </w:p>
    <w:p>
      <w:pPr>
        <w:pStyle w:val="Ednotesection"/>
      </w:pPr>
      <w:bookmarkStart w:id="277" w:name="_Toc500739907"/>
      <w:bookmarkStart w:id="278" w:name="_Toc520101098"/>
      <w:bookmarkStart w:id="279" w:name="_Toc520532997"/>
      <w:r>
        <w:t>[</w:t>
      </w:r>
      <w:r>
        <w:rPr>
          <w:b/>
        </w:rPr>
        <w:t>37.</w:t>
      </w:r>
      <w:r>
        <w:tab/>
        <w:t xml:space="preserve">Repealed by No. 2 of 2003 s. 24.] </w:t>
      </w:r>
    </w:p>
    <w:p>
      <w:pPr>
        <w:pStyle w:val="Heading5"/>
      </w:pPr>
      <w:bookmarkStart w:id="280" w:name="_Toc49223881"/>
      <w:bookmarkStart w:id="281" w:name="_Toc107054863"/>
      <w:bookmarkStart w:id="282" w:name="_Toc131416059"/>
      <w:bookmarkStart w:id="283" w:name="_Toc170193242"/>
      <w:bookmarkStart w:id="284" w:name="_Toc500739908"/>
      <w:bookmarkStart w:id="285" w:name="_Toc520101099"/>
      <w:bookmarkStart w:id="286" w:name="_Toc520532998"/>
      <w:bookmarkEnd w:id="277"/>
      <w:bookmarkEnd w:id="278"/>
      <w:bookmarkEnd w:id="279"/>
      <w:r>
        <w:rPr>
          <w:rStyle w:val="CharSectno"/>
        </w:rPr>
        <w:t>38</w:t>
      </w:r>
      <w:r>
        <w:t>.</w:t>
      </w:r>
      <w:r>
        <w:tab/>
        <w:t>Instruments held in escrow</w:t>
      </w:r>
      <w:bookmarkEnd w:id="280"/>
      <w:bookmarkEnd w:id="281"/>
      <w:bookmarkEnd w:id="282"/>
      <w:bookmarkEnd w:id="283"/>
    </w:p>
    <w:p>
      <w:pPr>
        <w:pStyle w:val="Subsection"/>
      </w:pPr>
      <w:r>
        <w:tab/>
      </w:r>
      <w:r>
        <w:tab/>
        <w:t>For the purposes of a stamp Act an escrow is taken to be an instrument duly executed and delivered and is liable to duty accordingly.</w:t>
      </w:r>
    </w:p>
    <w:p>
      <w:pPr>
        <w:pStyle w:val="Footnotesection"/>
      </w:pPr>
      <w:r>
        <w:tab/>
        <w:t xml:space="preserve">[Section 38 inserted by No. 2 of 2003 s. 24.] </w:t>
      </w:r>
    </w:p>
    <w:p>
      <w:pPr>
        <w:pStyle w:val="Heading5"/>
      </w:pPr>
      <w:bookmarkStart w:id="287" w:name="_Toc107054864"/>
      <w:bookmarkStart w:id="288" w:name="_Toc131416060"/>
      <w:bookmarkStart w:id="289" w:name="_Toc170193243"/>
      <w:r>
        <w:rPr>
          <w:rStyle w:val="CharSectno"/>
        </w:rPr>
        <w:t>39</w:t>
      </w:r>
      <w:r>
        <w:t>.</w:t>
      </w:r>
      <w:r>
        <w:tab/>
        <w:t>Determining whether securities are situated in Western Australia</w:t>
      </w:r>
      <w:bookmarkEnd w:id="287"/>
      <w:bookmarkEnd w:id="288"/>
      <w:bookmarkEnd w:id="289"/>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284"/>
    <w:bookmarkEnd w:id="285"/>
    <w:bookmarkEnd w:id="286"/>
    <w:p>
      <w:pPr>
        <w:pStyle w:val="Ednotesection"/>
      </w:pPr>
      <w:r>
        <w:t>[</w:t>
      </w:r>
      <w:r>
        <w:rPr>
          <w:b/>
        </w:rPr>
        <w:t>39A.</w:t>
      </w:r>
      <w:r>
        <w:tab/>
        <w:t xml:space="preserve">Repealed by No. 2 of 2003 s. 24.] </w:t>
      </w:r>
    </w:p>
    <w:p>
      <w:pPr>
        <w:pStyle w:val="Heading5"/>
      </w:pPr>
      <w:bookmarkStart w:id="290" w:name="_Toc107054865"/>
      <w:bookmarkStart w:id="291" w:name="_Toc131416061"/>
      <w:bookmarkStart w:id="292" w:name="_Toc170193244"/>
      <w:r>
        <w:rPr>
          <w:rStyle w:val="CharSectno"/>
        </w:rPr>
        <w:t>40</w:t>
      </w:r>
      <w:r>
        <w:t>.</w:t>
      </w:r>
      <w:r>
        <w:tab/>
        <w:t>Valuing a marketable security or right in respect of shares</w:t>
      </w:r>
      <w:bookmarkEnd w:id="290"/>
      <w:bookmarkEnd w:id="291"/>
      <w:bookmarkEnd w:id="292"/>
    </w:p>
    <w:p>
      <w:pPr>
        <w:pStyle w:val="Subsection"/>
      </w:pPr>
      <w:r>
        <w:tab/>
        <w:t>(1)</w:t>
      </w:r>
      <w:r>
        <w:tab/>
        <w:t xml:space="preserve">The value of a marketable security or right in respect of shares is to be determined — </w:t>
      </w:r>
    </w:p>
    <w:p>
      <w:pPr>
        <w:pStyle w:val="Indenta"/>
      </w:pPr>
      <w:r>
        <w:tab/>
        <w:t>(a)</w:t>
      </w:r>
      <w:r>
        <w:tab/>
        <w:t xml:space="preserve">as if the constitution or governing rules of the issuer satisfied any requirements of the Australian Stock Exchange Limited that must be satisfied before the security or right could be quoted on the Australian Stock Exchange Limited; and </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 xml:space="preserve">Repealed by No. 37 of 1979 s. 30.] </w:t>
      </w:r>
    </w:p>
    <w:p>
      <w:pPr>
        <w:pStyle w:val="Ednotedivision"/>
      </w:pPr>
      <w:r>
        <w:t>[Headings before section 45 deleted by No. 37 of 1979 s. 31.]</w:t>
      </w:r>
    </w:p>
    <w:p>
      <w:pPr>
        <w:pStyle w:val="Ednotesection"/>
      </w:pPr>
      <w:r>
        <w:t>[</w:t>
      </w:r>
      <w:r>
        <w:rPr>
          <w:b/>
        </w:rPr>
        <w:t>45.</w:t>
      </w:r>
      <w:r>
        <w:tab/>
        <w:t xml:space="preserve">Repealed by No. 37 of 1979 s. 32.] </w:t>
      </w:r>
    </w:p>
    <w:p>
      <w:pPr>
        <w:pStyle w:val="Ednotesection"/>
      </w:pPr>
      <w:r>
        <w:t>[</w:t>
      </w:r>
      <w:r>
        <w:rPr>
          <w:b/>
        </w:rPr>
        <w:t>46</w:t>
      </w:r>
      <w:r>
        <w:rPr>
          <w:b/>
        </w:rPr>
        <w:noBreakHyphen/>
        <w:t>48.</w:t>
      </w:r>
      <w:r>
        <w:tab/>
        <w:t>Repealed by No. 72 of 1965 s. 6(b)</w:t>
      </w:r>
      <w:r>
        <w:noBreakHyphen/>
        <w:t xml:space="preserve">(d).] </w:t>
      </w:r>
    </w:p>
    <w:p>
      <w:pPr>
        <w:pStyle w:val="Ednotepart"/>
      </w:pPr>
      <w:r>
        <w:t>[Part IIIA (s. 49</w:t>
      </w:r>
      <w:r>
        <w:noBreakHyphen/>
        <w:t>50D) repealed by No. 66 of 2003 s. 16(1).]</w:t>
      </w:r>
    </w:p>
    <w:p>
      <w:pPr>
        <w:pStyle w:val="Ednotesection"/>
        <w:ind w:left="890" w:hanging="890"/>
      </w:pPr>
      <w:r>
        <w:t>[</w:t>
      </w:r>
      <w:r>
        <w:rPr>
          <w:b/>
        </w:rPr>
        <w:t>50E.</w:t>
      </w:r>
      <w:r>
        <w:tab/>
        <w:t xml:space="preserve">Repealed by No. 42 of 1993 s. 4.] </w:t>
      </w:r>
    </w:p>
    <w:p>
      <w:pPr>
        <w:pStyle w:val="Ednotesection"/>
        <w:ind w:left="890" w:hanging="890"/>
      </w:pPr>
      <w:r>
        <w:t>[</w:t>
      </w:r>
      <w:r>
        <w:rPr>
          <w:b/>
        </w:rPr>
        <w:t>51.</w:t>
      </w:r>
      <w:r>
        <w:tab/>
        <w:t xml:space="preserve">Repealed by No. 37 of 1979 s. 37.] </w:t>
      </w:r>
    </w:p>
    <w:p>
      <w:pPr>
        <w:pStyle w:val="Ednotesection"/>
        <w:ind w:left="890" w:hanging="890"/>
      </w:pPr>
      <w:r>
        <w:t>[</w:t>
      </w:r>
      <w:r>
        <w:rPr>
          <w:b/>
        </w:rPr>
        <w:t>52.</w:t>
      </w:r>
      <w:r>
        <w:tab/>
        <w:t xml:space="preserve">Repealed by No. 2 of 2003 s. 30.] </w:t>
      </w:r>
    </w:p>
    <w:p>
      <w:pPr>
        <w:pStyle w:val="Ednotesection"/>
        <w:ind w:left="890" w:hanging="890"/>
      </w:pPr>
      <w:r>
        <w:t>[</w:t>
      </w:r>
      <w:r>
        <w:rPr>
          <w:b/>
        </w:rPr>
        <w:t>53</w:t>
      </w:r>
      <w:r>
        <w:rPr>
          <w:b/>
        </w:rPr>
        <w:noBreakHyphen/>
        <w:t>60.</w:t>
      </w:r>
      <w:r>
        <w:tab/>
        <w:t xml:space="preserve">Repealed by No. 37 of 1979 s. 39.] </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293" w:name="_Toc58902538"/>
      <w:bookmarkStart w:id="294" w:name="_Toc76899535"/>
      <w:bookmarkStart w:id="295" w:name="_Toc78090437"/>
      <w:bookmarkStart w:id="296" w:name="_Toc88886805"/>
      <w:bookmarkStart w:id="297" w:name="_Toc90443421"/>
      <w:bookmarkStart w:id="298" w:name="_Toc90452772"/>
      <w:bookmarkStart w:id="299" w:name="_Toc100029363"/>
      <w:bookmarkStart w:id="300" w:name="_Toc100031436"/>
      <w:bookmarkStart w:id="301" w:name="_Toc100458495"/>
      <w:bookmarkStart w:id="302" w:name="_Toc101671911"/>
      <w:bookmarkStart w:id="303" w:name="_Toc101672168"/>
      <w:bookmarkStart w:id="304" w:name="_Toc102799194"/>
      <w:bookmarkStart w:id="305" w:name="_Toc102981868"/>
      <w:bookmarkStart w:id="306" w:name="_Toc103403181"/>
      <w:bookmarkStart w:id="307" w:name="_Toc103403438"/>
      <w:bookmarkStart w:id="308" w:name="_Toc103747437"/>
      <w:bookmarkStart w:id="309" w:name="_Toc107054866"/>
      <w:bookmarkStart w:id="310" w:name="_Toc113874313"/>
      <w:bookmarkStart w:id="311" w:name="_Toc113956729"/>
      <w:bookmarkStart w:id="312" w:name="_Toc116717285"/>
      <w:bookmarkStart w:id="313" w:name="_Toc116813312"/>
      <w:bookmarkStart w:id="314" w:name="_Toc122332964"/>
      <w:bookmarkStart w:id="315" w:name="_Toc122861934"/>
      <w:bookmarkStart w:id="316" w:name="_Toc122862530"/>
      <w:bookmarkStart w:id="317" w:name="_Toc122921137"/>
      <w:bookmarkStart w:id="318" w:name="_Toc122921397"/>
      <w:bookmarkStart w:id="319" w:name="_Toc122947342"/>
      <w:bookmarkStart w:id="320" w:name="_Toc124046178"/>
      <w:bookmarkStart w:id="321" w:name="_Toc131415763"/>
      <w:bookmarkStart w:id="322" w:name="_Toc131416062"/>
      <w:bookmarkStart w:id="323" w:name="_Toc170193245"/>
      <w:r>
        <w:rPr>
          <w:rStyle w:val="CharPartNo"/>
        </w:rPr>
        <w:t>Part IIIB</w:t>
      </w:r>
      <w:r>
        <w:rPr>
          <w:rStyle w:val="CharDivNo"/>
        </w:rPr>
        <w:t> </w:t>
      </w:r>
      <w:r>
        <w:t>—</w:t>
      </w:r>
      <w:r>
        <w:rPr>
          <w:rStyle w:val="CharDivText"/>
        </w:rPr>
        <w:t> </w:t>
      </w:r>
      <w:r>
        <w:rPr>
          <w:rStyle w:val="CharPartText"/>
        </w:rPr>
        <w:t>Conveyances and transfers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PartText"/>
        </w:rPr>
        <w:t xml:space="preserve"> </w:t>
      </w:r>
    </w:p>
    <w:p>
      <w:pPr>
        <w:pStyle w:val="Footnoteheading"/>
        <w:tabs>
          <w:tab w:val="left" w:pos="923"/>
        </w:tabs>
        <w:rPr>
          <w:snapToGrid w:val="0"/>
        </w:rPr>
      </w:pPr>
      <w:r>
        <w:rPr>
          <w:snapToGrid w:val="0"/>
        </w:rPr>
        <w:tab/>
        <w:t xml:space="preserve">[Part heading inserted by No. 37 of 1979 s. 40.] </w:t>
      </w:r>
    </w:p>
    <w:p>
      <w:pPr>
        <w:pStyle w:val="Ednotedivision"/>
      </w:pPr>
      <w:bookmarkStart w:id="324" w:name="_Toc500739918"/>
      <w:bookmarkStart w:id="325" w:name="_Toc520101109"/>
      <w:bookmarkStart w:id="326" w:name="_Toc520533008"/>
      <w:r>
        <w:t>[Heading deleted by No. 2 of 2003 s. 31.]</w:t>
      </w:r>
    </w:p>
    <w:p>
      <w:pPr>
        <w:pStyle w:val="Heading5"/>
        <w:rPr>
          <w:snapToGrid w:val="0"/>
        </w:rPr>
      </w:pPr>
      <w:bookmarkStart w:id="327" w:name="_Toc49223888"/>
      <w:bookmarkStart w:id="328" w:name="_Toc107054867"/>
      <w:bookmarkStart w:id="329" w:name="_Toc131416063"/>
      <w:bookmarkStart w:id="330" w:name="_Toc170193246"/>
      <w:r>
        <w:rPr>
          <w:rStyle w:val="CharSectno"/>
        </w:rPr>
        <w:t>63</w:t>
      </w:r>
      <w:r>
        <w:rPr>
          <w:snapToGrid w:val="0"/>
        </w:rPr>
        <w:t>.</w:t>
      </w:r>
      <w:r>
        <w:rPr>
          <w:snapToGrid w:val="0"/>
        </w:rPr>
        <w:tab/>
        <w:t>Interpretation in Part IIIB</w:t>
      </w:r>
      <w:bookmarkEnd w:id="324"/>
      <w:bookmarkEnd w:id="325"/>
      <w:bookmarkEnd w:id="326"/>
      <w:bookmarkEnd w:id="327"/>
      <w:bookmarkEnd w:id="328"/>
      <w:bookmarkEnd w:id="329"/>
      <w:bookmarkEnd w:id="330"/>
    </w:p>
    <w:p>
      <w:pPr>
        <w:pStyle w:val="Subsection"/>
        <w:spacing w:before="140"/>
        <w:rPr>
          <w:snapToGrid w:val="0"/>
        </w:rPr>
      </w:pPr>
      <w:r>
        <w:rPr>
          <w:snapToGrid w:val="0"/>
        </w:rPr>
        <w:tab/>
        <w:t>(1)</w:t>
      </w:r>
      <w:r>
        <w:rPr>
          <w:snapToGrid w:val="0"/>
        </w:rPr>
        <w:tab/>
        <w:t>In this Part — </w:t>
      </w:r>
    </w:p>
    <w:p>
      <w:pPr>
        <w:pStyle w:val="Defstart"/>
        <w:spacing w:before="60"/>
      </w:pPr>
      <w:r>
        <w:rPr>
          <w:b/>
        </w:rPr>
        <w:tab/>
        <w:t>“</w:t>
      </w:r>
      <w:r>
        <w:rPr>
          <w:rStyle w:val="CharDefText"/>
        </w:rPr>
        <w:t>conveyance on sale</w:t>
      </w:r>
      <w:r>
        <w:rPr>
          <w:b/>
        </w:rPr>
        <w:t>”</w:t>
      </w:r>
      <w:r>
        <w:t xml:space="preserve"> includes —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xml:space="preserve">, in relation to a unit, includes —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 xml:space="preserve">in relation to a provisional public trust for which the prospectus or information memorandum has been, or is to be, lodged with the Australian Securities and Investments Commission — the period of one year beginning on —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 xml:space="preserve">For the purposes of sections 63AA(2a)(a) and 63AB(2)(g), the Commissioner may treat 2 or more parcels of land as a single parcel of land if the Commissioner is satisfied that it is appropriate to do so having regard to —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rPr>
          <w:snapToGrid w:val="0"/>
        </w:rPr>
      </w:pPr>
      <w:r>
        <w:rPr>
          <w:snapToGrid w:val="0"/>
        </w:rPr>
        <w:tab/>
        <w:t>(2)</w:t>
      </w:r>
      <w:r>
        <w:rPr>
          <w:snapToGrid w:val="0"/>
        </w:rPr>
        <w:tab/>
        <w:t xml:space="preserve">A unit trust scheme is a private unit trust scheme if at the time of any conveyance, transfer or </w:t>
      </w:r>
      <w:r>
        <w:t>other disposition of a unit —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 xml:space="preserve">For the purposes of subsection (2)(a) and (b)(ii) —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 xml:space="preserve">For the purposes of subsection (4), the following persons are related —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 xml:space="preserve">a trustee and a trustee of another trust if —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 xml:space="preserve">For the purposes of subsection (5) —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 xml:space="preserve">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 </w:t>
      </w:r>
    </w:p>
    <w:p>
      <w:pPr>
        <w:pStyle w:val="Indenta"/>
      </w:pPr>
      <w:r>
        <w:tab/>
        <w:t>(a)</w:t>
      </w:r>
      <w:r>
        <w:tab/>
        <w:t>the property subject to the discretionary trust, unless the Commissioner determines otherwise; or</w:t>
      </w:r>
    </w:p>
    <w:p>
      <w:pPr>
        <w:pStyle w:val="Indenta"/>
        <w:rPr>
          <w:snapToGrid w:val="0"/>
        </w:rPr>
      </w:pPr>
      <w:r>
        <w:tab/>
        <w:t>(b)</w:t>
      </w:r>
      <w:r>
        <w:tab/>
        <w:t>such part of that property as the Commissioner determines.</w:t>
      </w:r>
    </w:p>
    <w:p>
      <w:pPr>
        <w:pStyle w:val="Footnotesection"/>
      </w:pPr>
      <w:r>
        <w:tab/>
        <w:t xml:space="preserve">[Section 63 inserted by No. 37 of 1979 s. 41; amended by No. 112 of 1982 s. 5; No. 33 of 1987 s. 15; No. 39 of 1994 s. 21; No. 48 of 1996 s. 44; No. 24 of 1999 s. 4; No. 3 of 2001 s. 18; No. 10 of 2001 s. 167; No. 36 of 2001 s. 26; No. 2 of 2003 s. 32; No. 66 of 2003 s. 17.] </w:t>
      </w:r>
    </w:p>
    <w:p>
      <w:pPr>
        <w:pStyle w:val="Heading5"/>
      </w:pPr>
      <w:bookmarkStart w:id="331" w:name="_Toc49223889"/>
      <w:bookmarkStart w:id="332" w:name="_Toc107054868"/>
      <w:bookmarkStart w:id="333" w:name="_Toc131416064"/>
      <w:bookmarkStart w:id="334" w:name="_Toc170193247"/>
      <w:bookmarkStart w:id="335" w:name="_Toc500739919"/>
      <w:bookmarkStart w:id="336" w:name="_Toc520101110"/>
      <w:bookmarkStart w:id="337" w:name="_Toc520533009"/>
      <w:r>
        <w:rPr>
          <w:rStyle w:val="CharSectno"/>
        </w:rPr>
        <w:t>63AA</w:t>
      </w:r>
      <w:r>
        <w:t>.</w:t>
      </w:r>
      <w:r>
        <w:tab/>
        <w:t>Registered unit trust schemes</w:t>
      </w:r>
      <w:bookmarkEnd w:id="331"/>
      <w:bookmarkEnd w:id="332"/>
      <w:bookmarkEnd w:id="333"/>
      <w:bookmarkEnd w:id="334"/>
    </w:p>
    <w:p>
      <w:pPr>
        <w:pStyle w:val="Subsection"/>
      </w:pPr>
      <w:r>
        <w:tab/>
        <w:t>(1)</w:t>
      </w:r>
      <w:r>
        <w:tab/>
        <w:t xml:space="preserve">In this section —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 xml:space="preserve">A unit trustee may apply to the Commissioner in an approved form for registration of a unit trust scheme. </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 xml:space="preserve">the Commissioner is satisfied that the unit trust scheme is eligible for registration under section 63AB(2) as a pooled investment trust or section 63AB(3) as an equity trust; </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 xml:space="preserve">trust if —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338" w:name="_Toc49223890"/>
      <w:bookmarkStart w:id="339" w:name="_Toc107054869"/>
      <w:bookmarkStart w:id="340" w:name="_Toc131416065"/>
      <w:bookmarkStart w:id="341" w:name="_Toc170193248"/>
      <w:r>
        <w:rPr>
          <w:rStyle w:val="CharSectno"/>
        </w:rPr>
        <w:t>63AB</w:t>
      </w:r>
      <w:r>
        <w:t>.</w:t>
      </w:r>
      <w:r>
        <w:tab/>
        <w:t>Criteria for registration of a unit trust scheme</w:t>
      </w:r>
      <w:bookmarkEnd w:id="338"/>
      <w:bookmarkEnd w:id="339"/>
      <w:bookmarkEnd w:id="340"/>
      <w:bookmarkEnd w:id="341"/>
    </w:p>
    <w:p>
      <w:pPr>
        <w:pStyle w:val="Subsection"/>
      </w:pPr>
      <w:r>
        <w:tab/>
        <w:t>(1)</w:t>
      </w:r>
      <w:r>
        <w:tab/>
        <w:t xml:space="preserve">In this section —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 xml:space="preserve">For the purposes of section 63AA(2), a unit trust scheme is eligible for registration as a pooled investment trust if it meets all of the following criteria —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pPr>
      <w:r>
        <w:tab/>
        <w:t>(c)</w:t>
      </w:r>
      <w:r>
        <w:tab/>
        <w:t xml:space="preserve">each unit holder in the scheme —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 xml:space="preserve">holds the unit in the unit holder’s capacity as a trustee of a master trust, being a trust by means of which the public may invest in managed funds; </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 xml:space="preserve">is a body corporate that the Commissioner is satisfied —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pPr>
      <w:r>
        <w:tab/>
        <w:t>(g)</w:t>
      </w:r>
      <w:r>
        <w:tab/>
        <w:t xml:space="preserve">either —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 xml:space="preserve">In subsection (2)(a) — </w:t>
      </w:r>
    </w:p>
    <w:p>
      <w:pPr>
        <w:pStyle w:val="Defstart"/>
      </w:pPr>
      <w:r>
        <w:rPr>
          <w:b/>
        </w:rPr>
        <w:tab/>
        <w:t>“</w:t>
      </w:r>
      <w:r>
        <w:rPr>
          <w:rStyle w:val="CharDefText"/>
        </w:rPr>
        <w:t>funds manager</w:t>
      </w:r>
      <w:r>
        <w:rPr>
          <w:b/>
        </w:rPr>
        <w:t>”</w:t>
      </w:r>
      <w:r>
        <w:t xml:space="preserve"> means — </w:t>
      </w:r>
    </w:p>
    <w:p>
      <w:pPr>
        <w:pStyle w:val="Defpara"/>
      </w:pPr>
      <w:r>
        <w:tab/>
        <w:t>(a)</w:t>
      </w:r>
      <w:r>
        <w:tab/>
        <w:t xml:space="preserve">a body corporate that, as its principal business, provides funds management and investment services to persons of the kind described in subsection (2)(c) if —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 </w:t>
      </w:r>
    </w:p>
    <w:p>
      <w:pPr>
        <w:pStyle w:val="Defsubpara"/>
      </w:pPr>
      <w:r>
        <w:tab/>
        <w:t>(i)</w:t>
      </w:r>
      <w:r>
        <w:tab/>
        <w:t>that business is not conducted to provide those services only to particular persons; and</w:t>
      </w:r>
    </w:p>
    <w:p>
      <w:pPr>
        <w:pStyle w:val="Defsubpara"/>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 xml:space="preserve">For the purposes of section 63AA(2), a unit trust scheme is eligible for registration as an equity trust if it meets all of the following criteria — </w:t>
      </w:r>
    </w:p>
    <w:p>
      <w:pPr>
        <w:pStyle w:val="Indenta"/>
        <w:spacing w:before="140"/>
      </w:pPr>
      <w:r>
        <w:tab/>
        <w:t>(a)</w:t>
      </w:r>
      <w:r>
        <w:tab/>
        <w:t xml:space="preserve">the unit trustee, as trustee of the scheme, does not hold, and is not empowered or able to hold, any thing other than —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342" w:name="_Toc49223891"/>
      <w:bookmarkStart w:id="343" w:name="_Toc107054870"/>
      <w:bookmarkStart w:id="344" w:name="_Toc131416066"/>
      <w:bookmarkStart w:id="345" w:name="_Toc170193249"/>
      <w:r>
        <w:rPr>
          <w:rStyle w:val="CharSectno"/>
        </w:rPr>
        <w:t>63AC</w:t>
      </w:r>
      <w:r>
        <w:t>.</w:t>
      </w:r>
      <w:r>
        <w:tab/>
        <w:t>Interim registration</w:t>
      </w:r>
      <w:bookmarkEnd w:id="342"/>
      <w:bookmarkEnd w:id="343"/>
      <w:bookmarkEnd w:id="344"/>
      <w:bookmarkEnd w:id="345"/>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 xml:space="preserve">The Commissioner may grant the unit trust scheme interim registration as a pooled investment trust or an equity trust, as the case may be, for the start up period if —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pPr>
      <w:r>
        <w:tab/>
        <w:t>(2a)</w:t>
      </w:r>
      <w:r>
        <w:tab/>
        <w:t>If — </w:t>
      </w:r>
    </w:p>
    <w:p>
      <w:pPr>
        <w:pStyle w:val="Indenta"/>
      </w:pPr>
      <w:r>
        <w:tab/>
        <w:t>(a)</w:t>
      </w:r>
      <w:r>
        <w:tab/>
        <w:t>at the beginning of the start up period the body corporate that established and manages a unit trust scheme is not a funds manager (as defined in section 63AB(2a)); and</w:t>
      </w:r>
    </w:p>
    <w:p>
      <w:pPr>
        <w:pStyle w:val="Indenta"/>
        <w:keepNext/>
      </w:pPr>
      <w:r>
        <w:tab/>
        <w:t>(b)</w:t>
      </w:r>
      <w:r>
        <w:tab/>
        <w:t xml:space="preserve">the Commissioner is satisfied that —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346" w:name="_Toc49223892"/>
      <w:bookmarkStart w:id="347" w:name="_Toc107054871"/>
      <w:bookmarkStart w:id="348" w:name="_Toc131416067"/>
      <w:bookmarkStart w:id="349" w:name="_Toc170193250"/>
      <w:r>
        <w:rPr>
          <w:rStyle w:val="CharSectno"/>
        </w:rPr>
        <w:t>63AD</w:t>
      </w:r>
      <w:r>
        <w:t>.</w:t>
      </w:r>
      <w:r>
        <w:tab/>
        <w:t>Cancellation of registration or interim registration</w:t>
      </w:r>
      <w:bookmarkEnd w:id="346"/>
      <w:bookmarkEnd w:id="347"/>
      <w:bookmarkEnd w:id="348"/>
      <w:bookmarkEnd w:id="349"/>
    </w:p>
    <w:p>
      <w:pPr>
        <w:pStyle w:val="Subsection"/>
      </w:pPr>
      <w:r>
        <w:tab/>
        <w:t>(1)</w:t>
      </w:r>
      <w:r>
        <w:tab/>
        <w:t xml:space="preserve">For the purposes of this section and section 63AE, a disqualifying event occurs —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 xml:space="preserve">When the Commissioner receives a notice under subsection (2) —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 xml:space="preserve">notify the unit trustee of —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 xml:space="preserve">Cancellation under subsection (4) is taken to have had effect —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 xml:space="preserve">trust under section 63AA(2a), a disqualifying event is taken to have occurred and the Commissioner shall —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350" w:name="_Toc107054872"/>
      <w:bookmarkStart w:id="351" w:name="_Toc131416068"/>
      <w:bookmarkStart w:id="352" w:name="_Toc170193251"/>
      <w:bookmarkStart w:id="353" w:name="_Toc49223893"/>
      <w:r>
        <w:rPr>
          <w:rStyle w:val="CharSectno"/>
        </w:rPr>
        <w:t>63ADA</w:t>
      </w:r>
      <w:r>
        <w:t>.</w:t>
      </w:r>
      <w:r>
        <w:tab/>
        <w:t>Registration of private unit trust scheme as provisional public trust</w:t>
      </w:r>
      <w:bookmarkEnd w:id="350"/>
      <w:bookmarkEnd w:id="351"/>
      <w:bookmarkEnd w:id="352"/>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 xml:space="preserve">The Commissioner may register the unit trust scheme as a provisional public trust for the start up period if satisfied that —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 xml:space="preserve">The Commissioner —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 </w:t>
      </w:r>
    </w:p>
    <w:p>
      <w:pPr>
        <w:pStyle w:val="Footnotesection"/>
      </w:pPr>
      <w:r>
        <w:tab/>
        <w:t>[Section 63ADA inserted by No. 66 of 2003 s. 22.]</w:t>
      </w:r>
    </w:p>
    <w:p>
      <w:pPr>
        <w:pStyle w:val="Heading5"/>
      </w:pPr>
      <w:bookmarkStart w:id="354" w:name="_Toc107054873"/>
      <w:bookmarkStart w:id="355" w:name="_Toc131416069"/>
      <w:bookmarkStart w:id="356" w:name="_Toc170193252"/>
      <w:r>
        <w:rPr>
          <w:rStyle w:val="CharSectno"/>
        </w:rPr>
        <w:t>63ADB</w:t>
      </w:r>
      <w:r>
        <w:t>.</w:t>
      </w:r>
      <w:r>
        <w:tab/>
        <w:t>Cancellation of registration of provisional public trust</w:t>
      </w:r>
      <w:bookmarkEnd w:id="354"/>
      <w:bookmarkEnd w:id="355"/>
      <w:bookmarkEnd w:id="356"/>
    </w:p>
    <w:p>
      <w:pPr>
        <w:pStyle w:val="Subsection"/>
      </w:pPr>
      <w:r>
        <w:tab/>
        <w:t>(1)</w:t>
      </w:r>
      <w:r>
        <w:tab/>
        <w:t xml:space="preserve">For the purposes of this section and section 63AE a disqualifying event occurs in relation to a unit trust scheme that has been registered as a provisional public trust —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 xml:space="preserve">without limiting paragraph (a), if —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 xml:space="preserve">If a disqualifying event occurs —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 xml:space="preserve">If the Commissioner has not been notified of the occurrence of a disqualifying event but is satisfied that a disqualifying event has occurred — </w:t>
      </w:r>
    </w:p>
    <w:p>
      <w:pPr>
        <w:pStyle w:val="Indenta"/>
      </w:pPr>
      <w:r>
        <w:tab/>
        <w:t>(a)</w:t>
      </w:r>
      <w:r>
        <w:tab/>
        <w:t>a disqualifying event is taken to have occurred and subsection (3)(a) and (b) apply; and</w:t>
      </w:r>
    </w:p>
    <w:p>
      <w:pPr>
        <w:pStyle w:val="Indenta"/>
      </w:pPr>
      <w:r>
        <w:tab/>
        <w:t>(b)</w:t>
      </w:r>
      <w:r>
        <w:tab/>
        <w:t xml:space="preserve">the Commissioner must notify the unit trustee of —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 xml:space="preserve">If the Commissioner is satisfied that a provisional public trust is being used as part of a scheme or arrangement with the collateral purpose of avoiding or reducing the duty that otherwise would be or might become payable on the conveyance or transfer of trust property —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 xml:space="preserve">For the purposes of subsection (5), if a conveyance or transfer of the trust property of a provisional public trust —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357" w:name="_Toc107054874"/>
      <w:bookmarkStart w:id="358" w:name="_Toc131416070"/>
      <w:bookmarkStart w:id="359" w:name="_Toc170193253"/>
      <w:r>
        <w:rPr>
          <w:rStyle w:val="CharSectno"/>
        </w:rPr>
        <w:t>63AE</w:t>
      </w:r>
      <w:r>
        <w:t>.</w:t>
      </w:r>
      <w:r>
        <w:tab/>
        <w:t>Dutiable statement about disqualifying event and subsequent transfers or dispositions</w:t>
      </w:r>
      <w:bookmarkEnd w:id="353"/>
      <w:bookmarkEnd w:id="357"/>
      <w:bookmarkEnd w:id="358"/>
      <w:bookmarkEnd w:id="359"/>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 xml:space="preserve">The dutiable statement must —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 xml:space="preserve">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 </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360" w:name="_Toc49223894"/>
      <w:bookmarkStart w:id="361" w:name="_Toc107054875"/>
      <w:bookmarkStart w:id="362" w:name="_Toc131416071"/>
      <w:bookmarkStart w:id="363" w:name="_Toc170193254"/>
      <w:r>
        <w:rPr>
          <w:rStyle w:val="CharSectno"/>
        </w:rPr>
        <w:t>63AF</w:t>
      </w:r>
      <w:r>
        <w:t>.</w:t>
      </w:r>
      <w:r>
        <w:tab/>
        <w:t>Duty chargeable on the dutiable statement</w:t>
      </w:r>
      <w:bookmarkEnd w:id="360"/>
      <w:bookmarkEnd w:id="361"/>
      <w:bookmarkEnd w:id="362"/>
      <w:bookmarkEnd w:id="363"/>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w:t>
      </w:r>
      <w:r>
        <w:rPr>
          <w:rFonts w:ascii="Times" w:hAnsi="Times"/>
          <w:i w:val="0"/>
          <w:vertAlign w:val="superscript"/>
        </w:rPr>
        <w:t> 4</w:t>
      </w:r>
      <w:r>
        <w:t xml:space="preserve"> s. 24.]</w:t>
      </w:r>
    </w:p>
    <w:p>
      <w:pPr>
        <w:pStyle w:val="Heading5"/>
        <w:tabs>
          <w:tab w:val="left" w:pos="6096"/>
        </w:tabs>
      </w:pPr>
      <w:bookmarkStart w:id="364" w:name="_Toc107054876"/>
      <w:bookmarkStart w:id="365" w:name="_Toc131416072"/>
      <w:bookmarkStart w:id="366" w:name="_Toc170193255"/>
      <w:bookmarkStart w:id="367" w:name="_Toc49223895"/>
      <w:r>
        <w:rPr>
          <w:rStyle w:val="CharSectno"/>
        </w:rPr>
        <w:t>63AG</w:t>
      </w:r>
      <w:r>
        <w:t>.</w:t>
      </w:r>
      <w:r>
        <w:tab/>
        <w:t>When unit trust scheme becomes private unit trust scheme</w:t>
      </w:r>
      <w:bookmarkEnd w:id="364"/>
      <w:bookmarkEnd w:id="365"/>
      <w:bookmarkEnd w:id="366"/>
    </w:p>
    <w:p>
      <w:pPr>
        <w:pStyle w:val="Subsection"/>
        <w:tabs>
          <w:tab w:val="left" w:pos="6096"/>
        </w:tabs>
      </w:pPr>
      <w:r>
        <w:tab/>
        <w:t>(1)</w:t>
      </w:r>
      <w:r>
        <w:tab/>
        <w:t xml:space="preserve">In this section and sections 63AH, 63AI and 63AJ — </w:t>
      </w:r>
    </w:p>
    <w:p>
      <w:pPr>
        <w:pStyle w:val="Defstart"/>
        <w:tabs>
          <w:tab w:val="left" w:pos="6096"/>
        </w:tabs>
      </w:pPr>
      <w:r>
        <w:rPr>
          <w:b/>
        </w:rPr>
        <w:tab/>
        <w:t>“</w:t>
      </w:r>
      <w:r>
        <w:rPr>
          <w:rStyle w:val="CharDefText"/>
        </w:rPr>
        <w:t>aggregated dispositions</w:t>
      </w:r>
      <w:r>
        <w:rPr>
          <w:b/>
        </w:rPr>
        <w:t>”</w:t>
      </w:r>
      <w:r>
        <w:t xml:space="preserve"> means dispositions that —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 xml:space="preserve">If —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 xml:space="preserve">For the purposes of subsection (3), dispositions of units in a unit trust scheme are together taken to form substantially one disposition if those dispositions are made in response to —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 xml:space="preserve">If —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 xml:space="preserve">Subject to subsection (10), duty is chargeable under section 73D in respect of the dispositions that comprise —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r>
        <w:rPr>
          <w:i w:val="0"/>
          <w:vertAlign w:val="superscript"/>
        </w:rPr>
        <w:t> 4</w:t>
      </w:r>
      <w:r>
        <w:t>.]</w:t>
      </w:r>
    </w:p>
    <w:p>
      <w:pPr>
        <w:pStyle w:val="Heading5"/>
        <w:tabs>
          <w:tab w:val="left" w:pos="6096"/>
        </w:tabs>
      </w:pPr>
      <w:bookmarkStart w:id="368" w:name="_Toc107054877"/>
      <w:bookmarkStart w:id="369" w:name="_Toc131416073"/>
      <w:bookmarkStart w:id="370" w:name="_Toc170193256"/>
      <w:r>
        <w:rPr>
          <w:rStyle w:val="CharSectno"/>
        </w:rPr>
        <w:t>63AH</w:t>
      </w:r>
      <w:r>
        <w:t>.</w:t>
      </w:r>
      <w:r>
        <w:tab/>
        <w:t>Liability for duty on aggregated dispositions</w:t>
      </w:r>
      <w:bookmarkEnd w:id="368"/>
      <w:bookmarkEnd w:id="369"/>
      <w:bookmarkEnd w:id="370"/>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 xml:space="preserve">If —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371" w:name="_Toc107054878"/>
      <w:bookmarkStart w:id="372" w:name="_Toc131416074"/>
      <w:bookmarkStart w:id="373" w:name="_Toc170193257"/>
      <w:r>
        <w:rPr>
          <w:rStyle w:val="CharSectno"/>
        </w:rPr>
        <w:t>63AI</w:t>
      </w:r>
      <w:r>
        <w:t>.</w:t>
      </w:r>
      <w:r>
        <w:tab/>
        <w:t>Interstate security duty</w:t>
      </w:r>
      <w:bookmarkEnd w:id="371"/>
      <w:bookmarkEnd w:id="372"/>
      <w:bookmarkEnd w:id="373"/>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 xml:space="preserve">In subsection (1) —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374" w:name="_Toc107054879"/>
      <w:bookmarkStart w:id="375" w:name="_Toc131416075"/>
      <w:bookmarkStart w:id="376" w:name="_Toc170193258"/>
      <w:r>
        <w:rPr>
          <w:rStyle w:val="CharSectno"/>
        </w:rPr>
        <w:t>63AJ</w:t>
      </w:r>
      <w:r>
        <w:t>.</w:t>
      </w:r>
      <w:r>
        <w:tab/>
        <w:t>Dutiable statement to be lodged</w:t>
      </w:r>
      <w:bookmarkEnd w:id="374"/>
      <w:bookmarkEnd w:id="375"/>
      <w:bookmarkEnd w:id="376"/>
    </w:p>
    <w:p>
      <w:pPr>
        <w:pStyle w:val="Subsection"/>
        <w:tabs>
          <w:tab w:val="left" w:pos="6096"/>
        </w:tabs>
      </w:pPr>
      <w:r>
        <w:tab/>
        <w:t>(1)</w:t>
      </w:r>
      <w:r>
        <w:tab/>
        <w:t xml:space="preserve">If duty is chargeable under section 73D because of section 63AG in respect of the aggregated dispositions, the unit trustee of the unit trust scheme concerned must lodge with the Commissioner —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377" w:name="_Toc107054880"/>
      <w:bookmarkStart w:id="378" w:name="_Toc131416076"/>
      <w:bookmarkStart w:id="379" w:name="_Toc170193259"/>
      <w:r>
        <w:rPr>
          <w:rStyle w:val="CharSectno"/>
        </w:rPr>
        <w:t>63A</w:t>
      </w:r>
      <w:r>
        <w:rPr>
          <w:snapToGrid w:val="0"/>
        </w:rPr>
        <w:t>.</w:t>
      </w:r>
      <w:r>
        <w:rPr>
          <w:snapToGrid w:val="0"/>
        </w:rPr>
        <w:tab/>
        <w:t>Duty on certain decrees and orders</w:t>
      </w:r>
      <w:bookmarkEnd w:id="335"/>
      <w:bookmarkEnd w:id="336"/>
      <w:bookmarkEnd w:id="337"/>
      <w:bookmarkEnd w:id="367"/>
      <w:bookmarkEnd w:id="377"/>
      <w:bookmarkEnd w:id="378"/>
      <w:bookmarkEnd w:id="379"/>
      <w:r>
        <w:rPr>
          <w:snapToGrid w:val="0"/>
        </w:rPr>
        <w:t xml:space="preserve"> </w:t>
      </w:r>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 xml:space="preserve">[Section 63A inserted by No. 37 of 1979 s. 41; amended by No. 2 of 2003 s. 39; No. 66 of 2003 s. 26.] </w:t>
      </w:r>
    </w:p>
    <w:p>
      <w:pPr>
        <w:pStyle w:val="Heading5"/>
        <w:rPr>
          <w:snapToGrid w:val="0"/>
        </w:rPr>
      </w:pPr>
      <w:bookmarkStart w:id="380" w:name="_Toc500739920"/>
      <w:bookmarkStart w:id="381" w:name="_Toc520101111"/>
      <w:bookmarkStart w:id="382" w:name="_Toc520533010"/>
      <w:bookmarkStart w:id="383" w:name="_Toc49223896"/>
      <w:bookmarkStart w:id="384" w:name="_Toc107054881"/>
      <w:bookmarkStart w:id="385" w:name="_Toc131416077"/>
      <w:bookmarkStart w:id="386" w:name="_Toc170193260"/>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 xml:space="preserve">[Section 64 amended by No. 93 of 1966 s. 6; No. 48 of 1996 s. 32.] </w:t>
      </w:r>
    </w:p>
    <w:p>
      <w:pPr>
        <w:pStyle w:val="Heading5"/>
        <w:rPr>
          <w:snapToGrid w:val="0"/>
        </w:rPr>
      </w:pPr>
      <w:bookmarkStart w:id="387" w:name="_Toc500739921"/>
      <w:bookmarkStart w:id="388" w:name="_Toc520101112"/>
      <w:bookmarkStart w:id="389" w:name="_Toc520533011"/>
      <w:bookmarkStart w:id="390" w:name="_Toc49223897"/>
      <w:bookmarkStart w:id="391" w:name="_Toc107054882"/>
      <w:bookmarkStart w:id="392" w:name="_Toc131416078"/>
      <w:bookmarkStart w:id="393" w:name="_Toc170193261"/>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When the consideration or any part of the consideration for a conveyance on sale consists of money payable periodically —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 xml:space="preserve">[Section 65 inserted by No. 37 of 1979 s. 42; amended by No. 2 of 2003 s. 40.] </w:t>
      </w:r>
    </w:p>
    <w:p>
      <w:pPr>
        <w:pStyle w:val="Heading5"/>
        <w:rPr>
          <w:snapToGrid w:val="0"/>
        </w:rPr>
      </w:pPr>
      <w:bookmarkStart w:id="394" w:name="_Toc500739922"/>
      <w:bookmarkStart w:id="395" w:name="_Toc520101113"/>
      <w:bookmarkStart w:id="396" w:name="_Toc520533012"/>
      <w:bookmarkStart w:id="397" w:name="_Toc49223898"/>
      <w:bookmarkStart w:id="398" w:name="_Toc107054883"/>
      <w:bookmarkStart w:id="399" w:name="_Toc131416079"/>
      <w:bookmarkStart w:id="400" w:name="_Toc170193262"/>
      <w:r>
        <w:rPr>
          <w:rStyle w:val="CharSectno"/>
        </w:rPr>
        <w:t>66</w:t>
      </w:r>
      <w:r>
        <w:rPr>
          <w:snapToGrid w:val="0"/>
        </w:rPr>
        <w:t>.</w:t>
      </w:r>
      <w:r>
        <w:rPr>
          <w:snapToGrid w:val="0"/>
        </w:rPr>
        <w:tab/>
        <w:t>How conveyances in consideration of a debt or subject to future payment, etc., to be charged</w:t>
      </w:r>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 xml:space="preserve">[Section 66 amended by No. 93 of 1966 s. 7; No. 112 of 1982 s. 6; No. 33 of 1987 s. 16; No. 48 of 1996 s. 33; No. 2 of 2003 s. 41.] </w:t>
      </w:r>
    </w:p>
    <w:p>
      <w:pPr>
        <w:pStyle w:val="Heading5"/>
        <w:rPr>
          <w:snapToGrid w:val="0"/>
        </w:rPr>
      </w:pPr>
      <w:bookmarkStart w:id="401" w:name="_Toc500739923"/>
      <w:bookmarkStart w:id="402" w:name="_Toc520101114"/>
      <w:bookmarkStart w:id="403" w:name="_Toc520533013"/>
      <w:bookmarkStart w:id="404" w:name="_Toc49223899"/>
      <w:bookmarkStart w:id="405" w:name="_Toc107054884"/>
      <w:bookmarkStart w:id="406" w:name="_Toc131416080"/>
      <w:bookmarkStart w:id="407" w:name="_Toc170193263"/>
      <w:r>
        <w:rPr>
          <w:rStyle w:val="CharSectno"/>
        </w:rPr>
        <w:t>67</w:t>
      </w:r>
      <w:r>
        <w:rPr>
          <w:snapToGrid w:val="0"/>
        </w:rPr>
        <w:t>.</w:t>
      </w:r>
      <w:r>
        <w:rPr>
          <w:snapToGrid w:val="0"/>
        </w:rPr>
        <w:tab/>
        <w:t>Duty where conveyance is partly in consideration of improvements made or to be made on property</w:t>
      </w:r>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 xml:space="preserve">[Section 67 amended by No. 37 of 1979 s. 43; No. 81 of 1984 s. 14; No. 2 of 2003 s. 42.] </w:t>
      </w:r>
    </w:p>
    <w:p>
      <w:pPr>
        <w:pStyle w:val="Ednotesection"/>
        <w:ind w:left="890" w:hanging="890"/>
      </w:pPr>
      <w:r>
        <w:t>[</w:t>
      </w:r>
      <w:r>
        <w:rPr>
          <w:b/>
        </w:rPr>
        <w:t>68.</w:t>
      </w:r>
      <w:r>
        <w:tab/>
      </w:r>
      <w:r>
        <w:tab/>
        <w:t xml:space="preserve">Repealed by No. 37 of 1979 s. 44.] </w:t>
      </w:r>
    </w:p>
    <w:p>
      <w:pPr>
        <w:pStyle w:val="Heading5"/>
        <w:rPr>
          <w:snapToGrid w:val="0"/>
        </w:rPr>
      </w:pPr>
      <w:bookmarkStart w:id="408" w:name="_Toc500739924"/>
      <w:bookmarkStart w:id="409" w:name="_Toc520101115"/>
      <w:bookmarkStart w:id="410" w:name="_Toc520533014"/>
      <w:bookmarkStart w:id="411" w:name="_Toc49223900"/>
      <w:bookmarkStart w:id="412" w:name="_Toc107054885"/>
      <w:bookmarkStart w:id="413" w:name="_Toc131416081"/>
      <w:bookmarkStart w:id="414" w:name="_Toc170193264"/>
      <w:r>
        <w:rPr>
          <w:rStyle w:val="CharSectno"/>
        </w:rPr>
        <w:t>69</w:t>
      </w:r>
      <w:r>
        <w:rPr>
          <w:snapToGrid w:val="0"/>
        </w:rPr>
        <w:t>.</w:t>
      </w:r>
      <w:r>
        <w:rPr>
          <w:snapToGrid w:val="0"/>
        </w:rPr>
        <w:tab/>
        <w:t>Conveyance duty in cases where conveyance made at request or by direction of intermediary</w:t>
      </w:r>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Subject to sections 73 and 74, where —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r>
        <w:rPr>
          <w:i w:val="0"/>
          <w:vertAlign w:val="superscript"/>
        </w:rPr>
        <w:t> 4</w:t>
      </w:r>
      <w:r>
        <w:t xml:space="preserve">.] </w:t>
      </w:r>
    </w:p>
    <w:p>
      <w:pPr>
        <w:pStyle w:val="Heading5"/>
      </w:pPr>
      <w:bookmarkStart w:id="415" w:name="_Toc500739925"/>
      <w:bookmarkStart w:id="416" w:name="_Toc520101116"/>
      <w:bookmarkStart w:id="417" w:name="_Toc520533015"/>
      <w:bookmarkStart w:id="418" w:name="_Toc49223901"/>
      <w:bookmarkStart w:id="419" w:name="_Toc107054886"/>
      <w:bookmarkStart w:id="420" w:name="_Toc131416082"/>
      <w:bookmarkStart w:id="421" w:name="_Toc170193265"/>
      <w:r>
        <w:rPr>
          <w:rStyle w:val="CharSectno"/>
        </w:rPr>
        <w:t>70</w:t>
      </w:r>
      <w:r>
        <w:t>.</w:t>
      </w:r>
      <w:r>
        <w:tab/>
        <w:t>Certain transfers of chattels dutiable</w:t>
      </w:r>
      <w:bookmarkEnd w:id="415"/>
      <w:bookmarkEnd w:id="416"/>
      <w:bookmarkEnd w:id="417"/>
      <w:bookmarkEnd w:id="418"/>
      <w:bookmarkEnd w:id="419"/>
      <w:bookmarkEnd w:id="420"/>
      <w:bookmarkEnd w:id="421"/>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 xml:space="preserve">goods, wares or merchandise referred to in item 2(7), (7a) or (7b) of the Third Schedule; </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422" w:name="_Toc500739926"/>
      <w:bookmarkStart w:id="423" w:name="_Toc520101117"/>
      <w:bookmarkStart w:id="424" w:name="_Toc520533016"/>
      <w:bookmarkStart w:id="425" w:name="_Toc49223902"/>
      <w:bookmarkStart w:id="426" w:name="_Toc107054887"/>
      <w:bookmarkStart w:id="427" w:name="_Toc131416083"/>
      <w:bookmarkStart w:id="428" w:name="_Toc170193266"/>
      <w:r>
        <w:rPr>
          <w:rStyle w:val="CharSectno"/>
        </w:rPr>
        <w:t>71</w:t>
      </w:r>
      <w:r>
        <w:rPr>
          <w:snapToGrid w:val="0"/>
        </w:rPr>
        <w:t>.</w:t>
      </w:r>
      <w:r>
        <w:rPr>
          <w:snapToGrid w:val="0"/>
        </w:rPr>
        <w:tab/>
      </w:r>
      <w:bookmarkEnd w:id="422"/>
      <w:bookmarkEnd w:id="423"/>
      <w:bookmarkEnd w:id="424"/>
      <w:bookmarkEnd w:id="425"/>
      <w:r>
        <w:rPr>
          <w:snapToGrid w:val="0"/>
        </w:rPr>
        <w:t>Duty charged for 2 or more instruments of conveyance</w:t>
      </w:r>
      <w:bookmarkEnd w:id="426"/>
      <w:bookmarkEnd w:id="427"/>
      <w:bookmarkEnd w:id="428"/>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 xml:space="preserve">[Section 71 amended by No. 37 of 1979 s. 46; No. 2 of 2003 s. 45.] </w:t>
      </w:r>
    </w:p>
    <w:p>
      <w:pPr>
        <w:pStyle w:val="Ednotedivision"/>
      </w:pPr>
      <w:bookmarkStart w:id="429" w:name="_Toc500739927"/>
      <w:bookmarkStart w:id="430" w:name="_Toc520101118"/>
      <w:bookmarkStart w:id="431" w:name="_Toc520533017"/>
      <w:r>
        <w:t>[Heading deleted by No. 2 of 2003 s. 46.]</w:t>
      </w:r>
    </w:p>
    <w:p>
      <w:pPr>
        <w:pStyle w:val="Heading5"/>
        <w:rPr>
          <w:snapToGrid w:val="0"/>
        </w:rPr>
      </w:pPr>
      <w:bookmarkStart w:id="432" w:name="_Toc49223903"/>
      <w:bookmarkStart w:id="433" w:name="_Toc107054888"/>
      <w:bookmarkStart w:id="434" w:name="_Toc131416084"/>
      <w:bookmarkStart w:id="435" w:name="_Toc170193267"/>
      <w:r>
        <w:rPr>
          <w:rStyle w:val="CharSectno"/>
        </w:rPr>
        <w:t>72</w:t>
      </w:r>
      <w:r>
        <w:rPr>
          <w:snapToGrid w:val="0"/>
        </w:rPr>
        <w:t>.</w:t>
      </w:r>
      <w:r>
        <w:rPr>
          <w:snapToGrid w:val="0"/>
        </w:rPr>
        <w:tab/>
        <w:t>Transfer or assignment of mortgages for value</w:t>
      </w:r>
      <w:bookmarkEnd w:id="429"/>
      <w:bookmarkEnd w:id="430"/>
      <w:bookmarkEnd w:id="431"/>
      <w:bookmarkEnd w:id="432"/>
      <w:bookmarkEnd w:id="433"/>
      <w:bookmarkEnd w:id="434"/>
      <w:bookmarkEnd w:id="43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 xml:space="preserve">[Section 72 inserted by No. 20 of 1996 s. 23; amended by No. 2 of 2003 s. 47; No. 66 of 2003 s. 29.] </w:t>
      </w:r>
    </w:p>
    <w:p>
      <w:pPr>
        <w:pStyle w:val="Ednotedivision"/>
      </w:pPr>
      <w:bookmarkStart w:id="436" w:name="_Toc500739928"/>
      <w:bookmarkStart w:id="437" w:name="_Toc520101119"/>
      <w:bookmarkStart w:id="438" w:name="_Toc520533018"/>
      <w:r>
        <w:t>[Heading deleted by No. 2 of 2003 s. 48.]</w:t>
      </w:r>
    </w:p>
    <w:p>
      <w:pPr>
        <w:pStyle w:val="Heading5"/>
        <w:rPr>
          <w:snapToGrid w:val="0"/>
        </w:rPr>
      </w:pPr>
      <w:bookmarkStart w:id="439" w:name="_Toc49223904"/>
      <w:bookmarkStart w:id="440" w:name="_Toc107054889"/>
      <w:bookmarkStart w:id="441" w:name="_Toc131416085"/>
      <w:bookmarkStart w:id="442" w:name="_Toc170193268"/>
      <w:r>
        <w:rPr>
          <w:rStyle w:val="CharSectno"/>
        </w:rPr>
        <w:t>73</w:t>
      </w:r>
      <w:r>
        <w:rPr>
          <w:snapToGrid w:val="0"/>
        </w:rPr>
        <w:t>.</w:t>
      </w:r>
      <w:r>
        <w:rPr>
          <w:snapToGrid w:val="0"/>
        </w:rPr>
        <w:tab/>
        <w:t>As to conveyances on any occasion except sale or mortgage</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Except as</w:t>
      </w:r>
      <w:r>
        <w:t xml:space="preserve"> otherwise provided by a stamp Act</w:t>
      </w:r>
      <w:r>
        <w:rPr>
          <w:snapToGrid w:val="0"/>
        </w:rPr>
        <w:t xml:space="preserve">,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w:t>
      </w:r>
      <w:r>
        <w:rPr>
          <w:i/>
          <w:snapToGrid w:val="0"/>
        </w:rPr>
        <w:t>bona fide</w:t>
      </w:r>
      <w:r>
        <w:rPr>
          <w:snapToGrid w:val="0"/>
        </w:rPr>
        <w:t xml:space="preserve"> pecuniary consideration) to give or settle any property in any manner whatsoever is chargeable with duty as a conveyance or transfer of property.</w:t>
      </w:r>
    </w:p>
    <w:p>
      <w:pPr>
        <w:pStyle w:val="Footnotesection"/>
      </w:pPr>
      <w:r>
        <w:tab/>
        <w:t xml:space="preserve">[Section 73 amended by No. 35 of 1941 s. 2; No. 113 of 1965 s. 8(1); No. 63 of 1977 s. 2; No. 37 of 1979 s. 47; No. 112 of 1982 s. 7; No. 81 of 1984 s. 15; No. 2 of 2003 s. 49.] </w:t>
      </w:r>
    </w:p>
    <w:p>
      <w:pPr>
        <w:pStyle w:val="Heading5"/>
        <w:rPr>
          <w:snapToGrid w:val="0"/>
        </w:rPr>
      </w:pPr>
      <w:bookmarkStart w:id="443" w:name="_Toc500739929"/>
      <w:bookmarkStart w:id="444" w:name="_Toc520101120"/>
      <w:bookmarkStart w:id="445" w:name="_Toc520533019"/>
      <w:bookmarkStart w:id="446" w:name="_Toc49223905"/>
      <w:bookmarkStart w:id="447" w:name="_Toc107054890"/>
      <w:bookmarkStart w:id="448" w:name="_Toc131416086"/>
      <w:bookmarkStart w:id="449" w:name="_Toc170193269"/>
      <w:r>
        <w:rPr>
          <w:rStyle w:val="CharSectno"/>
        </w:rPr>
        <w:t>73A</w:t>
      </w:r>
      <w:r>
        <w:rPr>
          <w:snapToGrid w:val="0"/>
        </w:rPr>
        <w:t>.</w:t>
      </w:r>
      <w:r>
        <w:rPr>
          <w:snapToGrid w:val="0"/>
        </w:rPr>
        <w:tab/>
        <w:t>Conveyance subject to an option</w:t>
      </w:r>
      <w:bookmarkEnd w:id="443"/>
      <w:bookmarkEnd w:id="444"/>
      <w:bookmarkEnd w:id="445"/>
      <w:bookmarkEnd w:id="446"/>
      <w:bookmarkEnd w:id="447"/>
      <w:bookmarkEnd w:id="448"/>
      <w:bookmarkEnd w:id="449"/>
      <w:r>
        <w:rPr>
          <w:snapToGrid w:val="0"/>
        </w:rPr>
        <w:t xml:space="preserve"> </w:t>
      </w:r>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 </w:t>
      </w:r>
    </w:p>
    <w:p>
      <w:pPr>
        <w:pStyle w:val="Indenta"/>
      </w:pPr>
      <w:r>
        <w:tab/>
        <w:t>(a)</w:t>
      </w:r>
      <w:r>
        <w:tab/>
        <w:t xml:space="preserve">the amount paid by way of consideration for the granting of the option; and </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 xml:space="preserve">on the expiry, referred to in subsection (5)(a), of the time within which the option could have been exercised, </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 xml:space="preserve">[Section 73A inserted by No. 63 of 1977 s. 3; amended by No. 37 of 1979 s. 48; No. 81 of 1984 s. 16; No. 2 of 2003 s. 50.] </w:t>
      </w:r>
    </w:p>
    <w:p>
      <w:pPr>
        <w:pStyle w:val="Heading5"/>
        <w:rPr>
          <w:snapToGrid w:val="0"/>
        </w:rPr>
      </w:pPr>
      <w:bookmarkStart w:id="450" w:name="_Toc500739930"/>
      <w:bookmarkStart w:id="451" w:name="_Toc520101121"/>
      <w:bookmarkStart w:id="452" w:name="_Toc520533020"/>
      <w:bookmarkStart w:id="453" w:name="_Toc49223906"/>
      <w:bookmarkStart w:id="454" w:name="_Toc107054891"/>
      <w:bookmarkStart w:id="455" w:name="_Toc131416087"/>
      <w:bookmarkStart w:id="456" w:name="_Toc170193270"/>
      <w:r>
        <w:rPr>
          <w:rStyle w:val="CharSectno"/>
        </w:rPr>
        <w:t>73AA</w:t>
      </w:r>
      <w:r>
        <w:rPr>
          <w:snapToGrid w:val="0"/>
        </w:rPr>
        <w:t>.</w:t>
      </w:r>
      <w:r>
        <w:rPr>
          <w:snapToGrid w:val="0"/>
        </w:rPr>
        <w:tab/>
        <w:t>Duty on conveyance not passing a beneficial interest</w:t>
      </w:r>
      <w:bookmarkEnd w:id="450"/>
      <w:bookmarkEnd w:id="451"/>
      <w:bookmarkEnd w:id="452"/>
      <w:bookmarkEnd w:id="453"/>
      <w:bookmarkEnd w:id="454"/>
      <w:bookmarkEnd w:id="455"/>
      <w:bookmarkEnd w:id="456"/>
      <w:r>
        <w:rPr>
          <w:snapToGrid w:val="0"/>
        </w:rPr>
        <w:t xml:space="preserve"> </w:t>
      </w:r>
    </w:p>
    <w:p>
      <w:pPr>
        <w:pStyle w:val="Subsection"/>
        <w:spacing w:before="140"/>
        <w:rPr>
          <w:snapToGrid w:val="0"/>
        </w:rPr>
      </w:pPr>
      <w:r>
        <w:rPr>
          <w:snapToGrid w:val="0"/>
        </w:rPr>
        <w:tab/>
        <w:t>(1)</w:t>
      </w:r>
      <w:r>
        <w:rPr>
          <w:snapToGrid w:val="0"/>
        </w:rPr>
        <w:tab/>
        <w:t>A conveyance or transfer —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 xml:space="preserve">[Section 73AA inserted by No. 81 of 1984 s. 17; amended by No. 33 of 1987 s. 18; No. 20 of 1996 s. 24; No. 2 of 2003 s. 51.] </w:t>
      </w:r>
    </w:p>
    <w:p>
      <w:pPr>
        <w:pStyle w:val="Heading5"/>
      </w:pPr>
      <w:bookmarkStart w:id="457" w:name="_Toc107054892"/>
      <w:bookmarkStart w:id="458" w:name="_Toc131416088"/>
      <w:bookmarkStart w:id="459" w:name="_Toc170193271"/>
      <w:bookmarkStart w:id="460" w:name="_Toc500739931"/>
      <w:bookmarkStart w:id="461" w:name="_Toc520101122"/>
      <w:bookmarkStart w:id="462" w:name="_Toc520533021"/>
      <w:bookmarkStart w:id="463" w:name="_Toc49223907"/>
      <w:r>
        <w:rPr>
          <w:rStyle w:val="CharSectno"/>
        </w:rPr>
        <w:t>73AB</w:t>
      </w:r>
      <w:r>
        <w:t>.</w:t>
      </w:r>
      <w:r>
        <w:tab/>
        <w:t>Duty on conveyance to correct error</w:t>
      </w:r>
      <w:bookmarkEnd w:id="457"/>
      <w:bookmarkEnd w:id="458"/>
      <w:bookmarkEnd w:id="459"/>
    </w:p>
    <w:p>
      <w:pPr>
        <w:pStyle w:val="Subsection"/>
      </w:pPr>
      <w:r>
        <w:tab/>
      </w:r>
      <w:r>
        <w:tab/>
        <w:t xml:space="preserve">If the Commissioner is satisfied that — </w:t>
      </w:r>
    </w:p>
    <w:p>
      <w:pPr>
        <w:pStyle w:val="Indenta"/>
      </w:pPr>
      <w:r>
        <w:tab/>
        <w:t>(a)</w:t>
      </w:r>
      <w:r>
        <w:tab/>
        <w:t>a conveyance or transfer of property (the</w:t>
      </w:r>
      <w:r>
        <w:rPr>
          <w:b/>
        </w:rPr>
        <w:t xml:space="preserve"> “</w:t>
      </w:r>
      <w:r>
        <w:rPr>
          <w:rStyle w:val="CharDefText"/>
        </w:rPr>
        <w:t>correcting transfer</w:t>
      </w:r>
      <w:r>
        <w:rPr>
          <w:b/>
        </w:rPr>
        <w:t>”</w:t>
      </w:r>
      <w:r>
        <w:t xml:space="preserve">) is solely for the purpose of correcting the effect of an error in respect of —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464" w:name="_Toc107054893"/>
      <w:bookmarkStart w:id="465" w:name="_Toc131416089"/>
      <w:bookmarkStart w:id="466" w:name="_Toc170193272"/>
      <w:r>
        <w:rPr>
          <w:rStyle w:val="CharSectno"/>
        </w:rPr>
        <w:t>73B</w:t>
      </w:r>
      <w:r>
        <w:rPr>
          <w:snapToGrid w:val="0"/>
        </w:rPr>
        <w:t>.</w:t>
      </w:r>
      <w:r>
        <w:rPr>
          <w:snapToGrid w:val="0"/>
        </w:rPr>
        <w:tab/>
        <w:t>Conveyance agreement subject to unilateral determination</w:t>
      </w:r>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 </w:t>
      </w:r>
    </w:p>
    <w:p>
      <w:pPr>
        <w:pStyle w:val="Footnotesection"/>
      </w:pPr>
      <w:r>
        <w:tab/>
        <w:t xml:space="preserve">[Section 73B inserted by No. 37 of 1979 s. 49; amended by No. 81 of 1984 s. 18; No. 2 of 2003 s. 52.] </w:t>
      </w:r>
    </w:p>
    <w:p>
      <w:pPr>
        <w:pStyle w:val="Heading5"/>
        <w:rPr>
          <w:snapToGrid w:val="0"/>
        </w:rPr>
      </w:pPr>
      <w:bookmarkStart w:id="467" w:name="_Toc500739932"/>
      <w:bookmarkStart w:id="468" w:name="_Toc520101123"/>
      <w:bookmarkStart w:id="469" w:name="_Toc520533022"/>
      <w:bookmarkStart w:id="470" w:name="_Toc49223908"/>
      <w:bookmarkStart w:id="471" w:name="_Toc107054894"/>
      <w:bookmarkStart w:id="472" w:name="_Toc131416090"/>
      <w:bookmarkStart w:id="473" w:name="_Toc170193273"/>
      <w:r>
        <w:rPr>
          <w:rStyle w:val="CharSectno"/>
        </w:rPr>
        <w:t>73C</w:t>
      </w:r>
      <w:r>
        <w:rPr>
          <w:snapToGrid w:val="0"/>
        </w:rPr>
        <w:t>.</w:t>
      </w:r>
      <w:r>
        <w:rPr>
          <w:snapToGrid w:val="0"/>
        </w:rPr>
        <w:tab/>
        <w:t>Option to purchase with right to renew</w:t>
      </w:r>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 </w:t>
      </w:r>
    </w:p>
    <w:p>
      <w:pPr>
        <w:pStyle w:val="Footnotesection"/>
      </w:pPr>
      <w:r>
        <w:tab/>
        <w:t xml:space="preserve">[Section 73C inserted by No. 93 of 1982 s. 5; amended by No. 81 of 1984 s. 19; No. 2 of 2003 s. 53.] </w:t>
      </w:r>
    </w:p>
    <w:p>
      <w:pPr>
        <w:pStyle w:val="Heading5"/>
        <w:rPr>
          <w:snapToGrid w:val="0"/>
        </w:rPr>
      </w:pPr>
      <w:bookmarkStart w:id="474" w:name="_Toc500739933"/>
      <w:bookmarkStart w:id="475" w:name="_Toc520101124"/>
      <w:bookmarkStart w:id="476" w:name="_Toc520533023"/>
      <w:bookmarkStart w:id="477" w:name="_Toc49223909"/>
      <w:bookmarkStart w:id="478" w:name="_Toc107054895"/>
      <w:bookmarkStart w:id="479" w:name="_Toc131416091"/>
      <w:bookmarkStart w:id="480" w:name="_Toc170193274"/>
      <w:r>
        <w:rPr>
          <w:rStyle w:val="CharSectno"/>
        </w:rPr>
        <w:t>73D</w:t>
      </w:r>
      <w:r>
        <w:rPr>
          <w:snapToGrid w:val="0"/>
        </w:rPr>
        <w:t>.</w:t>
      </w:r>
      <w:r>
        <w:rPr>
          <w:snapToGrid w:val="0"/>
        </w:rPr>
        <w:tab/>
        <w:t>Disposition of units in unit trust schemes</w:t>
      </w:r>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 xml:space="preserve">This section applies to a disposition in relation to a unit in a unit trust scheme if the trust property of the scheme comprises or includes —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spacing w:before="120"/>
        <w:rPr>
          <w:snapToGrid w:val="0"/>
        </w:rPr>
      </w:pPr>
      <w:r>
        <w:rPr>
          <w:snapToGrid w:val="0"/>
        </w:rPr>
        <w:tab/>
        <w:t>(5a)</w:t>
      </w:r>
      <w:r>
        <w:rPr>
          <w:snapToGrid w:val="0"/>
        </w:rPr>
        <w:tab/>
        <w:t>Where a disposition, or a series of dispositions —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 xml:space="preserve">Subject to subsection (12) and section 73DC, this section does not apply to a disposition of a unit in a unit trust scheme during any period that the unit trust scheme is — </w:t>
      </w:r>
    </w:p>
    <w:p>
      <w:pPr>
        <w:pStyle w:val="Indenta"/>
      </w:pPr>
      <w:r>
        <w:tab/>
        <w:t>(a)</w:t>
      </w:r>
      <w:r>
        <w:tab/>
        <w:t xml:space="preserve">registered under section 63AA(2); </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 xml:space="preserve">If —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r>
        <w:rPr>
          <w:snapToGrid w:val="0"/>
        </w:rPr>
        <w:t xml:space="preserve"> </w:t>
      </w:r>
    </w:p>
    <w:p>
      <w:pPr>
        <w:pStyle w:val="Footnotesection"/>
      </w:pPr>
      <w:r>
        <w:tab/>
        <w:t>[Section 73D inserted by No. 112 of 1982 s. 8; amended by No. 81 of 1984 s. 20; No. 109 of 1984 s. 5; No. 33 of 1987 s. 19; No. 22 of 1998 s. 34; No. 36 of 2001 s. 28; No. 2 of 2003 s. 54; No. 66 of 2003 s. 31; No. 11 of 2005 s. 8.]</w:t>
      </w:r>
    </w:p>
    <w:p>
      <w:pPr>
        <w:pStyle w:val="Heading5"/>
      </w:pPr>
      <w:bookmarkStart w:id="481" w:name="_Toc107054896"/>
      <w:bookmarkStart w:id="482" w:name="_Toc131416092"/>
      <w:bookmarkStart w:id="483" w:name="_Toc170193275"/>
      <w:bookmarkStart w:id="484" w:name="_Toc500739934"/>
      <w:bookmarkStart w:id="485" w:name="_Toc520101125"/>
      <w:bookmarkStart w:id="486" w:name="_Toc520533024"/>
      <w:bookmarkStart w:id="487" w:name="_Toc49223910"/>
      <w:r>
        <w:rPr>
          <w:rStyle w:val="CharSectno"/>
        </w:rPr>
        <w:t>73DAA</w:t>
      </w:r>
      <w:r>
        <w:t>.</w:t>
      </w:r>
      <w:r>
        <w:tab/>
        <w:t>Dutiable statement required if transfer or instrument not lodged</w:t>
      </w:r>
      <w:bookmarkEnd w:id="481"/>
      <w:bookmarkEnd w:id="482"/>
      <w:bookmarkEnd w:id="483"/>
    </w:p>
    <w:p>
      <w:pPr>
        <w:pStyle w:val="Subsection"/>
      </w:pPr>
      <w:r>
        <w:tab/>
        <w:t>(1)</w:t>
      </w:r>
      <w:r>
        <w:tab/>
        <w:t xml:space="preserve">Subject to subsection (3) if, for a disposition in relation to a unit —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 xml:space="preserve">In subsection (1) — </w:t>
      </w:r>
    </w:p>
    <w:p>
      <w:pPr>
        <w:pStyle w:val="Defstart"/>
      </w:pPr>
      <w:r>
        <w:rPr>
          <w:b/>
        </w:rPr>
        <w:tab/>
        <w:t>“</w:t>
      </w:r>
      <w:r>
        <w:rPr>
          <w:rStyle w:val="CharDefText"/>
        </w:rPr>
        <w:t>liable person</w:t>
      </w:r>
      <w:r>
        <w:rPr>
          <w:b/>
        </w:rPr>
        <w:t>”</w:t>
      </w:r>
      <w:r>
        <w:t xml:space="preserve"> means —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488" w:name="_Toc107054897"/>
      <w:bookmarkStart w:id="489" w:name="_Toc131416093"/>
      <w:bookmarkStart w:id="490" w:name="_Toc170193276"/>
      <w:r>
        <w:rPr>
          <w:rStyle w:val="CharSectno"/>
        </w:rPr>
        <w:t>73DA</w:t>
      </w:r>
      <w:r>
        <w:rPr>
          <w:snapToGrid w:val="0"/>
        </w:rPr>
        <w:t>.</w:t>
      </w:r>
      <w:r>
        <w:rPr>
          <w:snapToGrid w:val="0"/>
        </w:rPr>
        <w:tab/>
      </w:r>
      <w:bookmarkEnd w:id="484"/>
      <w:bookmarkEnd w:id="485"/>
      <w:bookmarkEnd w:id="486"/>
      <w:r>
        <w:rPr>
          <w:snapToGrid w:val="0"/>
        </w:rPr>
        <w:t>Holdings of majority interest unit trustee</w:t>
      </w:r>
      <w:bookmarkEnd w:id="487"/>
      <w:bookmarkEnd w:id="488"/>
      <w:bookmarkEnd w:id="489"/>
      <w:bookmarkEnd w:id="490"/>
      <w:r>
        <w:rPr>
          <w:snapToGrid w:val="0"/>
        </w:rPr>
        <w:t xml:space="preserve"> </w:t>
      </w:r>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 xml:space="preserve">[Section 73DA inserted by No. 33 of 1987 s. 20; amended by No. 22 of 1998 s. 35; No. 60 of 2000 s. 20(2); No. 2 of 2003 s. 55; No. 11 of 2004 s. 12.] </w:t>
      </w:r>
    </w:p>
    <w:p>
      <w:pPr>
        <w:pStyle w:val="Heading5"/>
      </w:pPr>
      <w:bookmarkStart w:id="491" w:name="_Toc107054898"/>
      <w:bookmarkStart w:id="492" w:name="_Toc131416094"/>
      <w:bookmarkStart w:id="493" w:name="_Toc170193277"/>
      <w:bookmarkStart w:id="494" w:name="_Toc500739935"/>
      <w:bookmarkStart w:id="495" w:name="_Toc520101126"/>
      <w:bookmarkStart w:id="496" w:name="_Toc520533025"/>
      <w:bookmarkStart w:id="497" w:name="_Toc49223911"/>
      <w:r>
        <w:rPr>
          <w:rStyle w:val="CharSectno"/>
        </w:rPr>
        <w:t>73DB</w:t>
      </w:r>
      <w:r>
        <w:t>.</w:t>
      </w:r>
      <w:r>
        <w:tab/>
        <w:t>Interpretation for sections 73DC, 73DD and 73DE</w:t>
      </w:r>
      <w:bookmarkEnd w:id="491"/>
      <w:bookmarkEnd w:id="492"/>
      <w:bookmarkEnd w:id="493"/>
    </w:p>
    <w:p>
      <w:pPr>
        <w:pStyle w:val="Subsection"/>
        <w:keepNext/>
        <w:keepLines/>
      </w:pPr>
      <w:r>
        <w:tab/>
        <w:t>(1)</w:t>
      </w:r>
      <w:r>
        <w:tab/>
        <w:t xml:space="preserve">In sections 73DC, 73DD and 73DE —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 xml:space="preserve">For the purposes of section 73DC, 73DD and 73DE, a person and another person are related if —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498" w:name="_Toc107054899"/>
      <w:bookmarkStart w:id="499" w:name="_Toc131416095"/>
      <w:bookmarkStart w:id="500" w:name="_Toc170193278"/>
      <w:r>
        <w:rPr>
          <w:rStyle w:val="CharSectno"/>
        </w:rPr>
        <w:t>73DC</w:t>
      </w:r>
      <w:r>
        <w:t>.</w:t>
      </w:r>
      <w:r>
        <w:tab/>
        <w:t>Acquisition of majority interest or further interest in pooled investment trust</w:t>
      </w:r>
      <w:bookmarkEnd w:id="498"/>
      <w:bookmarkEnd w:id="499"/>
      <w:bookmarkEnd w:id="500"/>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xml:space="preserve">) made when the unit trust scheme was not — </w:t>
      </w:r>
    </w:p>
    <w:p>
      <w:pPr>
        <w:pStyle w:val="Indenta"/>
      </w:pPr>
      <w:r>
        <w:tab/>
        <w:t>(a)</w:t>
      </w:r>
      <w:r>
        <w:tab/>
        <w:t>registered under section 63AA(2); or</w:t>
      </w:r>
    </w:p>
    <w:p>
      <w:pPr>
        <w:pStyle w:val="Indenta"/>
      </w:pPr>
      <w:r>
        <w:tab/>
        <w:t>(b)</w:t>
      </w:r>
      <w:r>
        <w:tab/>
        <w:t xml:space="preserve">granted interim registration under section 63AC(2), </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 xml:space="preserve">Duty is chargeable under section 73D in respect of a disposition of a unit in a registered unit trust scheme that results in a person, or a person and a related person, acquiring a further interest in the scheme as if —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 xml:space="preserve">In subsection (8) —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501" w:name="_Toc107054900"/>
      <w:bookmarkStart w:id="502" w:name="_Toc131416096"/>
      <w:bookmarkStart w:id="503" w:name="_Toc170193279"/>
      <w:r>
        <w:rPr>
          <w:rStyle w:val="CharSectno"/>
        </w:rPr>
        <w:t>73DD</w:t>
      </w:r>
      <w:r>
        <w:t>.</w:t>
      </w:r>
      <w:r>
        <w:tab/>
        <w:t>Meaning of majority interest and further interest</w:t>
      </w:r>
      <w:bookmarkEnd w:id="501"/>
      <w:bookmarkEnd w:id="502"/>
      <w:bookmarkEnd w:id="503"/>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xml:space="preserve">) such that having acquired — </w:t>
      </w:r>
    </w:p>
    <w:p>
      <w:pPr>
        <w:pStyle w:val="Indenta"/>
        <w:spacing w:before="60"/>
      </w:pPr>
      <w:r>
        <w:tab/>
        <w:t>(a)</w:t>
      </w:r>
      <w:r>
        <w:tab/>
        <w:t>the relevant interest itself; or</w:t>
      </w:r>
    </w:p>
    <w:p>
      <w:pPr>
        <w:pStyle w:val="Indenta"/>
        <w:spacing w:before="60"/>
      </w:pPr>
      <w:r>
        <w:tab/>
        <w:t>(b)</w:t>
      </w:r>
      <w:r>
        <w:tab/>
        <w:t xml:space="preserve">the relevant interest when taken with each interest in the scheme that —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4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4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40"/>
      </w:pPr>
      <w:r>
        <w:tab/>
        <w:t>(4)</w:t>
      </w:r>
      <w:r>
        <w:tab/>
        <w:t xml:space="preserve">For the purposes of section 73DC, a person acquires a further interest in a registered unit trust scheme if —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 xml:space="preserve">For the purposes of this section, if —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 xml:space="preserve">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504" w:name="_Toc107054901"/>
      <w:bookmarkStart w:id="505" w:name="_Toc131416097"/>
      <w:bookmarkStart w:id="506" w:name="_Toc170193280"/>
      <w:r>
        <w:rPr>
          <w:rStyle w:val="CharSectno"/>
        </w:rPr>
        <w:t>73DE</w:t>
      </w:r>
      <w:r>
        <w:t>.</w:t>
      </w:r>
      <w:r>
        <w:tab/>
        <w:t>Dutiable statement to be lodged</w:t>
      </w:r>
      <w:bookmarkEnd w:id="504"/>
      <w:bookmarkEnd w:id="505"/>
      <w:bookmarkEnd w:id="506"/>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507" w:name="_Toc107054902"/>
      <w:bookmarkStart w:id="508" w:name="_Toc131416098"/>
      <w:bookmarkStart w:id="509" w:name="_Toc170193281"/>
      <w:r>
        <w:rPr>
          <w:rStyle w:val="CharSectno"/>
        </w:rPr>
        <w:t>73E</w:t>
      </w:r>
      <w:r>
        <w:rPr>
          <w:snapToGrid w:val="0"/>
        </w:rPr>
        <w:t>.</w:t>
      </w:r>
      <w:r>
        <w:rPr>
          <w:snapToGrid w:val="0"/>
        </w:rPr>
        <w:tab/>
        <w:t>Disposition of shares in discretionary trustee companies</w:t>
      </w:r>
      <w:bookmarkEnd w:id="494"/>
      <w:bookmarkEnd w:id="495"/>
      <w:bookmarkEnd w:id="496"/>
      <w:bookmarkEnd w:id="497"/>
      <w:bookmarkEnd w:id="507"/>
      <w:bookmarkEnd w:id="508"/>
      <w:bookmarkEnd w:id="509"/>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 xml:space="preserve">[Section 73E inserted by No. 112 of 1982 s. 8; amended by No. 39 of 1994 s. 21; No. 53 of 1999 s. 20; No. 10 of 2001 s. 168; No. 2 of 2003 s. 56; No. 21 of 2003 s. 26.] </w:t>
      </w:r>
    </w:p>
    <w:p>
      <w:pPr>
        <w:pStyle w:val="Heading5"/>
        <w:rPr>
          <w:snapToGrid w:val="0"/>
        </w:rPr>
      </w:pPr>
      <w:bookmarkStart w:id="510" w:name="_Toc500739936"/>
      <w:bookmarkStart w:id="511" w:name="_Toc520101127"/>
      <w:bookmarkStart w:id="512" w:name="_Toc520533026"/>
      <w:bookmarkStart w:id="513" w:name="_Toc49223912"/>
      <w:bookmarkStart w:id="514" w:name="_Toc107054903"/>
      <w:bookmarkStart w:id="515" w:name="_Toc131416099"/>
      <w:bookmarkStart w:id="516" w:name="_Toc170193282"/>
      <w:r>
        <w:rPr>
          <w:rStyle w:val="CharSectno"/>
        </w:rPr>
        <w:t>73F</w:t>
      </w:r>
      <w:r>
        <w:rPr>
          <w:snapToGrid w:val="0"/>
        </w:rPr>
        <w:t>.</w:t>
      </w:r>
      <w:r>
        <w:rPr>
          <w:snapToGrid w:val="0"/>
        </w:rPr>
        <w:tab/>
        <w:t>Acquisition of a licence to carry on a business activity</w:t>
      </w:r>
      <w:bookmarkEnd w:id="510"/>
      <w:bookmarkEnd w:id="511"/>
      <w:bookmarkEnd w:id="512"/>
      <w:bookmarkEnd w:id="513"/>
      <w:bookmarkEnd w:id="514"/>
      <w:bookmarkEnd w:id="515"/>
      <w:bookmarkEnd w:id="516"/>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business licence</w:t>
      </w:r>
      <w:r>
        <w:rPr>
          <w:b/>
        </w:rPr>
        <w:t>”</w:t>
      </w:r>
      <w:r>
        <w:t xml:space="preserve"> means —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spacing w:before="120"/>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 xml:space="preserve">[Section 73F inserted by No. 41 of 1995 s. 6; amended by No. 2 of 2003 s. 57.] </w:t>
      </w:r>
    </w:p>
    <w:p>
      <w:pPr>
        <w:pStyle w:val="Heading5"/>
      </w:pPr>
      <w:bookmarkStart w:id="517" w:name="_Toc107054904"/>
      <w:bookmarkStart w:id="518" w:name="_Toc131416100"/>
      <w:bookmarkStart w:id="519" w:name="_Toc170193283"/>
      <w:bookmarkStart w:id="520" w:name="_Toc500739937"/>
      <w:bookmarkStart w:id="521" w:name="_Toc520101128"/>
      <w:bookmarkStart w:id="522" w:name="_Toc520533027"/>
      <w:bookmarkStart w:id="523" w:name="_Toc49223913"/>
      <w:r>
        <w:rPr>
          <w:rStyle w:val="CharSectno"/>
        </w:rPr>
        <w:t>73G</w:t>
      </w:r>
      <w:r>
        <w:t>.</w:t>
      </w:r>
      <w:r>
        <w:tab/>
        <w:t>Farm</w:t>
      </w:r>
      <w:r>
        <w:noBreakHyphen/>
        <w:t>in agreements relating to mining tenements</w:t>
      </w:r>
      <w:bookmarkEnd w:id="517"/>
      <w:bookmarkEnd w:id="518"/>
      <w:bookmarkEnd w:id="519"/>
    </w:p>
    <w:p>
      <w:pPr>
        <w:pStyle w:val="Subsection"/>
      </w:pPr>
      <w:r>
        <w:tab/>
        <w:t>(1)</w:t>
      </w:r>
      <w:r>
        <w:tab/>
        <w:t xml:space="preserve">In this section —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3</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 xml:space="preserve">in agreement is — </w:t>
      </w:r>
    </w:p>
    <w:p>
      <w:pPr>
        <w:pStyle w:val="Indenta"/>
        <w:spacing w:before="70"/>
      </w:pPr>
      <w:r>
        <w:tab/>
        <w:t>(a)</w:t>
      </w:r>
      <w:r>
        <w:tab/>
        <w:t xml:space="preserve">to the extent that —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 xml:space="preserve">to the extent that —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 xml:space="preserve">If the Commissioner is satisfied that —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 xml:space="preserve">then — </w:t>
      </w:r>
    </w:p>
    <w:p>
      <w:pPr>
        <w:pStyle w:val="Indenta"/>
      </w:pPr>
      <w:r>
        <w:tab/>
        <w:t>(d)</w:t>
      </w:r>
      <w:r>
        <w:tab/>
        <w:t xml:space="preserve">to the extent that —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 xml:space="preserve">to the extent that —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524" w:name="_Toc107054905"/>
      <w:bookmarkStart w:id="525" w:name="_Toc131416101"/>
      <w:bookmarkStart w:id="526" w:name="_Toc170193284"/>
      <w:r>
        <w:rPr>
          <w:rStyle w:val="CharSectno"/>
        </w:rPr>
        <w:t>74</w:t>
      </w:r>
      <w:r>
        <w:rPr>
          <w:snapToGrid w:val="0"/>
        </w:rPr>
        <w:t>.</w:t>
      </w:r>
      <w:r>
        <w:rPr>
          <w:snapToGrid w:val="0"/>
        </w:rPr>
        <w:tab/>
        <w:t>Certain contracts to be chargeable as conveyances on sale</w:t>
      </w:r>
      <w:bookmarkEnd w:id="520"/>
      <w:bookmarkEnd w:id="521"/>
      <w:bookmarkEnd w:id="522"/>
      <w:bookmarkEnd w:id="523"/>
      <w:bookmarkEnd w:id="524"/>
      <w:bookmarkEnd w:id="525"/>
      <w:bookmarkEnd w:id="526"/>
      <w:r>
        <w:rPr>
          <w:snapToGrid w:val="0"/>
        </w:rPr>
        <w:t xml:space="preserve"> </w:t>
      </w:r>
    </w:p>
    <w:p>
      <w:pPr>
        <w:pStyle w:val="Subsection"/>
      </w:pPr>
      <w:r>
        <w:tab/>
        <w:t>(1aa)</w:t>
      </w:r>
      <w:r>
        <w:tab/>
        <w:t xml:space="preserve">In this section —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 xml:space="preserve">Notwithstanding subsection (2), if — </w:t>
      </w:r>
    </w:p>
    <w:p>
      <w:pPr>
        <w:pStyle w:val="Indenta"/>
      </w:pPr>
      <w:r>
        <w:tab/>
        <w:t>(a)</w:t>
      </w:r>
      <w:r>
        <w:tab/>
        <w:t xml:space="preserve">the person named as purchaser in a contract or agreement referred to in subsection (1) entered into the contract or agreement with the intention that the property concerned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 xml:space="preserve">Notwithstanding subsection (2), if —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 xml:space="preserve">the Commissioner is satisfied that before the establishment of the scheme —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 xml:space="preserve">Notwithstanding subsection (2), if —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 xml:space="preserve">a conveyance or transfer of the property concerned by the vendor under the contract or agreement —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 xml:space="preserve">For the purposes of subsection (3c), the following persons are related to a purchaser who is an individual —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 xml:space="preserve">a corporation if —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 xml:space="preserve">a unit trustee in the unit trustee’s capacity as trustee of a unit trust if —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 xml:space="preserve">For the purposes of subsection (3c), a person is related to a purchaser that is a corporation if —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 xml:space="preserve">For the purposes of subsection (3c), a person is related to a purchaser that is a unit trustee if —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xml:space="preserve">) —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 xml:space="preserve">For the purposes of subsections (3d), (3e) and (3f)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 xml:space="preserve">[Section 74 inserted by No. 37 of 1979 s. 50; amended by No. 81 of 1984 s. 21; No. 2 of 2003 s. 58; No. 66 of 2003 s. 35.] </w:t>
      </w:r>
    </w:p>
    <w:p>
      <w:pPr>
        <w:pStyle w:val="Heading5"/>
        <w:rPr>
          <w:snapToGrid w:val="0"/>
        </w:rPr>
      </w:pPr>
      <w:bookmarkStart w:id="527" w:name="_Toc500739938"/>
      <w:bookmarkStart w:id="528" w:name="_Toc520101129"/>
      <w:bookmarkStart w:id="529" w:name="_Toc520533028"/>
      <w:bookmarkStart w:id="530" w:name="_Toc49223914"/>
      <w:bookmarkStart w:id="531" w:name="_Toc107054906"/>
      <w:bookmarkStart w:id="532" w:name="_Toc131416102"/>
      <w:bookmarkStart w:id="533" w:name="_Toc170193285"/>
      <w:r>
        <w:rPr>
          <w:rStyle w:val="CharSectno"/>
        </w:rPr>
        <w:t>74A</w:t>
      </w:r>
      <w:r>
        <w:rPr>
          <w:snapToGrid w:val="0"/>
        </w:rPr>
        <w:t>.</w:t>
      </w:r>
      <w:r>
        <w:rPr>
          <w:snapToGrid w:val="0"/>
        </w:rPr>
        <w:tab/>
        <w:t>Duty chargeable on certain conveyances of corporation property</w:t>
      </w:r>
      <w:bookmarkEnd w:id="527"/>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A conveyance or transfer of any property —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 xml:space="preserve">a related corporation of the corporation or the shareholder; </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Equation"/>
        <w:jc w:val="center"/>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19" o:title=""/>
          </v:shape>
          <o:OLEObject Type="Embed" ProgID="Equation.3" ShapeID="_x0000_i1025" DrawAspect="Content" ObjectID="_1643744728" r:id="rId20"/>
        </w:obje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 xml:space="preserve">[Section 74A inserted by No. 13 of 1997 s. 37; amended by No. 10 of 2001 s. 169; No. 2 of 2003 s. 59; No. 66 of 2003 s. 36.] </w:t>
      </w:r>
    </w:p>
    <w:p>
      <w:pPr>
        <w:pStyle w:val="Heading5"/>
      </w:pPr>
      <w:bookmarkStart w:id="534" w:name="_Toc107054907"/>
      <w:bookmarkStart w:id="535" w:name="_Toc131416103"/>
      <w:bookmarkStart w:id="536" w:name="_Toc170193286"/>
      <w:bookmarkStart w:id="537" w:name="_Toc500739939"/>
      <w:bookmarkStart w:id="538" w:name="_Toc520101130"/>
      <w:bookmarkStart w:id="539" w:name="_Toc520533029"/>
      <w:bookmarkStart w:id="540" w:name="_Toc49223915"/>
      <w:r>
        <w:rPr>
          <w:rStyle w:val="CharSectno"/>
        </w:rPr>
        <w:t>74B</w:t>
      </w:r>
      <w:r>
        <w:t>.</w:t>
      </w:r>
      <w:r>
        <w:tab/>
        <w:t>Transactions involving a call option and a put option</w:t>
      </w:r>
      <w:bookmarkEnd w:id="534"/>
      <w:bookmarkEnd w:id="535"/>
      <w:bookmarkEnd w:id="536"/>
    </w:p>
    <w:p>
      <w:pPr>
        <w:pStyle w:val="Subsection"/>
      </w:pPr>
      <w:r>
        <w:tab/>
        <w:t>(1)</w:t>
      </w:r>
      <w:r>
        <w:tab/>
        <w:t xml:space="preserve">In this section —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 xml:space="preserve">Subject to subsection (4), this subsection applies if, at the same time —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 xml:space="preserve">B has a right to require A, or a person referred to in paragraph (a), to purchase —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 xml:space="preserve">From the time when subsection (2) applies the call option is to be regarded as —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 xml:space="preserve">The consideration for the contract or acquisition mentioned in subsection (6) is taken to be — </w:t>
      </w:r>
    </w:p>
    <w:p>
      <w:pPr>
        <w:pStyle w:val="Indenta"/>
      </w:pPr>
      <w:r>
        <w:tab/>
        <w:t>(a)</w:t>
      </w:r>
      <w:r>
        <w:tab/>
        <w:t xml:space="preserve">the sum of —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 xml:space="preserve">If as a result of the call option or the put option being exercised —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 xml:space="preserve">This subsection applies if —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 xml:space="preserve">From the time when subsection (9) applies the assignment of the call option is to be regarded as —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 xml:space="preserve">The consideration for the contract or acquisition mentioned in subsection (11) is taken to be — </w:t>
      </w:r>
    </w:p>
    <w:p>
      <w:pPr>
        <w:pStyle w:val="Indenta"/>
      </w:pPr>
      <w:r>
        <w:tab/>
        <w:t>(a)</w:t>
      </w:r>
      <w:r>
        <w:tab/>
        <w:t xml:space="preserve">the sum of —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 xml:space="preserve">If as a result of the right referred to in subsection (9)(a) or the right referred to in subsection (9)(b) being exercised —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541" w:name="_Toc107054908"/>
      <w:bookmarkStart w:id="542" w:name="_Toc131416104"/>
      <w:bookmarkStart w:id="543" w:name="_Toc170193287"/>
      <w:r>
        <w:rPr>
          <w:rStyle w:val="CharSectno"/>
        </w:rPr>
        <w:t>74C</w:t>
      </w:r>
      <w:r>
        <w:t>.</w:t>
      </w:r>
      <w:r>
        <w:tab/>
        <w:t>Acquisition of certain business assets</w:t>
      </w:r>
      <w:bookmarkEnd w:id="541"/>
      <w:bookmarkEnd w:id="542"/>
      <w:bookmarkEnd w:id="543"/>
    </w:p>
    <w:p>
      <w:pPr>
        <w:pStyle w:val="Subsection"/>
      </w:pPr>
      <w:r>
        <w:tab/>
        <w:t>(1)</w:t>
      </w:r>
      <w:r>
        <w:tab/>
        <w:t xml:space="preserve">In this section — </w:t>
      </w:r>
    </w:p>
    <w:p>
      <w:pPr>
        <w:pStyle w:val="Defstart"/>
      </w:pPr>
      <w:r>
        <w:tab/>
      </w:r>
      <w:r>
        <w:rPr>
          <w:b/>
        </w:rPr>
        <w:t>“</w:t>
      </w:r>
      <w:r>
        <w:rPr>
          <w:rStyle w:val="CharDefText"/>
        </w:rPr>
        <w:t>business asset</w:t>
      </w:r>
      <w:r>
        <w:rPr>
          <w:b/>
        </w:rPr>
        <w:t>”</w:t>
      </w:r>
      <w:r>
        <w:t xml:space="preserve"> means —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 xml:space="preserve">a business licence as defined in paragraph (b) of the definition of that term in section 73F(1) if it authorises the carrying out of an activity in Western Australia and elsewhere; </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xml:space="preserve">) — </w:t>
      </w:r>
    </w:p>
    <w:p>
      <w:pPr>
        <w:pStyle w:val="Defpara"/>
      </w:pPr>
      <w:r>
        <w:tab/>
        <w:t>(a)</w:t>
      </w:r>
      <w:r>
        <w:tab/>
        <w:t xml:space="preserve">to engage in the business of producing, supplying or providing commodities or services, or both, at a place other than the place of business of the franchisor as long as the franchisee does so under —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 xml:space="preserve">anything else that has the following characteristics —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 xml:space="preserve">a right to use or exploit —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 xml:space="preserve">This section applies if a business asset of a business is acquired by a person and, at any time in the year preceding the acquisition, the business has —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 xml:space="preserve">If a person —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 xml:space="preserve">If this section applies — </w:t>
      </w:r>
    </w:p>
    <w:p>
      <w:pPr>
        <w:pStyle w:val="Indenta"/>
      </w:pPr>
      <w:r>
        <w:tab/>
        <w:t>(a)</w:t>
      </w:r>
      <w:r>
        <w:tab/>
        <w:t>the business asset is to be regarded for the purposes of this Act as property; and</w:t>
      </w:r>
    </w:p>
    <w:p>
      <w:pPr>
        <w:pStyle w:val="Indenta"/>
      </w:pPr>
      <w:r>
        <w:tab/>
        <w:t>(b)</w:t>
      </w:r>
      <w:r>
        <w:tab/>
        <w:t xml:space="preserve">the acquisition of the business asset is to be regarded for the purposes of this Act as a transaction that transfers property and is chargeable with duty, </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 xml:space="preserve">If the principal place of business or head office of the business is in Western Australia, duty is to be assessed on the amount determined using the following formula — </w:t>
      </w:r>
    </w:p>
    <w:p>
      <w:pPr>
        <w:pStyle w:val="Equation"/>
        <w:tabs>
          <w:tab w:val="left" w:pos="923"/>
        </w:tabs>
        <w:spacing w:before="60" w:after="60"/>
      </w:pPr>
      <w:r>
        <w:tab/>
      </w:r>
      <w:r>
        <w:rPr>
          <w:position w:val="-22"/>
        </w:rPr>
        <w:object w:dxaOrig="1960" w:dyaOrig="580">
          <v:shape id="_x0000_i1026" type="#_x0000_t75" style="width:98.25pt;height:29.25pt" o:ole="" fillcolor="window">
            <v:imagedata r:id="rId21" o:title=""/>
          </v:shape>
          <o:OLEObject Type="Embed" ProgID="Equation.3" ShapeID="_x0000_i1026" DrawAspect="Content" ObjectID="_1643744729" r:id="rId22"/>
        </w:object>
      </w:r>
    </w:p>
    <w:p>
      <w:pPr>
        <w:pStyle w:val="Subsection"/>
      </w:pPr>
      <w:r>
        <w:tab/>
      </w:r>
      <w:r>
        <w:tab/>
        <w:t xml:space="preserve">where —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pPr>
      <w:r>
        <w:tab/>
        <w:t>(9)</w:t>
      </w:r>
      <w:r>
        <w:tab/>
        <w:t xml:space="preserve">If neither the principal place of business nor the head office of the business is in Western Australia, duty is to be assessed on the amount determined using the following formula — </w:t>
      </w:r>
    </w:p>
    <w:p>
      <w:pPr>
        <w:pStyle w:val="Equation"/>
        <w:tabs>
          <w:tab w:val="left" w:pos="909"/>
        </w:tabs>
        <w:spacing w:before="60" w:after="60"/>
      </w:pPr>
      <w:r>
        <w:tab/>
      </w:r>
      <w:r>
        <w:rPr>
          <w:position w:val="-22"/>
        </w:rPr>
        <w:object w:dxaOrig="1640" w:dyaOrig="580">
          <v:shape id="_x0000_i1027" type="#_x0000_t75" style="width:81.75pt;height:29.25pt" o:ole="">
            <v:imagedata r:id="rId23" o:title=""/>
          </v:shape>
          <o:OLEObject Type="Embed" ProgID="Equation.3" ShapeID="_x0000_i1027" DrawAspect="Content" ObjectID="_1643744730" r:id="rId24"/>
        </w:object>
      </w:r>
    </w:p>
    <w:p>
      <w:pPr>
        <w:pStyle w:val="Subsection"/>
      </w:pPr>
      <w:r>
        <w:tab/>
      </w:r>
      <w:r>
        <w:tab/>
        <w:t xml:space="preserve">where — </w:t>
      </w:r>
    </w:p>
    <w:p>
      <w:pPr>
        <w:pStyle w:val="Indenta"/>
        <w:spacing w:before="60"/>
      </w:pPr>
      <w:r>
        <w:tab/>
        <w:t>A</w:t>
      </w:r>
      <w:r>
        <w:tab/>
        <w:t xml:space="preserve">is </w:t>
      </w:r>
      <w:r>
        <w:rPr>
          <w:snapToGrid w:val="0"/>
        </w:rPr>
        <w:t>the</w:t>
      </w:r>
      <w:r>
        <w:t xml:space="preserve"> dutiable amount; </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544" w:name="_Toc107054909"/>
      <w:bookmarkStart w:id="545" w:name="_Toc131416105"/>
      <w:bookmarkStart w:id="546" w:name="_Toc170193288"/>
      <w:r>
        <w:rPr>
          <w:rStyle w:val="CharSectno"/>
        </w:rPr>
        <w:t>75</w:t>
      </w:r>
      <w:r>
        <w:rPr>
          <w:snapToGrid w:val="0"/>
        </w:rPr>
        <w:t>.</w:t>
      </w:r>
      <w:r>
        <w:rPr>
          <w:snapToGrid w:val="0"/>
        </w:rPr>
        <w:tab/>
        <w:t>Duty chargeable on conveyance for less than full consideration</w:t>
      </w:r>
      <w:bookmarkEnd w:id="537"/>
      <w:bookmarkEnd w:id="538"/>
      <w:bookmarkEnd w:id="539"/>
      <w:bookmarkEnd w:id="540"/>
      <w:bookmarkEnd w:id="544"/>
      <w:bookmarkEnd w:id="545"/>
      <w:bookmarkEnd w:id="546"/>
      <w:r>
        <w:rPr>
          <w:snapToGrid w:val="0"/>
        </w:rPr>
        <w:t xml:space="preserve"> </w:t>
      </w:r>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 xml:space="preserve">[Section 75 inserted by No. 81 of 1984 s. 22; amended by No. 33 of 1987 s. 21; No. 100 of 1987 s. 4; No. 39 of 1994 s. 14 and 21; No. 20 of 1996 s. 25; No. 13 of 1997 s. 42; No. 2 of 2003 s. 60; No. 66 of 2003 s. 38.] </w:t>
      </w:r>
    </w:p>
    <w:p>
      <w:pPr>
        <w:pStyle w:val="Heading5"/>
      </w:pPr>
      <w:bookmarkStart w:id="547" w:name="_Toc49223916"/>
      <w:bookmarkStart w:id="548" w:name="_Toc107054910"/>
      <w:bookmarkStart w:id="549" w:name="_Toc131416106"/>
      <w:bookmarkStart w:id="550" w:name="_Toc170193289"/>
      <w:bookmarkStart w:id="551" w:name="_Toc500739941"/>
      <w:bookmarkStart w:id="552" w:name="_Toc520101132"/>
      <w:bookmarkStart w:id="553" w:name="_Toc520533031"/>
      <w:r>
        <w:rPr>
          <w:rStyle w:val="CharSectno"/>
        </w:rPr>
        <w:t>75A</w:t>
      </w:r>
      <w:r>
        <w:t>.</w:t>
      </w:r>
      <w:r>
        <w:tab/>
        <w:t>Power to exempt instruments made for charitable or similar purposes</w:t>
      </w:r>
      <w:bookmarkEnd w:id="547"/>
      <w:bookmarkEnd w:id="548"/>
      <w:bookmarkEnd w:id="549"/>
      <w:bookmarkEnd w:id="550"/>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 xml:space="preserve">[Section 75A inserted by No. 2 of 2003 s. 61.] </w:t>
      </w:r>
    </w:p>
    <w:p>
      <w:pPr>
        <w:pStyle w:val="Ednotesection"/>
        <w:ind w:left="890" w:hanging="890"/>
      </w:pPr>
      <w:bookmarkStart w:id="554" w:name="_Toc500739942"/>
      <w:bookmarkStart w:id="555" w:name="_Toc520101133"/>
      <w:bookmarkStart w:id="556" w:name="_Toc520533032"/>
      <w:bookmarkEnd w:id="551"/>
      <w:bookmarkEnd w:id="552"/>
      <w:bookmarkEnd w:id="553"/>
      <w:r>
        <w:t>[</w:t>
      </w:r>
      <w:r>
        <w:rPr>
          <w:b/>
        </w:rPr>
        <w:t>75AA.</w:t>
      </w:r>
      <w:r>
        <w:tab/>
        <w:t xml:space="preserve">Repealed by No. 2 of 2003 s. 61.] </w:t>
      </w:r>
    </w:p>
    <w:p>
      <w:pPr>
        <w:pStyle w:val="Heading5"/>
        <w:rPr>
          <w:snapToGrid w:val="0"/>
        </w:rPr>
      </w:pPr>
      <w:bookmarkStart w:id="557" w:name="_Toc49223917"/>
      <w:bookmarkStart w:id="558" w:name="_Toc107054911"/>
      <w:bookmarkStart w:id="559" w:name="_Toc131416107"/>
      <w:bookmarkStart w:id="560" w:name="_Toc170193290"/>
      <w:r>
        <w:rPr>
          <w:rStyle w:val="CharSectno"/>
        </w:rPr>
        <w:t>75AB</w:t>
      </w:r>
      <w:r>
        <w:rPr>
          <w:snapToGrid w:val="0"/>
        </w:rPr>
        <w:t>.</w:t>
      </w:r>
      <w:r>
        <w:rPr>
          <w:snapToGrid w:val="0"/>
        </w:rPr>
        <w:tab/>
        <w:t>Power to exempt instruments made in respect of certain funds or schemes</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 xml:space="preserve">[Section 75AB inserted by No. 37 of 1979 s. 51; amended by No. 81 of 1984 s. 25; No. 2 of 2003 s. 62; No. 28 of 2003 s. 189.] </w:t>
      </w:r>
    </w:p>
    <w:p>
      <w:pPr>
        <w:pStyle w:val="Heading5"/>
      </w:pPr>
      <w:bookmarkStart w:id="561" w:name="_Toc500739943"/>
      <w:bookmarkStart w:id="562" w:name="_Toc520101134"/>
      <w:bookmarkStart w:id="563" w:name="_Toc520533033"/>
      <w:bookmarkStart w:id="564" w:name="_Toc49223918"/>
      <w:bookmarkStart w:id="565" w:name="_Toc107054912"/>
      <w:bookmarkStart w:id="566" w:name="_Toc131416108"/>
      <w:bookmarkStart w:id="567" w:name="_Toc170193291"/>
      <w:r>
        <w:rPr>
          <w:rStyle w:val="CharSectno"/>
        </w:rPr>
        <w:t>75ABA</w:t>
      </w:r>
      <w:r>
        <w:t>.</w:t>
      </w:r>
      <w:r>
        <w:tab/>
        <w:t xml:space="preserve">Power to exempt transfers by bankruptcy trustee to </w:t>
      </w:r>
      <w:bookmarkEnd w:id="561"/>
      <w:bookmarkEnd w:id="562"/>
      <w:bookmarkEnd w:id="563"/>
      <w:bookmarkEnd w:id="564"/>
      <w:r>
        <w:t>bankrupt</w:t>
      </w:r>
      <w:bookmarkEnd w:id="565"/>
      <w:bookmarkEnd w:id="566"/>
      <w:bookmarkEnd w:id="567"/>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 xml:space="preserve">the Official Trustee in Bankruptcy; or </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568" w:name="_Toc500739944"/>
      <w:bookmarkStart w:id="569" w:name="_Toc520101135"/>
      <w:bookmarkStart w:id="570" w:name="_Toc520533034"/>
      <w:bookmarkStart w:id="571" w:name="_Toc49223919"/>
      <w:bookmarkStart w:id="572" w:name="_Toc107054913"/>
      <w:bookmarkStart w:id="573" w:name="_Toc131416109"/>
      <w:bookmarkStart w:id="574" w:name="_Toc170193292"/>
      <w:r>
        <w:rPr>
          <w:rStyle w:val="CharSectno"/>
        </w:rPr>
        <w:t>75AC</w:t>
      </w:r>
      <w:r>
        <w:rPr>
          <w:snapToGrid w:val="0"/>
        </w:rPr>
        <w:t>.</w:t>
      </w:r>
      <w:r>
        <w:rPr>
          <w:snapToGrid w:val="0"/>
        </w:rPr>
        <w:tab/>
        <w:t>Exchange of property</w:t>
      </w:r>
      <w:bookmarkEnd w:id="568"/>
      <w:bookmarkEnd w:id="569"/>
      <w:bookmarkEnd w:id="570"/>
      <w:bookmarkEnd w:id="571"/>
      <w:bookmarkEnd w:id="572"/>
      <w:bookmarkEnd w:id="573"/>
      <w:bookmarkEnd w:id="574"/>
      <w:r>
        <w:rPr>
          <w:snapToGrid w:val="0"/>
        </w:rPr>
        <w:t xml:space="preserve"> </w:t>
      </w:r>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 xml:space="preserve">[Section 75AC inserted by No. 20 of 1996 s. 27.] </w:t>
      </w:r>
    </w:p>
    <w:p>
      <w:pPr>
        <w:pStyle w:val="Heading5"/>
        <w:spacing w:before="200"/>
        <w:rPr>
          <w:snapToGrid w:val="0"/>
        </w:rPr>
      </w:pPr>
      <w:bookmarkStart w:id="575" w:name="_Toc500739945"/>
      <w:bookmarkStart w:id="576" w:name="_Toc520101136"/>
      <w:bookmarkStart w:id="577" w:name="_Toc520533035"/>
      <w:bookmarkStart w:id="578" w:name="_Toc49223920"/>
      <w:bookmarkStart w:id="579" w:name="_Toc107054914"/>
      <w:bookmarkStart w:id="580" w:name="_Toc131416110"/>
      <w:bookmarkStart w:id="581" w:name="_Toc170193293"/>
      <w:r>
        <w:rPr>
          <w:rStyle w:val="CharSectno"/>
        </w:rPr>
        <w:t>75AD</w:t>
      </w:r>
      <w:r>
        <w:rPr>
          <w:snapToGrid w:val="0"/>
        </w:rPr>
        <w:t>.</w:t>
      </w:r>
      <w:r>
        <w:rPr>
          <w:snapToGrid w:val="0"/>
        </w:rPr>
        <w:tab/>
        <w:t>Duty chargeable on partition of property</w:t>
      </w:r>
      <w:bookmarkEnd w:id="575"/>
      <w:bookmarkEnd w:id="576"/>
      <w:bookmarkEnd w:id="577"/>
      <w:bookmarkEnd w:id="578"/>
      <w:bookmarkEnd w:id="579"/>
      <w:bookmarkEnd w:id="580"/>
      <w:bookmarkEnd w:id="581"/>
      <w:r>
        <w:rPr>
          <w:snapToGrid w:val="0"/>
        </w:rPr>
        <w:t xml:space="preserve"> </w:t>
      </w:r>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 xml:space="preserve">[Section 75AD inserted by No. 37 of 1979 s. 51; amended by No. 39 of 1994 s. 14; No. 66 of 2003 s. 39.] </w:t>
      </w:r>
    </w:p>
    <w:p>
      <w:pPr>
        <w:pStyle w:val="Heading5"/>
        <w:spacing w:before="180"/>
      </w:pPr>
      <w:bookmarkStart w:id="582" w:name="_Toc49223921"/>
      <w:bookmarkStart w:id="583" w:name="_Toc107054915"/>
      <w:bookmarkStart w:id="584" w:name="_Toc131416111"/>
      <w:bookmarkStart w:id="585" w:name="_Toc170193294"/>
      <w:bookmarkStart w:id="586" w:name="_Toc500739947"/>
      <w:bookmarkStart w:id="587" w:name="_Toc520101138"/>
      <w:bookmarkStart w:id="588" w:name="_Toc520533037"/>
      <w:r>
        <w:rPr>
          <w:rStyle w:val="CharSectno"/>
        </w:rPr>
        <w:t>75AE</w:t>
      </w:r>
      <w:r>
        <w:t>.</w:t>
      </w:r>
      <w:r>
        <w:tab/>
        <w:t>Concessional rates for certain residential or business property</w:t>
      </w:r>
      <w:bookmarkEnd w:id="582"/>
      <w:bookmarkEnd w:id="583"/>
      <w:bookmarkEnd w:id="584"/>
      <w:bookmarkEnd w:id="585"/>
    </w:p>
    <w:p>
      <w:pPr>
        <w:pStyle w:val="Subsection"/>
        <w:spacing w:before="140"/>
      </w:pPr>
      <w:r>
        <w:tab/>
        <w:t>(1)</w:t>
      </w:r>
      <w:r>
        <w:tab/>
        <w:t xml:space="preserve">A conveyance or transfer of residential property or business property is chargeable with duty under item 4(5) of the Second Schedule if —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 xml:space="preserve">the property is conveyed or transferred to — </w:t>
      </w:r>
    </w:p>
    <w:p>
      <w:pPr>
        <w:pStyle w:val="Indenti"/>
        <w:spacing w:before="60"/>
      </w:pPr>
      <w:r>
        <w:tab/>
        <w:t>(i)</w:t>
      </w:r>
      <w:r>
        <w:tab/>
        <w:t xml:space="preserve">one person who is an eligible purchaser; </w:t>
      </w:r>
    </w:p>
    <w:p>
      <w:pPr>
        <w:pStyle w:val="Indenti"/>
        <w:spacing w:before="60"/>
      </w:pPr>
      <w:r>
        <w:tab/>
        <w:t>(ii)</w:t>
      </w:r>
      <w:r>
        <w:tab/>
        <w:t xml:space="preserve">in the case of business property — 2 or more purchasers all of whom are eligible purchasers; or </w:t>
      </w:r>
    </w:p>
    <w:p>
      <w:pPr>
        <w:pStyle w:val="Indenti"/>
      </w:pPr>
      <w:r>
        <w:tab/>
        <w:t>(iii)</w:t>
      </w:r>
      <w:r>
        <w:tab/>
        <w:t xml:space="preserve">in the case of residential property — 2 or more purchasers —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 xml:space="preserve">In this section —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xml:space="preserve">, in relation to a business property, means a person who —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xml:space="preserve">, in relation to a residential property, means — </w:t>
      </w:r>
    </w:p>
    <w:p>
      <w:pPr>
        <w:pStyle w:val="Defpara"/>
      </w:pPr>
      <w:r>
        <w:tab/>
        <w:t>(a)</w:t>
      </w:r>
      <w:r>
        <w:tab/>
        <w:t xml:space="preserve">an individual who —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 xml:space="preserve">In paragraph (b) of the definition of “eligible purchaser”, as defined in relation to residential property —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 xml:space="preserve">[Section 75AE inserted by No. 2 of 2003 s. 64; amended by No. 12 of 2004 s. 26; No. 11 of 2005 s. 9.] </w:t>
      </w:r>
    </w:p>
    <w:p>
      <w:pPr>
        <w:pStyle w:val="Heading5"/>
        <w:rPr>
          <w:snapToGrid w:val="0"/>
        </w:rPr>
      </w:pPr>
      <w:bookmarkStart w:id="589" w:name="_Toc49223922"/>
      <w:bookmarkStart w:id="590" w:name="_Toc107054916"/>
      <w:bookmarkStart w:id="591" w:name="_Toc131416112"/>
      <w:bookmarkStart w:id="592" w:name="_Toc170193295"/>
      <w:r>
        <w:rPr>
          <w:rStyle w:val="CharSectno"/>
        </w:rPr>
        <w:t>75AF</w:t>
      </w:r>
      <w:r>
        <w:rPr>
          <w:snapToGrid w:val="0"/>
        </w:rPr>
        <w:t>.</w:t>
      </w:r>
      <w:r>
        <w:rPr>
          <w:snapToGrid w:val="0"/>
        </w:rPr>
        <w:tab/>
        <w:t>Computation of duty for 2 or more instruments</w:t>
      </w:r>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 xml:space="preserve">[Section 75AF inserted by No. 81 of 1984 s. 26; amended by No. 41 of 1989 s. 12; No. 2 of 2003 s. 65.] </w:t>
      </w:r>
    </w:p>
    <w:p>
      <w:pPr>
        <w:pStyle w:val="Heading5"/>
      </w:pPr>
      <w:bookmarkStart w:id="593" w:name="_Toc107054917"/>
      <w:bookmarkStart w:id="594" w:name="_Toc131416113"/>
      <w:bookmarkStart w:id="595" w:name="_Toc170193296"/>
      <w:r>
        <w:rPr>
          <w:rStyle w:val="CharSectno"/>
        </w:rPr>
        <w:t>75AG</w:t>
      </w:r>
      <w:r>
        <w:t>.</w:t>
      </w:r>
      <w:r>
        <w:tab/>
        <w:t>Reduction of duty or refund for first home owner</w:t>
      </w:r>
      <w:bookmarkEnd w:id="593"/>
      <w:bookmarkEnd w:id="594"/>
      <w:bookmarkEnd w:id="595"/>
    </w:p>
    <w:p>
      <w:pPr>
        <w:pStyle w:val="Subsection"/>
      </w:pPr>
      <w:r>
        <w:tab/>
        <w:t>(1)</w:t>
      </w:r>
      <w:r>
        <w:tab/>
        <w:t xml:space="preserve">Duty on an instrument of transfer of property referred to in the Second Schedule item 4(2) or (3) becomes chargeable at the rate set out in the respective subitem when the transferee, or each transferee, if there are more than one —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 xml:space="preserve">Subsection (1) does not apply to an instrument of transfer of property referred to in the Second Schedule item 4(2) or (3) if — </w:t>
      </w:r>
    </w:p>
    <w:p>
      <w:pPr>
        <w:pStyle w:val="Indenta"/>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 xml:space="preserve">The application may only be made within the period — </w:t>
      </w:r>
    </w:p>
    <w:p>
      <w:pPr>
        <w:pStyle w:val="Indenta"/>
      </w:pPr>
      <w:r>
        <w:tab/>
        <w:t>(a)</w:t>
      </w:r>
      <w:r>
        <w:tab/>
        <w:t>beginning on the commencement date of the eligible transaction to which the application relates; and</w:t>
      </w:r>
    </w:p>
    <w:p>
      <w:pPr>
        <w:pStyle w:val="Indenta"/>
      </w:pPr>
      <w:r>
        <w:tab/>
        <w:t>(b)</w:t>
      </w:r>
      <w:r>
        <w:tab/>
        <w:t xml:space="preserve">ending 12 months after the completion of the eligible transaction. </w:t>
      </w:r>
    </w:p>
    <w:p>
      <w:pPr>
        <w:pStyle w:val="Subsection"/>
      </w:pPr>
      <w:r>
        <w:tab/>
        <w:t>(5)</w:t>
      </w:r>
      <w:r>
        <w:tab/>
        <w:t xml:space="preserve">The application must —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 xml:space="preserve">For the purposes of this section and for the purposes of applying the Administration Act in relation to the operation of this section —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Subsection"/>
      </w:pPr>
      <w:r>
        <w:tab/>
        <w:t>(8)</w:t>
      </w:r>
      <w:r>
        <w:tab/>
        <w:t>If the instrument of transfer is or was chargeable under the Second Schedule Item 19, this section does not apply unless the Commissioner is satisfied that the duty was or will be (as the case requires) paid by a transferee.</w:t>
      </w:r>
    </w:p>
    <w:p>
      <w:pPr>
        <w:pStyle w:val="Subsection"/>
      </w:pPr>
      <w:r>
        <w:tab/>
        <w:t>(9)</w:t>
      </w:r>
      <w:r>
        <w:tab/>
        <w:t>If a transferee is required to repay an amount under section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 xml:space="preserve">In this section, unless the contrary intention appears —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t>“</w:t>
      </w:r>
      <w:r>
        <w:rPr>
          <w:rStyle w:val="CharDefText"/>
        </w:rPr>
        <w:t>transferee</w:t>
      </w:r>
      <w:r>
        <w:rPr>
          <w:b/>
        </w:rPr>
        <w:t>”</w:t>
      </w:r>
      <w:r>
        <w:t xml:space="preserve">, in relation to property, means a person to whom the property is conveyed or transferred, except —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w:t>
      </w:r>
    </w:p>
    <w:p>
      <w:pPr>
        <w:pStyle w:val="Ednotesection"/>
      </w:pPr>
      <w:r>
        <w:t>[</w:t>
      </w:r>
      <w:r>
        <w:rPr>
          <w:b/>
        </w:rPr>
        <w:t>75B.</w:t>
      </w:r>
      <w:r>
        <w:tab/>
      </w:r>
      <w:r>
        <w:tab/>
        <w:t xml:space="preserve">Repealed by No. 48 of 1996 s. 41.] </w:t>
      </w:r>
    </w:p>
    <w:p>
      <w:pPr>
        <w:pStyle w:val="Heading5"/>
        <w:rPr>
          <w:snapToGrid w:val="0"/>
        </w:rPr>
      </w:pPr>
      <w:bookmarkStart w:id="596" w:name="_Toc500739949"/>
      <w:bookmarkStart w:id="597" w:name="_Toc520101140"/>
      <w:bookmarkStart w:id="598" w:name="_Toc520533039"/>
      <w:bookmarkStart w:id="599" w:name="_Toc49223924"/>
      <w:bookmarkStart w:id="600" w:name="_Toc107054918"/>
      <w:bookmarkStart w:id="601" w:name="_Toc131416114"/>
      <w:bookmarkStart w:id="602" w:name="_Toc170193297"/>
      <w:r>
        <w:rPr>
          <w:rStyle w:val="CharSectno"/>
        </w:rPr>
        <w:t>75C</w:t>
      </w:r>
      <w:r>
        <w:rPr>
          <w:snapToGrid w:val="0"/>
        </w:rPr>
        <w:t>.</w:t>
      </w:r>
      <w:r>
        <w:rPr>
          <w:snapToGrid w:val="0"/>
        </w:rPr>
        <w:tab/>
        <w:t>Power to exempt for certain conveyances between spouses</w:t>
      </w:r>
      <w:bookmarkEnd w:id="596"/>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 </w:t>
      </w:r>
    </w:p>
    <w:p>
      <w:pPr>
        <w:pStyle w:val="Defstart"/>
        <w:keepNext/>
        <w:keepLines/>
      </w:pPr>
      <w:r>
        <w:rPr>
          <w:b/>
        </w:rPr>
        <w:tab/>
        <w:t>“</w:t>
      </w:r>
      <w:r>
        <w:rPr>
          <w:rStyle w:val="CharDefText"/>
        </w:rPr>
        <w:t>lot</w:t>
      </w:r>
      <w:r>
        <w:rPr>
          <w:b/>
        </w:rPr>
        <w:t>”</w:t>
      </w:r>
      <w:r>
        <w:t xml:space="preserve"> means —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 xml:space="preserve">[Section 75C inserted by No. 100 of 1987 s. 5; amended by No. 3 of 1989 s. 7; No. 52 of 1991 s. 15; No. 20 of 1996 s. 30; No. 2 of 2003 s. 67; No. 28 of 2003 s. 190.] </w:t>
      </w:r>
    </w:p>
    <w:p>
      <w:pPr>
        <w:pStyle w:val="Heading5"/>
      </w:pPr>
      <w:bookmarkStart w:id="603" w:name="_Toc107054919"/>
      <w:bookmarkStart w:id="604" w:name="_Toc131416115"/>
      <w:bookmarkStart w:id="605" w:name="_Toc170193298"/>
      <w:r>
        <w:rPr>
          <w:rStyle w:val="CharSectno"/>
        </w:rPr>
        <w:t>75CA</w:t>
      </w:r>
      <w:r>
        <w:t>.</w:t>
      </w:r>
      <w:r>
        <w:tab/>
        <w:t>Refund where contingent consideration is not paid</w:t>
      </w:r>
      <w:bookmarkEnd w:id="603"/>
      <w:bookmarkEnd w:id="604"/>
      <w:bookmarkEnd w:id="605"/>
      <w:r>
        <w:t xml:space="preserve"> </w:t>
      </w:r>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 xml:space="preserve">duty was dependent on the happening of a future event, then if, on an application under subsection (2), it is shown to the satisfaction of the Commissioner that — </w:t>
      </w:r>
    </w:p>
    <w:p>
      <w:pPr>
        <w:pStyle w:val="Indenta"/>
      </w:pPr>
      <w:r>
        <w:tab/>
        <w:t>(a)</w:t>
      </w:r>
      <w:r>
        <w:tab/>
        <w:t xml:space="preserve">the contract was executed on or after the day on which this section came into operation; </w:t>
      </w:r>
    </w:p>
    <w:p>
      <w:pPr>
        <w:pStyle w:val="Indenta"/>
      </w:pPr>
      <w:r>
        <w:tab/>
        <w:t>(b)</w:t>
      </w:r>
      <w:r>
        <w:tab/>
        <w:t xml:space="preserve">the contingent consideration has not been paid; </w:t>
      </w:r>
    </w:p>
    <w:p>
      <w:pPr>
        <w:pStyle w:val="Indenta"/>
      </w:pPr>
      <w:r>
        <w:tab/>
        <w:t>(c)</w:t>
      </w:r>
      <w:r>
        <w:tab/>
        <w:t>the event did not happen, or did not happen within the time specified in the contract for the happening of the event; and</w:t>
      </w:r>
    </w:p>
    <w:p>
      <w:pPr>
        <w:pStyle w:val="Indenta"/>
      </w:pPr>
      <w:r>
        <w:tab/>
        <w:t>(d)</w:t>
      </w:r>
      <w:r>
        <w:tab/>
        <w:t xml:space="preserve">either — </w:t>
      </w:r>
    </w:p>
    <w:p>
      <w:pPr>
        <w:pStyle w:val="Indenti"/>
      </w:pPr>
      <w:r>
        <w:tab/>
        <w:t>(i)</w:t>
      </w:r>
      <w:r>
        <w:tab/>
        <w:t>the event cannot happen in the future; or</w:t>
      </w:r>
    </w:p>
    <w:p>
      <w:pPr>
        <w:pStyle w:val="Indenti"/>
      </w:pPr>
      <w:r>
        <w:tab/>
        <w:t>(ii)</w:t>
      </w:r>
      <w:r>
        <w:tab/>
        <w:t xml:space="preserve">the time specified in the contract for the happening of the event has passed or expired, </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 xml:space="preserve">cannot be made more than 5 years after the contract was executed. </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pPr>
      <w:bookmarkStart w:id="606" w:name="_Toc58902576"/>
      <w:bookmarkStart w:id="607" w:name="_Toc76899589"/>
      <w:bookmarkStart w:id="608" w:name="_Toc78090491"/>
      <w:bookmarkStart w:id="609" w:name="_Toc88886859"/>
      <w:bookmarkStart w:id="610" w:name="_Toc90443475"/>
      <w:bookmarkStart w:id="611" w:name="_Toc90452826"/>
      <w:bookmarkStart w:id="612" w:name="_Toc100029417"/>
      <w:bookmarkStart w:id="613" w:name="_Toc100031490"/>
      <w:bookmarkStart w:id="614" w:name="_Toc100458549"/>
      <w:bookmarkStart w:id="615" w:name="_Toc101671965"/>
      <w:bookmarkStart w:id="616" w:name="_Toc101672222"/>
      <w:bookmarkStart w:id="617" w:name="_Toc102799248"/>
      <w:bookmarkStart w:id="618" w:name="_Toc102981922"/>
      <w:bookmarkStart w:id="619" w:name="_Toc103403235"/>
      <w:bookmarkStart w:id="620" w:name="_Toc103403492"/>
      <w:bookmarkStart w:id="621" w:name="_Toc103747491"/>
      <w:bookmarkStart w:id="622" w:name="_Toc107054920"/>
      <w:bookmarkStart w:id="623" w:name="_Toc113874367"/>
      <w:bookmarkStart w:id="624" w:name="_Toc113956783"/>
      <w:bookmarkStart w:id="625" w:name="_Toc116717339"/>
      <w:bookmarkStart w:id="626" w:name="_Toc116813366"/>
      <w:bookmarkStart w:id="627" w:name="_Toc122333018"/>
      <w:bookmarkStart w:id="628" w:name="_Toc122861988"/>
      <w:bookmarkStart w:id="629" w:name="_Toc122862584"/>
      <w:bookmarkStart w:id="630" w:name="_Toc122921191"/>
      <w:bookmarkStart w:id="631" w:name="_Toc122921451"/>
      <w:bookmarkStart w:id="632" w:name="_Toc122947396"/>
      <w:bookmarkStart w:id="633" w:name="_Toc124046232"/>
      <w:bookmarkStart w:id="634" w:name="_Toc131415817"/>
      <w:bookmarkStart w:id="635" w:name="_Toc131416116"/>
      <w:bookmarkStart w:id="636" w:name="_Toc170193299"/>
      <w:r>
        <w:rPr>
          <w:rStyle w:val="CharPartNo"/>
        </w:rPr>
        <w:t>Part IIIBAA</w:t>
      </w:r>
      <w:r>
        <w:rPr>
          <w:rStyle w:val="CharDivNo"/>
        </w:rPr>
        <w:t> </w:t>
      </w:r>
      <w:r>
        <w:t>—</w:t>
      </w:r>
      <w:r>
        <w:rPr>
          <w:rStyle w:val="CharDivText"/>
        </w:rPr>
        <w:t> </w:t>
      </w:r>
      <w:r>
        <w:rPr>
          <w:rStyle w:val="CharPartText"/>
        </w:rPr>
        <w:t>Certain transfers of farming property</w:t>
      </w:r>
      <w:r>
        <w:t> </w:t>
      </w:r>
      <w:bookmarkEnd w:id="606"/>
      <w:bookmarkEnd w:id="607"/>
      <w:bookmarkEnd w:id="608"/>
      <w:bookmarkEnd w:id="609"/>
      <w:bookmarkEnd w:id="610"/>
      <w:bookmarkEnd w:id="611"/>
      <w:bookmarkEnd w:id="612"/>
      <w:bookmarkEnd w:id="613"/>
      <w:r>
        <w:rPr>
          <w:b w:val="0"/>
          <w:vertAlign w:val="superscript"/>
        </w:rPr>
        <w:t>5</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Footnoteheading"/>
        <w:tabs>
          <w:tab w:val="left" w:pos="909"/>
        </w:tabs>
        <w:rPr>
          <w:snapToGrid w:val="0"/>
        </w:rPr>
      </w:pPr>
      <w:r>
        <w:rPr>
          <w:snapToGrid w:val="0"/>
        </w:rPr>
        <w:tab/>
        <w:t xml:space="preserve">[Heading inserted by No. 79 of 1994 s. 4(1).] </w:t>
      </w:r>
    </w:p>
    <w:p>
      <w:pPr>
        <w:pStyle w:val="Heading5"/>
        <w:rPr>
          <w:snapToGrid w:val="0"/>
        </w:rPr>
      </w:pPr>
      <w:bookmarkStart w:id="637" w:name="_Toc500739950"/>
      <w:bookmarkStart w:id="638" w:name="_Toc520101141"/>
      <w:bookmarkStart w:id="639" w:name="_Toc520533040"/>
      <w:bookmarkStart w:id="640" w:name="_Toc49223925"/>
      <w:bookmarkStart w:id="641" w:name="_Toc107054921"/>
      <w:bookmarkStart w:id="642" w:name="_Toc131416117"/>
      <w:bookmarkStart w:id="643" w:name="_Toc170193300"/>
      <w:r>
        <w:rPr>
          <w:rStyle w:val="CharSectno"/>
        </w:rPr>
        <w:t>75D</w:t>
      </w:r>
      <w:r>
        <w:rPr>
          <w:snapToGrid w:val="0"/>
        </w:rPr>
        <w:t>.</w:t>
      </w:r>
      <w:r>
        <w:rPr>
          <w:snapToGrid w:val="0"/>
        </w:rPr>
        <w:tab/>
        <w:t>Interpretation</w:t>
      </w:r>
      <w:bookmarkEnd w:id="637"/>
      <w:bookmarkEnd w:id="638"/>
      <w:bookmarkEnd w:id="639"/>
      <w:bookmarkEnd w:id="640"/>
      <w:r>
        <w:rPr>
          <w:snapToGrid w:val="0"/>
        </w:rPr>
        <w:t xml:space="preserve"> in Part IIIBAA</w:t>
      </w:r>
      <w:bookmarkEnd w:id="641"/>
      <w:bookmarkEnd w:id="642"/>
      <w:bookmarkEnd w:id="643"/>
    </w:p>
    <w:p>
      <w:pPr>
        <w:pStyle w:val="Subsection"/>
        <w:rPr>
          <w:snapToGrid w:val="0"/>
        </w:rPr>
      </w:pPr>
      <w:r>
        <w:rPr>
          <w:snapToGrid w:val="0"/>
        </w:rPr>
        <w:tab/>
        <w:t>(1)</w:t>
      </w:r>
      <w:r>
        <w:rPr>
          <w:snapToGrid w:val="0"/>
        </w:rPr>
        <w:tab/>
        <w:t>In this Part —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 </w:t>
      </w:r>
    </w:p>
    <w:p>
      <w:pPr>
        <w:pStyle w:val="Defpara"/>
        <w:spacing w:before="60"/>
      </w:pPr>
      <w:r>
        <w:tab/>
        <w:t>(a)</w:t>
      </w:r>
      <w:r>
        <w:tab/>
        <w:t>the shares of which are not quoted on a financial market; and</w:t>
      </w:r>
    </w:p>
    <w:p>
      <w:pPr>
        <w:pStyle w:val="Defpara"/>
        <w:spacing w:before="60"/>
      </w:pPr>
      <w:r>
        <w:tab/>
        <w:t>(b)</w:t>
      </w:r>
      <w:r>
        <w:tab/>
        <w:t>which has assets which include —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 xml:space="preserve">[Section 75D inserted by No. 79 of 1994 s. 4(1); amended by No. 20 of 1996 s. 31; No. 57 of 1996 s. 6; No. 13 of 1997 s. 42; No. 53 of 1999 s. 21; No. 21 of 2003 s. 27; No. 2 of 2003 s. 68; No. 28 of 2003 s. 191; No. 66 of 2003 s. 42; No. 12 of 2004 s. 27.] </w:t>
      </w:r>
    </w:p>
    <w:p>
      <w:pPr>
        <w:pStyle w:val="Heading5"/>
        <w:rPr>
          <w:snapToGrid w:val="0"/>
        </w:rPr>
      </w:pPr>
      <w:bookmarkStart w:id="644" w:name="_Toc500739951"/>
      <w:bookmarkStart w:id="645" w:name="_Toc520101142"/>
      <w:bookmarkStart w:id="646" w:name="_Toc520533041"/>
      <w:bookmarkStart w:id="647" w:name="_Toc49223926"/>
      <w:bookmarkStart w:id="648" w:name="_Toc107054922"/>
      <w:bookmarkStart w:id="649" w:name="_Toc131416118"/>
      <w:bookmarkStart w:id="650" w:name="_Toc170193301"/>
      <w:r>
        <w:rPr>
          <w:rStyle w:val="CharSectno"/>
        </w:rPr>
        <w:t>75E</w:t>
      </w:r>
      <w:r>
        <w:rPr>
          <w:snapToGrid w:val="0"/>
        </w:rPr>
        <w:t>.</w:t>
      </w:r>
      <w:r>
        <w:rPr>
          <w:snapToGrid w:val="0"/>
        </w:rPr>
        <w:tab/>
        <w:t>Application of this Part</w:t>
      </w:r>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 xml:space="preserve">This Part applies only where —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 xml:space="preserve">However, if —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 xml:space="preserve">[Section 75E inserted by No. 79 of 1994 s. 4(1); amended by No. 20 of 1996 s. 32; No. 2 of 2003 s. 69; No. 66 of 2003 s. 43; No. 12 of 2004 s. 28.] </w:t>
      </w:r>
    </w:p>
    <w:p>
      <w:pPr>
        <w:pStyle w:val="Heading5"/>
        <w:spacing w:before="120"/>
      </w:pPr>
      <w:bookmarkStart w:id="651" w:name="_Toc49223927"/>
      <w:bookmarkStart w:id="652" w:name="_Toc107054923"/>
      <w:bookmarkStart w:id="653" w:name="_Toc131416119"/>
      <w:bookmarkStart w:id="654" w:name="_Toc170193302"/>
      <w:bookmarkStart w:id="655" w:name="_Toc500739953"/>
      <w:bookmarkStart w:id="656" w:name="_Toc520101144"/>
      <w:bookmarkStart w:id="657" w:name="_Toc520533043"/>
      <w:r>
        <w:rPr>
          <w:rStyle w:val="CharSectno"/>
        </w:rPr>
        <w:t>75F</w:t>
      </w:r>
      <w:r>
        <w:t>.</w:t>
      </w:r>
      <w:r>
        <w:tab/>
        <w:t>Power to exempt for farming property</w:t>
      </w:r>
      <w:bookmarkEnd w:id="651"/>
      <w:bookmarkEnd w:id="652"/>
      <w:bookmarkEnd w:id="653"/>
      <w:bookmarkEnd w:id="654"/>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spacing w:before="120"/>
        <w:rPr>
          <w:snapToGrid w:val="0"/>
        </w:rPr>
      </w:pPr>
      <w:bookmarkStart w:id="658" w:name="_Toc49223928"/>
      <w:bookmarkStart w:id="659" w:name="_Toc107054924"/>
      <w:bookmarkStart w:id="660" w:name="_Toc131416120"/>
      <w:bookmarkStart w:id="661" w:name="_Toc170193303"/>
      <w:r>
        <w:rPr>
          <w:rStyle w:val="CharSectno"/>
        </w:rPr>
        <w:t>75G</w:t>
      </w:r>
      <w:r>
        <w:rPr>
          <w:snapToGrid w:val="0"/>
        </w:rPr>
        <w:t>.</w:t>
      </w:r>
      <w:r>
        <w:rPr>
          <w:snapToGrid w:val="0"/>
        </w:rPr>
        <w:tab/>
        <w:t>Partial exemption of duty</w:t>
      </w:r>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Where the Commissioner is satisfied that an instrument of conveyance is an instrument to which this Part applies but —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 </w:t>
      </w:r>
    </w:p>
    <w:p>
      <w:pPr>
        <w:pStyle w:val="Equation"/>
        <w:tabs>
          <w:tab w:val="left" w:pos="1418"/>
        </w:tabs>
        <w:spacing w:before="60"/>
      </w:pPr>
      <w:r>
        <w:tab/>
      </w:r>
      <w:r>
        <w:rPr>
          <w:position w:val="-24"/>
        </w:rPr>
        <w:object w:dxaOrig="1440" w:dyaOrig="580">
          <v:shape id="_x0000_i1028" type="#_x0000_t75" style="width:1in;height:29.25pt" o:ole="" fillcolor="window">
            <v:imagedata r:id="rId25" o:title=""/>
          </v:shape>
          <o:OLEObject Type="Embed" ProgID="Equation.3" ShapeID="_x0000_i1028" DrawAspect="Content" ObjectID="_1643744731" r:id="rId26"/>
        </w:object>
      </w:r>
    </w:p>
    <w:p>
      <w:pPr>
        <w:pStyle w:val="Subsection"/>
        <w:rPr>
          <w:snapToGrid w:val="0"/>
        </w:rPr>
      </w:pPr>
      <w:r>
        <w:rPr>
          <w:snapToGrid w:val="0"/>
        </w:rPr>
        <w:tab/>
      </w:r>
      <w:r>
        <w:rPr>
          <w:snapToGrid w:val="0"/>
        </w:rPr>
        <w:tab/>
        <w:t>where —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 xml:space="preserve">[Section 75G inserted by No. 79 of 1994 s. 4(1); amended by No. 20 of 1996 s. 33; No. 2 of 2003 s. 71; No. 66 of 2003 s. 44.] </w:t>
      </w:r>
    </w:p>
    <w:p>
      <w:pPr>
        <w:pStyle w:val="Heading5"/>
      </w:pPr>
      <w:bookmarkStart w:id="662" w:name="_Toc49223929"/>
      <w:bookmarkStart w:id="663" w:name="_Toc107054925"/>
      <w:bookmarkStart w:id="664" w:name="_Toc131416121"/>
      <w:bookmarkStart w:id="665" w:name="_Toc170193304"/>
      <w:bookmarkStart w:id="666" w:name="_Toc500739955"/>
      <w:bookmarkStart w:id="667" w:name="_Toc520101146"/>
      <w:bookmarkStart w:id="668" w:name="_Toc520533045"/>
      <w:r>
        <w:rPr>
          <w:rStyle w:val="CharSectno"/>
        </w:rPr>
        <w:t>75H</w:t>
      </w:r>
      <w:r>
        <w:t>.</w:t>
      </w:r>
      <w:r>
        <w:tab/>
        <w:t>Application for exemption</w:t>
      </w:r>
      <w:bookmarkEnd w:id="662"/>
      <w:bookmarkEnd w:id="663"/>
      <w:bookmarkEnd w:id="664"/>
      <w:bookmarkEnd w:id="665"/>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669" w:name="_Toc49223930"/>
      <w:bookmarkStart w:id="670" w:name="_Toc107054926"/>
      <w:bookmarkStart w:id="671" w:name="_Toc131416122"/>
      <w:bookmarkStart w:id="672" w:name="_Toc170193305"/>
      <w:r>
        <w:rPr>
          <w:rStyle w:val="CharSectno"/>
        </w:rPr>
        <w:t>75HA</w:t>
      </w:r>
      <w:r>
        <w:rPr>
          <w:snapToGrid w:val="0"/>
        </w:rPr>
        <w:t>.</w:t>
      </w:r>
      <w:r>
        <w:rPr>
          <w:snapToGrid w:val="0"/>
        </w:rPr>
        <w:tab/>
        <w:t>Subsequent liability for duty in certain circumstances</w:t>
      </w:r>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current exempted property</w:t>
      </w:r>
      <w:r>
        <w:rPr>
          <w:b/>
        </w:rPr>
        <w:t>”</w:t>
      </w:r>
      <w:r>
        <w:t xml:space="preserve"> means, when a taxable event occurs in relation to a discretionary trust, that part of —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 </w:t>
      </w:r>
    </w:p>
    <w:p>
      <w:pPr>
        <w:pStyle w:val="Indenta"/>
        <w:rPr>
          <w:snapToGrid w:val="0"/>
        </w:rPr>
      </w:pPr>
      <w:r>
        <w:rPr>
          <w:snapToGrid w:val="0"/>
        </w:rPr>
        <w:tab/>
        <w:t>(a)</w:t>
      </w:r>
      <w:r>
        <w:rPr>
          <w:snapToGrid w:val="0"/>
        </w:rPr>
        <w:tab/>
        <w:t>a person who is not a family member of the relevant transferor —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 xml:space="preserve">If the property conveyed by an instrument of conveyance was a share in a farming company, the discretionary trustee is not required to lodge a dutiable statement unless subsection (6) will apply if such a statement is lodged. </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 xml:space="preserve">[Section 75HA inserted by No. 20 of 1996 s. 34; amended by No. 60 of 2000 s. 20(3), (4) and (5); No. 2 of 2003 s. 73; No. 66 of 2003 s. 46 and 107(4).] </w:t>
      </w:r>
    </w:p>
    <w:p>
      <w:pPr>
        <w:pStyle w:val="Heading5"/>
      </w:pPr>
      <w:bookmarkStart w:id="673" w:name="_Toc49223931"/>
      <w:bookmarkStart w:id="674" w:name="_Toc107054927"/>
      <w:bookmarkStart w:id="675" w:name="_Toc131416123"/>
      <w:bookmarkStart w:id="676" w:name="_Toc170193306"/>
      <w:r>
        <w:rPr>
          <w:rStyle w:val="CharSectno"/>
        </w:rPr>
        <w:t>75I</w:t>
      </w:r>
      <w:r>
        <w:t>.</w:t>
      </w:r>
      <w:r>
        <w:tab/>
        <w:t>Part IIIBA companies</w:t>
      </w:r>
      <w:bookmarkEnd w:id="673"/>
      <w:bookmarkEnd w:id="674"/>
      <w:bookmarkEnd w:id="675"/>
      <w:bookmarkEnd w:id="676"/>
    </w:p>
    <w:p>
      <w:pPr>
        <w:pStyle w:val="Subsection"/>
      </w:pPr>
      <w:r>
        <w:tab/>
        <w:t>(1)</w:t>
      </w:r>
      <w:r>
        <w:tab/>
        <w:t xml:space="preserve">Where —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 xml:space="preserve">an instrument referred to in section 75E(1)(c), (d)(iii) or (e)(iii); and </w:t>
      </w:r>
    </w:p>
    <w:p>
      <w:pPr>
        <w:pStyle w:val="Indenti"/>
      </w:pPr>
      <w:r>
        <w:tab/>
        <w:t>(ii)</w:t>
      </w:r>
      <w:r>
        <w:tab/>
        <w:t xml:space="preserve">an instrument to which this Part applied; </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 xml:space="preserve">The amount of a partial exemption is the amount equal to R in the formula — </w:t>
      </w:r>
    </w:p>
    <w:p>
      <w:pPr>
        <w:pStyle w:val="Equation"/>
        <w:tabs>
          <w:tab w:val="left" w:pos="923"/>
        </w:tabs>
      </w:pPr>
      <w:r>
        <w:tab/>
      </w:r>
      <w:r>
        <w:rPr>
          <w:position w:val="-22"/>
        </w:rPr>
        <w:object w:dxaOrig="920" w:dyaOrig="580">
          <v:shape id="_x0000_i1029" type="#_x0000_t75" style="width:45.75pt;height:29.25pt" o:ole="" fillcolor="window">
            <v:imagedata r:id="rId27" o:title=""/>
          </v:shape>
          <o:OLEObject Type="Embed" ProgID="Equation.3" ShapeID="_x0000_i1029" DrawAspect="Content" ObjectID="_1643744732" r:id="rId28"/>
        </w:object>
      </w:r>
    </w:p>
    <w:p>
      <w:pPr>
        <w:pStyle w:val="Subsection"/>
      </w:pPr>
      <w:r>
        <w:tab/>
      </w:r>
      <w:r>
        <w:tab/>
        <w:t xml:space="preserve">where —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677" w:name="_Toc58902584"/>
      <w:bookmarkStart w:id="678" w:name="_Toc76899597"/>
      <w:bookmarkStart w:id="679" w:name="_Toc78090499"/>
      <w:bookmarkStart w:id="680" w:name="_Toc88886867"/>
      <w:bookmarkStart w:id="681" w:name="_Toc90443483"/>
      <w:bookmarkStart w:id="682" w:name="_Toc90452834"/>
      <w:bookmarkStart w:id="683" w:name="_Toc100029425"/>
      <w:bookmarkStart w:id="684" w:name="_Toc100031498"/>
      <w:bookmarkStart w:id="685" w:name="_Toc100458557"/>
      <w:bookmarkStart w:id="686" w:name="_Toc101671973"/>
      <w:bookmarkStart w:id="687" w:name="_Toc101672230"/>
      <w:bookmarkStart w:id="688" w:name="_Toc102799256"/>
      <w:bookmarkStart w:id="689" w:name="_Toc102981930"/>
      <w:bookmarkStart w:id="690" w:name="_Toc103403243"/>
      <w:bookmarkStart w:id="691" w:name="_Toc103403500"/>
      <w:bookmarkStart w:id="692" w:name="_Toc103747499"/>
      <w:bookmarkStart w:id="693" w:name="_Toc107054928"/>
      <w:bookmarkStart w:id="694" w:name="_Toc113874375"/>
      <w:bookmarkStart w:id="695" w:name="_Toc113956791"/>
      <w:bookmarkStart w:id="696" w:name="_Toc116717347"/>
      <w:bookmarkStart w:id="697" w:name="_Toc116813374"/>
      <w:bookmarkStart w:id="698" w:name="_Toc122333026"/>
      <w:bookmarkStart w:id="699" w:name="_Toc122861996"/>
      <w:bookmarkStart w:id="700" w:name="_Toc122862592"/>
      <w:bookmarkStart w:id="701" w:name="_Toc122921199"/>
      <w:bookmarkStart w:id="702" w:name="_Toc122921459"/>
      <w:bookmarkStart w:id="703" w:name="_Toc122947404"/>
      <w:bookmarkStart w:id="704" w:name="_Toc124046240"/>
      <w:bookmarkStart w:id="705" w:name="_Toc131415825"/>
      <w:bookmarkStart w:id="706" w:name="_Toc131416124"/>
      <w:bookmarkStart w:id="707" w:name="_Toc170193307"/>
      <w:r>
        <w:rPr>
          <w:rStyle w:val="CharPartNo"/>
        </w:rPr>
        <w:t>Part IIIBAAA</w:t>
      </w:r>
      <w:r>
        <w:rPr>
          <w:rStyle w:val="CharDivNo"/>
        </w:rPr>
        <w:t> </w:t>
      </w:r>
      <w:r>
        <w:t>—</w:t>
      </w:r>
      <w:r>
        <w:rPr>
          <w:rStyle w:val="CharDivText"/>
        </w:rPr>
        <w:t> </w:t>
      </w:r>
      <w:r>
        <w:rPr>
          <w:rStyle w:val="CharPartText"/>
        </w:rPr>
        <w:t>Exemptions for corporate reconstructions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r>
        <w:rPr>
          <w:rStyle w:val="CharPartText"/>
        </w:rPr>
        <w:t xml:space="preserve"> </w:t>
      </w:r>
    </w:p>
    <w:p>
      <w:pPr>
        <w:pStyle w:val="Footnoteheading"/>
        <w:tabs>
          <w:tab w:val="left" w:pos="909"/>
        </w:tabs>
        <w:rPr>
          <w:snapToGrid w:val="0"/>
        </w:rPr>
      </w:pPr>
      <w:r>
        <w:rPr>
          <w:snapToGrid w:val="0"/>
        </w:rPr>
        <w:tab/>
        <w:t xml:space="preserve">[Heading inserted by No. 48 of 1996 s. 42.] </w:t>
      </w:r>
    </w:p>
    <w:p>
      <w:pPr>
        <w:pStyle w:val="Heading5"/>
        <w:rPr>
          <w:snapToGrid w:val="0"/>
        </w:rPr>
      </w:pPr>
      <w:bookmarkStart w:id="708" w:name="_Toc500739957"/>
      <w:bookmarkStart w:id="709" w:name="_Toc520101148"/>
      <w:bookmarkStart w:id="710" w:name="_Toc520533047"/>
      <w:bookmarkStart w:id="711" w:name="_Toc49223932"/>
      <w:bookmarkStart w:id="712" w:name="_Toc107054929"/>
      <w:bookmarkStart w:id="713" w:name="_Toc131416125"/>
      <w:bookmarkStart w:id="714" w:name="_Toc170193308"/>
      <w:r>
        <w:rPr>
          <w:rStyle w:val="CharSectno"/>
        </w:rPr>
        <w:t>75J</w:t>
      </w:r>
      <w:r>
        <w:rPr>
          <w:snapToGrid w:val="0"/>
        </w:rPr>
        <w:t>.</w:t>
      </w:r>
      <w:r>
        <w:rPr>
          <w:snapToGrid w:val="0"/>
        </w:rPr>
        <w:tab/>
        <w:t>Interpretation in Part</w:t>
      </w:r>
      <w:bookmarkEnd w:id="708"/>
      <w:bookmarkEnd w:id="709"/>
      <w:bookmarkEnd w:id="710"/>
      <w:bookmarkEnd w:id="711"/>
      <w:r>
        <w:rPr>
          <w:snapToGrid w:val="0"/>
        </w:rPr>
        <w:t xml:space="preserve"> IIIBAAA</w:t>
      </w:r>
      <w:bookmarkEnd w:id="712"/>
      <w:bookmarkEnd w:id="713"/>
      <w:bookmarkEnd w:id="714"/>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 </w:t>
      </w:r>
    </w:p>
    <w:p>
      <w:pPr>
        <w:pStyle w:val="Indenta"/>
        <w:keepNext/>
        <w:spacing w:before="60"/>
        <w:rPr>
          <w:snapToGrid w:val="0"/>
        </w:rPr>
      </w:pPr>
      <w:r>
        <w:rPr>
          <w:snapToGrid w:val="0"/>
        </w:rPr>
        <w:tab/>
        <w:t>(a)</w:t>
      </w:r>
      <w:r>
        <w:rPr>
          <w:snapToGrid w:val="0"/>
        </w:rPr>
        <w:tab/>
        <w:t>2 bodies corporate are associated if —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keepNext/>
        <w:spacing w:before="60"/>
        <w:rPr>
          <w:snapToGrid w:val="0"/>
        </w:rPr>
      </w:pPr>
      <w:r>
        <w:rPr>
          <w:snapToGrid w:val="0"/>
        </w:rPr>
        <w:tab/>
        <w:t>(c)</w:t>
      </w:r>
      <w:r>
        <w:rPr>
          <w:snapToGrid w:val="0"/>
        </w:rPr>
        <w:tab/>
        <w:t>if the claw</w:t>
      </w:r>
      <w:r>
        <w:rPr>
          <w:snapToGrid w:val="0"/>
        </w:rPr>
        <w:noBreakHyphen/>
        <w:t>back applies —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 xml:space="preserve">This subsection applies to issued share capital of a body corporate if the Commissioner is satisfied —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 xml:space="preserve">[Section 75J inserted by No. 48 of 1996 s. 42; amended by No. 51 of 1997 s. 5; No. 29 of 2000 s. 5; No. 60 of 2000 s. 20(6); No. 10 of 2001 s. 170; No. 36 of 2001 s. 19; No. 2 of 2003 s. 75; No. 66 of 2003 s. 48; No. 11 of 2005 s. 11.] </w:t>
      </w:r>
    </w:p>
    <w:p>
      <w:pPr>
        <w:pStyle w:val="Heading5"/>
      </w:pPr>
      <w:bookmarkStart w:id="715" w:name="_Toc520101149"/>
      <w:bookmarkStart w:id="716" w:name="_Toc520533048"/>
      <w:bookmarkStart w:id="717" w:name="_Toc49223933"/>
      <w:bookmarkStart w:id="718" w:name="_Toc107054930"/>
      <w:bookmarkStart w:id="719" w:name="_Toc131416126"/>
      <w:bookmarkStart w:id="720" w:name="_Toc170193309"/>
      <w:bookmarkStart w:id="721" w:name="_Toc500739958"/>
      <w:r>
        <w:rPr>
          <w:rStyle w:val="CharSectno"/>
        </w:rPr>
        <w:t>75JAA</w:t>
      </w:r>
      <w:r>
        <w:t>.</w:t>
      </w:r>
      <w:r>
        <w:tab/>
        <w:t>Meaning of dormant body corporate</w:t>
      </w:r>
      <w:bookmarkEnd w:id="715"/>
      <w:bookmarkEnd w:id="716"/>
      <w:bookmarkEnd w:id="717"/>
      <w:bookmarkEnd w:id="718"/>
      <w:bookmarkEnd w:id="719"/>
      <w:bookmarkEnd w:id="720"/>
    </w:p>
    <w:p>
      <w:pPr>
        <w:pStyle w:val="Subsection"/>
      </w:pPr>
      <w:r>
        <w:tab/>
      </w:r>
      <w:r>
        <w:tab/>
        <w:t xml:space="preserve">A body corporate is dormant throughout a particular period if, and only if, throughout that period the body —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722" w:name="_Toc520101150"/>
      <w:bookmarkStart w:id="723" w:name="_Toc520533049"/>
      <w:bookmarkStart w:id="724" w:name="_Toc49223934"/>
      <w:bookmarkStart w:id="725" w:name="_Toc107054931"/>
      <w:bookmarkStart w:id="726" w:name="_Toc131416127"/>
      <w:bookmarkStart w:id="727" w:name="_Toc170193310"/>
      <w:r>
        <w:rPr>
          <w:rStyle w:val="CharSectno"/>
        </w:rPr>
        <w:t>75JA</w:t>
      </w:r>
      <w:r>
        <w:rPr>
          <w:snapToGrid w:val="0"/>
        </w:rPr>
        <w:t>.</w:t>
      </w:r>
      <w:r>
        <w:rPr>
          <w:snapToGrid w:val="0"/>
        </w:rPr>
        <w:tab/>
        <w:t>Corporate reconstructions: exemptions</w:t>
      </w:r>
      <w:bookmarkEnd w:id="721"/>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Ednotesubsection"/>
        <w:spacing w:before="140"/>
      </w:pPr>
      <w:r>
        <w:tab/>
        <w:t>[(4)-(6)</w:t>
      </w:r>
      <w:r>
        <w:tab/>
        <w:t>repealed]</w:t>
      </w:r>
    </w:p>
    <w:p>
      <w:pPr>
        <w:pStyle w:val="Footnotesection"/>
      </w:pPr>
      <w:r>
        <w:tab/>
        <w:t xml:space="preserve">[Section 75JA inserted by No. 48 of 1996 s. 42; amended by No. 51 of 1997 s. 6; No. 53 of 1999 s. 22; No. 2 of 2003 s. 76; No. 21 of 2003 s. 28(1); No. 66 of 2003 s. 49; No. 11 of 2004 s. 13; No. 12 of 2004 s. 30; No. 11 of 2005 s. 12.] </w:t>
      </w:r>
    </w:p>
    <w:p>
      <w:pPr>
        <w:pStyle w:val="Heading5"/>
        <w:rPr>
          <w:snapToGrid w:val="0"/>
        </w:rPr>
      </w:pPr>
      <w:bookmarkStart w:id="728" w:name="_Toc500739959"/>
      <w:bookmarkStart w:id="729" w:name="_Toc520101151"/>
      <w:bookmarkStart w:id="730" w:name="_Toc520533050"/>
      <w:bookmarkStart w:id="731" w:name="_Toc49223935"/>
      <w:bookmarkStart w:id="732" w:name="_Toc107054932"/>
      <w:bookmarkStart w:id="733" w:name="_Toc131416128"/>
      <w:bookmarkStart w:id="734" w:name="_Toc170193311"/>
      <w:r>
        <w:rPr>
          <w:rStyle w:val="CharSectno"/>
        </w:rPr>
        <w:t>75JB</w:t>
      </w:r>
      <w:r>
        <w:rPr>
          <w:snapToGrid w:val="0"/>
        </w:rPr>
        <w:t>.</w:t>
      </w:r>
      <w:r>
        <w:rPr>
          <w:snapToGrid w:val="0"/>
        </w:rPr>
        <w:tab/>
        <w:t>Corporate reorganisations: exemption from duty on conveyances between associated bodies corporate</w:t>
      </w:r>
      <w:bookmarkEnd w:id="728"/>
      <w:bookmarkEnd w:id="729"/>
      <w:bookmarkEnd w:id="730"/>
      <w:bookmarkEnd w:id="731"/>
      <w:bookmarkEnd w:id="732"/>
      <w:bookmarkEnd w:id="733"/>
      <w:bookmarkEnd w:id="734"/>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 xml:space="preserve">and B has been dormant from when A and B became associated until B resolved to acquire the beneficial interest; </w:t>
      </w:r>
    </w:p>
    <w:p>
      <w:pPr>
        <w:pStyle w:val="Indenti"/>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 xml:space="preserve">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 xml:space="preserve">This section also applies if —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 xml:space="preserve">comes into operation evidences an agreement to transfer or assign an interest in a vehicle and </w:t>
      </w:r>
      <w:r>
        <w:t xml:space="preserve">includes the following information —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 xml:space="preserve">the purchase price (if applicable) of the vehicle; </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r>
        <w:rPr>
          <w:snapToGrid w:val="0"/>
        </w:rPr>
        <w:t>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 xml:space="preserve">section 75J(4) having applied to the issued share capital of A or B, a change is made to the purpose for which that body corporate is carried on; </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 xml:space="preserve">In subsections (5c) to (5j) — </w:t>
      </w:r>
    </w:p>
    <w:p>
      <w:pPr>
        <w:pStyle w:val="Defstart"/>
        <w:keepNext/>
      </w:pPr>
      <w:r>
        <w:tab/>
      </w:r>
      <w:r>
        <w:rPr>
          <w:b/>
        </w:rPr>
        <w:t>“</w:t>
      </w:r>
      <w:r>
        <w:rPr>
          <w:rStyle w:val="CharDefText"/>
        </w:rPr>
        <w:t>controlling body</w:t>
      </w:r>
      <w:r>
        <w:rPr>
          <w:b/>
        </w:rPr>
        <w:t>”</w:t>
      </w:r>
      <w:r>
        <w:t xml:space="preserve"> means —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 </w:t>
      </w:r>
    </w:p>
    <w:p>
      <w:pPr>
        <w:pStyle w:val="Defstart"/>
      </w:pPr>
      <w:r>
        <w:tab/>
      </w:r>
      <w:r>
        <w:rPr>
          <w:b/>
        </w:rPr>
        <w:t>“</w:t>
      </w:r>
      <w:r>
        <w:rPr>
          <w:rStyle w:val="CharDefText"/>
        </w:rPr>
        <w:t>qualifying period</w:t>
      </w:r>
      <w:r>
        <w:rPr>
          <w:b/>
        </w:rPr>
        <w:t>”</w:t>
      </w:r>
      <w:r>
        <w:t xml:space="preserve"> has the same meaning as it has in subsection (1)(d). </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 xml:space="preserve">owns and controls each of them. </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 xml:space="preserve">the association between A and B which satisfied the requirement of subsection (1)(c) was a prescribed relationship for the whole or a part of the qualifying period; or </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 xml:space="preserve">own and control B; and </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pPr>
      <w:r>
        <w:tab/>
        <w:t>(5j)</w:t>
      </w:r>
      <w:r>
        <w:tab/>
        <w:t>If the claw</w:t>
      </w:r>
      <w:r>
        <w:rPr>
          <w:snapToGrid w:val="0"/>
        </w:rPr>
        <w:noBreakHyphen/>
      </w:r>
      <w:r>
        <w:t xml:space="preserve">back is waived under subsection (5g) —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keepLines/>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w:t>
      </w:r>
      <w:r>
        <w:rPr>
          <w:i w:val="0"/>
          <w:vertAlign w:val="superscript"/>
        </w:rPr>
        <w:t> 4</w:t>
      </w:r>
      <w:r>
        <w:t xml:space="preserve">; No. 11 of 2004 s. 14; No. 12 of 2004 s. 31; No. 11 of 2005 s. 13.] </w:t>
      </w:r>
    </w:p>
    <w:p>
      <w:pPr>
        <w:pStyle w:val="Heading5"/>
      </w:pPr>
      <w:bookmarkStart w:id="735" w:name="_Toc500739960"/>
      <w:bookmarkStart w:id="736" w:name="_Toc520101152"/>
      <w:bookmarkStart w:id="737" w:name="_Toc520533051"/>
      <w:bookmarkStart w:id="738" w:name="_Toc49223936"/>
      <w:bookmarkStart w:id="739" w:name="_Toc107054933"/>
      <w:bookmarkStart w:id="740" w:name="_Toc131416129"/>
      <w:bookmarkStart w:id="741" w:name="_Toc170193312"/>
      <w:r>
        <w:rPr>
          <w:rStyle w:val="CharSectno"/>
        </w:rPr>
        <w:t>75JBA</w:t>
      </w:r>
      <w:r>
        <w:t>.</w:t>
      </w:r>
      <w:r>
        <w:tab/>
        <w:t>Operation of claw</w:t>
      </w:r>
      <w:r>
        <w:rPr>
          <w:snapToGrid w:val="0"/>
        </w:rPr>
        <w:noBreakHyphen/>
      </w:r>
      <w:r>
        <w:t>back: application for pre</w:t>
      </w:r>
      <w:r>
        <w:noBreakHyphen/>
        <w:t>determination in certain cases</w:t>
      </w:r>
      <w:bookmarkEnd w:id="735"/>
      <w:bookmarkEnd w:id="736"/>
      <w:bookmarkEnd w:id="737"/>
      <w:bookmarkEnd w:id="738"/>
      <w:bookmarkEnd w:id="739"/>
      <w:bookmarkEnd w:id="740"/>
      <w:bookmarkEnd w:id="741"/>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spacing w:before="140"/>
        <w:rPr>
          <w:snapToGrid w:val="0"/>
        </w:rPr>
      </w:pPr>
      <w:r>
        <w:rPr>
          <w:snapToGrid w:val="0"/>
        </w:rPr>
        <w:tab/>
        <w:t>(5)</w:t>
      </w:r>
      <w:r>
        <w:rPr>
          <w:snapToGrid w:val="0"/>
        </w:rPr>
        <w:tab/>
        <w:t>If the Commissioner is given sufficient information to do so the Commissioner shall make the requested determination.</w:t>
      </w:r>
    </w:p>
    <w:p>
      <w:pPr>
        <w:pStyle w:val="Subsection"/>
        <w:spacing w:before="140"/>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742" w:name="_Toc500739961"/>
      <w:bookmarkStart w:id="743" w:name="_Toc520101153"/>
      <w:bookmarkStart w:id="744" w:name="_Toc520533052"/>
      <w:bookmarkStart w:id="745" w:name="_Toc49223937"/>
      <w:bookmarkStart w:id="746" w:name="_Toc107054934"/>
      <w:bookmarkStart w:id="747" w:name="_Toc131416130"/>
      <w:bookmarkStart w:id="748" w:name="_Toc170193313"/>
      <w:r>
        <w:rPr>
          <w:rStyle w:val="CharSectno"/>
        </w:rPr>
        <w:t>75JC</w:t>
      </w:r>
      <w:r>
        <w:rPr>
          <w:snapToGrid w:val="0"/>
        </w:rPr>
        <w:t>.</w:t>
      </w:r>
      <w:r>
        <w:rPr>
          <w:snapToGrid w:val="0"/>
        </w:rPr>
        <w:tab/>
        <w:t>Corporate reorganisations: application for pre</w:t>
      </w:r>
      <w:r>
        <w:rPr>
          <w:snapToGrid w:val="0"/>
        </w:rPr>
        <w:noBreakHyphen/>
        <w:t>determination</w:t>
      </w:r>
      <w:bookmarkEnd w:id="742"/>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 xml:space="preserve">[Section 75JC inserted by No. 48 of 1996 s. 42; amended by No. 36 of 2001 s. 20; No. 2 of 2003 s. 79; No. 66 of 2003 s. 52; No. 11 of 2005 s. 14.] </w:t>
      </w:r>
    </w:p>
    <w:p>
      <w:pPr>
        <w:pStyle w:val="Heading5"/>
        <w:rPr>
          <w:snapToGrid w:val="0"/>
        </w:rPr>
      </w:pPr>
      <w:bookmarkStart w:id="749" w:name="_Toc500739962"/>
      <w:bookmarkStart w:id="750" w:name="_Toc520101154"/>
      <w:bookmarkStart w:id="751" w:name="_Toc520533053"/>
      <w:bookmarkStart w:id="752" w:name="_Toc49223938"/>
      <w:bookmarkStart w:id="753" w:name="_Toc107054935"/>
      <w:bookmarkStart w:id="754" w:name="_Toc131416131"/>
      <w:bookmarkStart w:id="755" w:name="_Toc170193314"/>
      <w:r>
        <w:rPr>
          <w:rStyle w:val="CharSectno"/>
        </w:rPr>
        <w:t>75JD</w:t>
      </w:r>
      <w:r>
        <w:rPr>
          <w:snapToGrid w:val="0"/>
        </w:rPr>
        <w:t>.</w:t>
      </w:r>
      <w:r>
        <w:rPr>
          <w:snapToGrid w:val="0"/>
        </w:rPr>
        <w:tab/>
        <w:t>Corporate reorganisations: application for exemption</w:t>
      </w:r>
      <w:bookmarkEnd w:id="749"/>
      <w:bookmarkEnd w:id="750"/>
      <w:bookmarkEnd w:id="751"/>
      <w:bookmarkEnd w:id="752"/>
      <w:bookmarkEnd w:id="753"/>
      <w:bookmarkEnd w:id="754"/>
      <w:bookmarkEnd w:id="755"/>
      <w:r>
        <w:rPr>
          <w:snapToGrid w:val="0"/>
        </w:rPr>
        <w:t xml:space="preserve"> </w:t>
      </w:r>
    </w:p>
    <w:p>
      <w:pPr>
        <w:pStyle w:val="Subsection"/>
      </w:pPr>
      <w:r>
        <w:tab/>
        <w:t>(1)</w:t>
      </w:r>
      <w:r>
        <w:tab/>
        <w:t xml:space="preserve">An application for an exemption under section 75JA or 75JB must be made in an approved form. </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 xml:space="preserve">In subsection (4) —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 xml:space="preserve">[Section 75JD inserted by No. 48 of 1996 s. 42; amended by No. 2 of 2003 s. 80; No. 66 of 2003 s. 53; No. 11 of 2005 s. 15; No. 12 of 2005 s. 7.] </w:t>
      </w:r>
    </w:p>
    <w:p>
      <w:pPr>
        <w:pStyle w:val="Heading5"/>
      </w:pPr>
      <w:bookmarkStart w:id="756" w:name="_Toc500739963"/>
      <w:bookmarkStart w:id="757" w:name="_Toc520101155"/>
      <w:bookmarkStart w:id="758" w:name="_Toc520533054"/>
      <w:bookmarkStart w:id="759" w:name="_Toc49223939"/>
      <w:bookmarkStart w:id="760" w:name="_Toc107054936"/>
      <w:bookmarkStart w:id="761" w:name="_Toc131416132"/>
      <w:bookmarkStart w:id="762" w:name="_Toc170193315"/>
      <w:r>
        <w:rPr>
          <w:rStyle w:val="CharSectno"/>
        </w:rPr>
        <w:t>75JDA</w:t>
      </w:r>
      <w:r>
        <w:t>.</w:t>
      </w:r>
      <w:r>
        <w:tab/>
        <w:t>Exemption may be withheld in certain cases</w:t>
      </w:r>
      <w:bookmarkEnd w:id="756"/>
      <w:bookmarkEnd w:id="757"/>
      <w:bookmarkEnd w:id="758"/>
      <w:bookmarkEnd w:id="759"/>
      <w:bookmarkEnd w:id="760"/>
      <w:bookmarkEnd w:id="761"/>
      <w:bookmarkEnd w:id="762"/>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763" w:name="_Toc500739964"/>
      <w:bookmarkStart w:id="764" w:name="_Toc520101156"/>
      <w:bookmarkStart w:id="765" w:name="_Toc520533055"/>
      <w:bookmarkStart w:id="766" w:name="_Toc49223940"/>
      <w:bookmarkStart w:id="767" w:name="_Toc107054937"/>
      <w:bookmarkStart w:id="768" w:name="_Toc131416133"/>
      <w:bookmarkStart w:id="769" w:name="_Toc170193316"/>
      <w:r>
        <w:rPr>
          <w:rStyle w:val="CharSectno"/>
        </w:rPr>
        <w:t>75JE</w:t>
      </w:r>
      <w:r>
        <w:rPr>
          <w:snapToGrid w:val="0"/>
        </w:rPr>
        <w:t>.</w:t>
      </w:r>
      <w:r>
        <w:rPr>
          <w:snapToGrid w:val="0"/>
        </w:rPr>
        <w:tab/>
        <w:t>Claw</w:t>
      </w:r>
      <w:r>
        <w:rPr>
          <w:snapToGrid w:val="0"/>
        </w:rPr>
        <w:noBreakHyphen/>
        <w:t>back (instruments)</w:t>
      </w:r>
      <w:bookmarkEnd w:id="763"/>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If this section applies to an instrument</w:t>
      </w:r>
      <w:r>
        <w:t xml:space="preserve"> that has been exempted from duty under section 75JB(3)</w:t>
      </w:r>
      <w:r>
        <w:rPr>
          <w:snapToGrid w:val="0"/>
        </w:rPr>
        <w:t> —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Ednotepara"/>
        <w:rPr>
          <w:snapToGrid w:val="0"/>
        </w:rPr>
      </w:pPr>
      <w:r>
        <w:rPr>
          <w:snapToGrid w:val="0"/>
        </w:rPr>
        <w:tab/>
        <w:t>[(da)</w:t>
      </w:r>
      <w:r>
        <w:rPr>
          <w:snapToGrid w:val="0"/>
        </w:rPr>
        <w:tab/>
        <w:t>deleted]</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xml:space="preserve">) of the body corporate;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 xml:space="preserve">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xml:space="preserve">) of the body corporate;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 xml:space="preserve">For the purposes of subsection (2)(a) — </w:t>
      </w:r>
    </w:p>
    <w:p>
      <w:pPr>
        <w:pStyle w:val="Indenta"/>
      </w:pPr>
      <w:r>
        <w:tab/>
        <w:t>(a)</w:t>
      </w:r>
      <w:r>
        <w:tab/>
        <w:t>the amount to be assessed is the amount of duty that would have been payable when the licence was transferred if the exemption certificate had not been in existence; and</w:t>
      </w:r>
    </w:p>
    <w:p>
      <w:pPr>
        <w:pStyle w:val="Indenta"/>
      </w:pPr>
      <w:r>
        <w:tab/>
        <w:t>(b)</w:t>
      </w:r>
      <w:r>
        <w:tab/>
        <w:t>section 76E(2) and (3) apply to the assessment as if the Commissioner were the Director General as defined in section 76B.</w:t>
      </w:r>
    </w:p>
    <w:p>
      <w:pPr>
        <w:pStyle w:val="Footnotesection"/>
        <w:keepLines w:val="0"/>
      </w:pPr>
      <w:r>
        <w:tab/>
        <w:t xml:space="preserve">[Section 75JE inserted by No. 48 of 1996 s. 42; amended by No. 51 of 1997 s. 8; No. 29 of 2000 s. 9; No. 10 of 2001 s. 172; No. 36 of 2001 s. 21; No. 2 of 2003 s. 82; No. 66 of 2003 s. 55; No. 11 of 2005 s. 16.] </w:t>
      </w:r>
    </w:p>
    <w:p>
      <w:pPr>
        <w:pStyle w:val="Heading5"/>
        <w:rPr>
          <w:snapToGrid w:val="0"/>
        </w:rPr>
      </w:pPr>
      <w:bookmarkStart w:id="770" w:name="_Toc500739965"/>
      <w:bookmarkStart w:id="771" w:name="_Toc520101157"/>
      <w:bookmarkStart w:id="772" w:name="_Toc520533056"/>
      <w:bookmarkStart w:id="773" w:name="_Toc49223941"/>
      <w:bookmarkStart w:id="774" w:name="_Toc107054938"/>
      <w:bookmarkStart w:id="775" w:name="_Toc131416134"/>
      <w:bookmarkStart w:id="776" w:name="_Toc170193317"/>
      <w:r>
        <w:rPr>
          <w:rStyle w:val="CharSectno"/>
        </w:rPr>
        <w:t>75JF</w:t>
      </w:r>
      <w:r>
        <w:rPr>
          <w:snapToGrid w:val="0"/>
        </w:rPr>
        <w:t>.</w:t>
      </w:r>
      <w:r>
        <w:rPr>
          <w:snapToGrid w:val="0"/>
        </w:rPr>
        <w:tab/>
        <w:t>Claw</w:t>
      </w:r>
      <w:r>
        <w:rPr>
          <w:snapToGrid w:val="0"/>
        </w:rPr>
        <w:noBreakHyphen/>
        <w:t>back (Part IIIBA statements)</w:t>
      </w:r>
      <w:bookmarkEnd w:id="770"/>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r>
      <w:r>
        <w:rPr>
          <w:snapToGrid w:val="0"/>
        </w:rPr>
        <w:tab/>
        <w:t>If this section applies to a Part IIIBA statement —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rPr>
          <w:snapToGrid w:val="0"/>
        </w:rPr>
      </w:pPr>
      <w:r>
        <w:rPr>
          <w:snapToGrid w:val="0"/>
        </w:rPr>
        <w:tab/>
        <w:t>(d)</w:t>
      </w:r>
      <w:r>
        <w:rPr>
          <w:snapToGrid w:val="0"/>
        </w:rPr>
        <w:tab/>
        <w:t>these persons are jointly and severally liable to pay the duty and</w:t>
      </w:r>
      <w:r>
        <w:t xml:space="preserve"> penalty tax —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 xml:space="preserve">[Section 75JF inserted by No. 48 of 1996 s. 42; amended by No. 29 of 2000 s. 9; No. 10 of 2001 s. 172; No. 2 of 2003 s. 83; No. 66 of 2003 s. 56; No. 11 of 2004 s. 15.] </w:t>
      </w:r>
    </w:p>
    <w:p>
      <w:pPr>
        <w:pStyle w:val="Heading5"/>
        <w:rPr>
          <w:snapToGrid w:val="0"/>
        </w:rPr>
      </w:pPr>
      <w:bookmarkStart w:id="777" w:name="_Toc500739966"/>
      <w:bookmarkStart w:id="778" w:name="_Toc520101158"/>
      <w:bookmarkStart w:id="779" w:name="_Toc520533057"/>
      <w:bookmarkStart w:id="780" w:name="_Toc49223942"/>
      <w:bookmarkStart w:id="781" w:name="_Toc107054939"/>
      <w:bookmarkStart w:id="782" w:name="_Toc131416135"/>
      <w:bookmarkStart w:id="783" w:name="_Toc170193318"/>
      <w:r>
        <w:rPr>
          <w:rStyle w:val="CharSectno"/>
        </w:rPr>
        <w:t>75JG</w:t>
      </w:r>
      <w:r>
        <w:rPr>
          <w:snapToGrid w:val="0"/>
        </w:rPr>
        <w:t>.</w:t>
      </w:r>
      <w:r>
        <w:rPr>
          <w:snapToGrid w:val="0"/>
        </w:rPr>
        <w:tab/>
        <w:t>Offences and recovery of duty etc.</w:t>
      </w:r>
      <w:bookmarkEnd w:id="777"/>
      <w:bookmarkEnd w:id="778"/>
      <w:bookmarkEnd w:id="779"/>
      <w:bookmarkEnd w:id="780"/>
      <w:bookmarkEnd w:id="781"/>
      <w:bookmarkEnd w:id="782"/>
      <w:bookmarkEnd w:id="783"/>
      <w:r>
        <w:rPr>
          <w:snapToGrid w:val="0"/>
        </w:rPr>
        <w:t xml:space="preserve"> </w:t>
      </w:r>
    </w:p>
    <w:p>
      <w:pPr>
        <w:pStyle w:val="Subsection"/>
      </w:pPr>
      <w:r>
        <w:tab/>
        <w:t>(1)</w:t>
      </w:r>
      <w:r>
        <w:tab/>
        <w:t>If a person contravenes section 75JA(3)(c) or 75JB(4) or (5f)(c) —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 xml:space="preserve">[Section 75JG inserted by No. 48 of 1996 s. 42; amended by No. 29 of 2000 s. 10; No. 10 of 2001 s. 173; No. 2 of 2003 s. 84; No. 11 of 2005 s. 17.] </w:t>
      </w:r>
    </w:p>
    <w:p>
      <w:pPr>
        <w:pStyle w:val="Heading2"/>
      </w:pPr>
      <w:bookmarkStart w:id="784" w:name="_Toc58902596"/>
      <w:bookmarkStart w:id="785" w:name="_Toc76899609"/>
      <w:bookmarkStart w:id="786" w:name="_Toc78090511"/>
      <w:bookmarkStart w:id="787" w:name="_Toc88886879"/>
      <w:bookmarkStart w:id="788" w:name="_Toc90443495"/>
      <w:bookmarkStart w:id="789" w:name="_Toc90452846"/>
      <w:bookmarkStart w:id="790" w:name="_Toc100029437"/>
      <w:bookmarkStart w:id="791" w:name="_Toc100031510"/>
      <w:bookmarkStart w:id="792" w:name="_Toc100458569"/>
      <w:bookmarkStart w:id="793" w:name="_Toc101671985"/>
      <w:bookmarkStart w:id="794" w:name="_Toc101672242"/>
      <w:bookmarkStart w:id="795" w:name="_Toc102799268"/>
      <w:bookmarkStart w:id="796" w:name="_Toc102981942"/>
      <w:bookmarkStart w:id="797" w:name="_Toc103403255"/>
      <w:bookmarkStart w:id="798" w:name="_Toc103403512"/>
      <w:bookmarkStart w:id="799" w:name="_Toc103747511"/>
      <w:bookmarkStart w:id="800" w:name="_Toc107054940"/>
      <w:bookmarkStart w:id="801" w:name="_Toc113874387"/>
      <w:bookmarkStart w:id="802" w:name="_Toc113956803"/>
      <w:bookmarkStart w:id="803" w:name="_Toc116717359"/>
      <w:bookmarkStart w:id="804" w:name="_Toc116813386"/>
      <w:bookmarkStart w:id="805" w:name="_Toc122333038"/>
      <w:bookmarkStart w:id="806" w:name="_Toc122862008"/>
      <w:bookmarkStart w:id="807" w:name="_Toc122862604"/>
      <w:bookmarkStart w:id="808" w:name="_Toc122921211"/>
      <w:bookmarkStart w:id="809" w:name="_Toc122921471"/>
      <w:bookmarkStart w:id="810" w:name="_Toc122947416"/>
      <w:bookmarkStart w:id="811" w:name="_Toc124046252"/>
      <w:bookmarkStart w:id="812" w:name="_Toc131415837"/>
      <w:bookmarkStart w:id="813" w:name="_Toc131416136"/>
      <w:bookmarkStart w:id="814" w:name="_Toc170193319"/>
      <w:r>
        <w:rPr>
          <w:rStyle w:val="CharPartNo"/>
        </w:rPr>
        <w:t>Part IIIBA</w:t>
      </w:r>
      <w:r>
        <w:t> — </w:t>
      </w:r>
      <w:r>
        <w:rPr>
          <w:rStyle w:val="CharPartText"/>
        </w:rPr>
        <w:t>Duty on change of control of certain land</w:t>
      </w:r>
      <w:r>
        <w:rPr>
          <w:rStyle w:val="CharPartText"/>
        </w:rPr>
        <w:noBreakHyphen/>
        <w:t>owning corporations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PartText"/>
        </w:rPr>
        <w:t xml:space="preserve"> </w:t>
      </w:r>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815" w:name="_Toc58902597"/>
      <w:bookmarkStart w:id="816" w:name="_Toc76899610"/>
      <w:bookmarkStart w:id="817" w:name="_Toc78090512"/>
      <w:bookmarkStart w:id="818" w:name="_Toc88886880"/>
      <w:bookmarkStart w:id="819" w:name="_Toc90443496"/>
      <w:bookmarkStart w:id="820" w:name="_Toc90452847"/>
      <w:bookmarkStart w:id="821" w:name="_Toc100029438"/>
      <w:bookmarkStart w:id="822" w:name="_Toc100031511"/>
      <w:bookmarkStart w:id="823" w:name="_Toc100458570"/>
      <w:bookmarkStart w:id="824" w:name="_Toc101671986"/>
      <w:bookmarkStart w:id="825" w:name="_Toc101672243"/>
      <w:bookmarkStart w:id="826" w:name="_Toc102799269"/>
      <w:bookmarkStart w:id="827" w:name="_Toc102981943"/>
      <w:bookmarkStart w:id="828" w:name="_Toc103403256"/>
      <w:bookmarkStart w:id="829" w:name="_Toc103403513"/>
      <w:bookmarkStart w:id="830" w:name="_Toc103747512"/>
      <w:bookmarkStart w:id="831" w:name="_Toc107054941"/>
      <w:bookmarkStart w:id="832" w:name="_Toc113874388"/>
      <w:bookmarkStart w:id="833" w:name="_Toc113956804"/>
      <w:bookmarkStart w:id="834" w:name="_Toc116717360"/>
      <w:bookmarkStart w:id="835" w:name="_Toc116813387"/>
      <w:bookmarkStart w:id="836" w:name="_Toc122333039"/>
      <w:bookmarkStart w:id="837" w:name="_Toc122862009"/>
      <w:bookmarkStart w:id="838" w:name="_Toc122862605"/>
      <w:bookmarkStart w:id="839" w:name="_Toc122921212"/>
      <w:bookmarkStart w:id="840" w:name="_Toc122921472"/>
      <w:bookmarkStart w:id="841" w:name="_Toc122947417"/>
      <w:bookmarkStart w:id="842" w:name="_Toc124046253"/>
      <w:bookmarkStart w:id="843" w:name="_Toc131415838"/>
      <w:bookmarkStart w:id="844" w:name="_Toc131416137"/>
      <w:bookmarkStart w:id="845" w:name="_Toc170193320"/>
      <w:r>
        <w:rPr>
          <w:rStyle w:val="CharDivNo"/>
        </w:rPr>
        <w:t>Division 1</w:t>
      </w:r>
      <w:r>
        <w:rPr>
          <w:snapToGrid w:val="0"/>
        </w:rPr>
        <w:t> — </w:t>
      </w:r>
      <w:r>
        <w:rPr>
          <w:rStyle w:val="CharDivText"/>
        </w:rPr>
        <w:t xml:space="preserve">Provisions applicable to </w:t>
      </w:r>
      <w:bookmarkEnd w:id="815"/>
      <w:r>
        <w:rPr>
          <w:rStyle w:val="CharDivText"/>
        </w:rPr>
        <w:t>this Part</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Footnoteheading"/>
        <w:tabs>
          <w:tab w:val="left" w:pos="923"/>
        </w:tabs>
        <w:ind w:left="937" w:hanging="937"/>
        <w:rPr>
          <w:snapToGrid w:val="0"/>
        </w:rPr>
      </w:pPr>
      <w:r>
        <w:rPr>
          <w:snapToGrid w:val="0"/>
        </w:rPr>
        <w:tab/>
        <w:t xml:space="preserve">[Heading inserted by No. 33 of 1987 s. 22; amended by No. 11 of 2004 s. 16.] </w:t>
      </w:r>
    </w:p>
    <w:p>
      <w:pPr>
        <w:pStyle w:val="Heading5"/>
        <w:rPr>
          <w:snapToGrid w:val="0"/>
        </w:rPr>
      </w:pPr>
      <w:bookmarkStart w:id="846" w:name="_Toc500739967"/>
      <w:bookmarkStart w:id="847" w:name="_Toc520101159"/>
      <w:bookmarkStart w:id="848" w:name="_Toc520533058"/>
      <w:bookmarkStart w:id="849" w:name="_Toc49223943"/>
      <w:bookmarkStart w:id="850" w:name="_Toc107054942"/>
      <w:bookmarkStart w:id="851" w:name="_Toc131416138"/>
      <w:bookmarkStart w:id="852" w:name="_Toc170193321"/>
      <w:r>
        <w:rPr>
          <w:rStyle w:val="CharSectno"/>
        </w:rPr>
        <w:t>76</w:t>
      </w:r>
      <w:r>
        <w:rPr>
          <w:snapToGrid w:val="0"/>
        </w:rPr>
        <w:t>.</w:t>
      </w:r>
      <w:r>
        <w:rPr>
          <w:snapToGrid w:val="0"/>
        </w:rPr>
        <w:tab/>
        <w:t>Interpretation in Part IIIBA</w:t>
      </w:r>
      <w:bookmarkEnd w:id="846"/>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3</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rPr>
          <w:snapToGrid w:val="0"/>
        </w:rPr>
      </w:pPr>
      <w:r>
        <w:rPr>
          <w:snapToGrid w:val="0"/>
        </w:rPr>
        <w:tab/>
        <w:t>(2)</w:t>
      </w:r>
      <w:r>
        <w:rPr>
          <w:snapToGrid w:val="0"/>
        </w:rPr>
        <w:tab/>
        <w:t>For the purposes of sections 76AI(3)(c)</w:t>
      </w:r>
      <w:r>
        <w:t xml:space="preserve">, 76AP(3)(c), 76ATB(4)(d) and 76ATI(4)(d) </w:t>
      </w:r>
      <w:r>
        <w:rPr>
          <w:snapToGrid w:val="0"/>
        </w:rPr>
        <w:t>the following — </w:t>
      </w:r>
    </w:p>
    <w:p>
      <w:pPr>
        <w:pStyle w:val="Indenta"/>
        <w:rPr>
          <w:snapToGrid w:val="0"/>
        </w:rPr>
      </w:pPr>
      <w:r>
        <w:rPr>
          <w:snapToGrid w:val="0"/>
        </w:rPr>
        <w:tab/>
        <w:t>(a)</w:t>
      </w:r>
      <w:r>
        <w:rPr>
          <w:snapToGrid w:val="0"/>
        </w:rPr>
        <w:tab/>
        <w:t>are associated persons in relation to a corporation —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keepNext/>
        <w:keepLines/>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keepNext/>
        <w:rPr>
          <w:snapToGrid w:val="0"/>
        </w:rPr>
      </w:pPr>
      <w:r>
        <w:rPr>
          <w:snapToGrid w:val="0"/>
        </w:rPr>
        <w:tab/>
        <w:t>(4)</w:t>
      </w:r>
      <w:r>
        <w:rPr>
          <w:snapToGrid w:val="0"/>
        </w:rPr>
        <w:tab/>
        <w:t>For the purposes of subsections (2) and (3) —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8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8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 xml:space="preserve">[Section 76 inserted by No. 33 of 1987 s. 22; amended by No. 39 of 1994 s. 21; No. 57 of 1996 s. 7; No. 13 of 1997 s. 32 and 42; No. 22 of 1998 s. 36; No. 60 of 2000 s. 4; No. 10 of 2001 s. 174; No. 2 of 2003 s. 85; No. 28 of 2003 s. 192; No. 66 of 2003 s. 57; No. 11 of 2004 s. 17.] </w:t>
      </w:r>
    </w:p>
    <w:p>
      <w:pPr>
        <w:pStyle w:val="Heading5"/>
      </w:pPr>
      <w:bookmarkStart w:id="853" w:name="_Toc49223944"/>
      <w:bookmarkStart w:id="854" w:name="_Toc107054943"/>
      <w:bookmarkStart w:id="855" w:name="_Toc131416139"/>
      <w:bookmarkStart w:id="856" w:name="_Toc170193322"/>
      <w:r>
        <w:rPr>
          <w:rStyle w:val="CharSectno"/>
        </w:rPr>
        <w:t>76A</w:t>
      </w:r>
      <w:r>
        <w:t>.</w:t>
      </w:r>
      <w:r>
        <w:tab/>
        <w:t>Relevant acquisitions by trustees</w:t>
      </w:r>
      <w:bookmarkEnd w:id="853"/>
      <w:bookmarkEnd w:id="854"/>
      <w:bookmarkEnd w:id="855"/>
      <w:bookmarkEnd w:id="856"/>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 xml:space="preserve">If the combined interest in the WA company or corporation of a beneficiary and any person related to the beneficiary is greater than the combined interest of the trustee and any person related to the trustee —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857" w:name="_Toc49223945"/>
      <w:bookmarkStart w:id="858" w:name="_Toc107054944"/>
      <w:bookmarkStart w:id="859" w:name="_Toc131416140"/>
      <w:bookmarkStart w:id="860" w:name="_Toc170193323"/>
      <w:r>
        <w:rPr>
          <w:rStyle w:val="CharSectno"/>
        </w:rPr>
        <w:t>76AA</w:t>
      </w:r>
      <w:r>
        <w:t>.</w:t>
      </w:r>
      <w:r>
        <w:tab/>
        <w:t>Assessment in the absence of a dutiable statement</w:t>
      </w:r>
      <w:bookmarkEnd w:id="857"/>
      <w:bookmarkEnd w:id="858"/>
      <w:bookmarkEnd w:id="859"/>
      <w:bookmarkEnd w:id="860"/>
      <w:r>
        <w:t xml:space="preserve"> </w:t>
      </w:r>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 </w:t>
      </w:r>
    </w:p>
    <w:p>
      <w:pPr>
        <w:pStyle w:val="Indenta"/>
        <w:spacing w:before="60"/>
      </w:pPr>
      <w:r>
        <w:tab/>
        <w:t>(a)</w:t>
      </w:r>
      <w:r>
        <w:tab/>
        <w:t>the corporation were a corporation to which Division 3 or 3b applies;</w:t>
      </w:r>
    </w:p>
    <w:p>
      <w:pPr>
        <w:pStyle w:val="Indenta"/>
        <w:spacing w:before="60"/>
      </w:pPr>
      <w:r>
        <w:tab/>
        <w:t>(b)</w:t>
      </w:r>
      <w:r>
        <w:tab/>
        <w:t xml:space="preserve">an acquisition had occurred; and </w:t>
      </w:r>
    </w:p>
    <w:p>
      <w:pPr>
        <w:pStyle w:val="Indenta"/>
        <w:spacing w:before="60"/>
      </w:pPr>
      <w:r>
        <w:tab/>
        <w:t>(c)</w:t>
      </w:r>
      <w:r>
        <w:tab/>
        <w:t xml:space="preserve">the acquisition resulted in a person having an entitlement referred to in section 76AR(1) or 76ATK(1) to such an extent as the Commissioner may determine. </w:t>
      </w:r>
    </w:p>
    <w:p>
      <w:pPr>
        <w:pStyle w:val="Footnotesection"/>
      </w:pPr>
      <w:r>
        <w:tab/>
        <w:t>[Section 76AA inserted by No. 2 of 2003 s. 86; amended by No. 66 of 2003 s. 59; No. 11 of 2004 s. 19.]</w:t>
      </w:r>
    </w:p>
    <w:p>
      <w:pPr>
        <w:pStyle w:val="Heading5"/>
      </w:pPr>
      <w:bookmarkStart w:id="861" w:name="_Toc107054945"/>
      <w:bookmarkStart w:id="862" w:name="_Toc131416141"/>
      <w:bookmarkStart w:id="863" w:name="_Toc170193324"/>
      <w:r>
        <w:rPr>
          <w:rStyle w:val="CharSectno"/>
        </w:rPr>
        <w:t>76AB</w:t>
      </w:r>
      <w:r>
        <w:t>.</w:t>
      </w:r>
      <w:r>
        <w:tab/>
        <w:t>Request that Commissioner determine whether dutiable statement is required to be lodged</w:t>
      </w:r>
      <w:bookmarkEnd w:id="861"/>
      <w:bookmarkEnd w:id="862"/>
      <w:bookmarkEnd w:id="863"/>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 xml:space="preserve">A request under subsection (1) must be made in an approved form and must include — </w:t>
      </w:r>
    </w:p>
    <w:p>
      <w:pPr>
        <w:pStyle w:val="Indenta"/>
        <w:spacing w:before="60"/>
      </w:pPr>
      <w:r>
        <w:tab/>
        <w:t>(a)</w:t>
      </w:r>
      <w:r>
        <w:tab/>
        <w:t xml:space="preserve">the information that would be required under — </w:t>
      </w:r>
    </w:p>
    <w:p>
      <w:pPr>
        <w:pStyle w:val="Indenti"/>
        <w:spacing w:before="60"/>
      </w:pPr>
      <w:r>
        <w:tab/>
        <w:t>(i)</w:t>
      </w:r>
      <w:r>
        <w:tab/>
        <w:t>section 76AG(4)(a) to (f);</w:t>
      </w:r>
    </w:p>
    <w:p>
      <w:pPr>
        <w:pStyle w:val="Indenti"/>
      </w:pPr>
      <w:r>
        <w:tab/>
        <w:t>(ii)</w:t>
      </w:r>
      <w:r>
        <w:tab/>
        <w:t xml:space="preserve">section 76AN(3)(a) to (f); </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 xml:space="preserve">If a request is made by a person under subsection (1) as to whether a dutiable statement is required to be lodged by that person and that request complies with subsection (2) —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 xml:space="preserve">If at the end of the specified period the Commissioner does not have sufficient information and evidence to make the requested determination —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864" w:name="_Toc58902601"/>
      <w:bookmarkStart w:id="865" w:name="_Toc76899615"/>
      <w:bookmarkStart w:id="866" w:name="_Toc78090517"/>
      <w:bookmarkStart w:id="867" w:name="_Toc88886885"/>
      <w:bookmarkStart w:id="868" w:name="_Toc90443501"/>
      <w:bookmarkStart w:id="869" w:name="_Toc90452852"/>
      <w:bookmarkStart w:id="870" w:name="_Toc100029443"/>
      <w:bookmarkStart w:id="871" w:name="_Toc100031516"/>
      <w:bookmarkStart w:id="872" w:name="_Toc100458575"/>
      <w:bookmarkStart w:id="873" w:name="_Toc101671991"/>
      <w:bookmarkStart w:id="874" w:name="_Toc101672248"/>
      <w:bookmarkStart w:id="875" w:name="_Toc102799274"/>
      <w:bookmarkStart w:id="876" w:name="_Toc102981948"/>
      <w:bookmarkStart w:id="877" w:name="_Toc103403261"/>
      <w:bookmarkStart w:id="878" w:name="_Toc103403518"/>
      <w:bookmarkStart w:id="879" w:name="_Toc103747517"/>
      <w:bookmarkStart w:id="880" w:name="_Toc107054946"/>
      <w:bookmarkStart w:id="881" w:name="_Toc113874393"/>
      <w:bookmarkStart w:id="882" w:name="_Toc113956809"/>
      <w:bookmarkStart w:id="883" w:name="_Toc116717365"/>
      <w:bookmarkStart w:id="884" w:name="_Toc116813392"/>
      <w:bookmarkStart w:id="885" w:name="_Toc122333044"/>
      <w:bookmarkStart w:id="886" w:name="_Toc122862014"/>
      <w:bookmarkStart w:id="887" w:name="_Toc122862610"/>
      <w:bookmarkStart w:id="888" w:name="_Toc122921217"/>
      <w:bookmarkStart w:id="889" w:name="_Toc122921477"/>
      <w:bookmarkStart w:id="890" w:name="_Toc122947422"/>
      <w:bookmarkStart w:id="891" w:name="_Toc124046258"/>
      <w:bookmarkStart w:id="892" w:name="_Toc131415843"/>
      <w:bookmarkStart w:id="893" w:name="_Toc131416142"/>
      <w:bookmarkStart w:id="894" w:name="_Toc170193325"/>
      <w:r>
        <w:rPr>
          <w:rStyle w:val="CharDivNo"/>
        </w:rPr>
        <w:t>Division 2</w:t>
      </w:r>
      <w:r>
        <w:rPr>
          <w:snapToGrid w:val="0"/>
        </w:rPr>
        <w:t> — </w:t>
      </w:r>
      <w:r>
        <w:rPr>
          <w:rStyle w:val="CharDivText"/>
        </w:rPr>
        <w:t>Companies taken to be registered in Western Australia</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Footnoteheading"/>
        <w:tabs>
          <w:tab w:val="left" w:pos="923"/>
        </w:tabs>
        <w:ind w:left="937" w:hanging="937"/>
        <w:rPr>
          <w:snapToGrid w:val="0"/>
        </w:rPr>
      </w:pPr>
      <w:r>
        <w:rPr>
          <w:snapToGrid w:val="0"/>
        </w:rPr>
        <w:tab/>
        <w:t xml:space="preserve">[Heading inserted by No. 33 of 1987 s. 22; amended by No. 10 of 2001 s. 175; No. 2 of 2003 s. 87.] </w:t>
      </w:r>
    </w:p>
    <w:p>
      <w:pPr>
        <w:pStyle w:val="Heading5"/>
        <w:rPr>
          <w:snapToGrid w:val="0"/>
        </w:rPr>
      </w:pPr>
      <w:bookmarkStart w:id="895" w:name="_Toc500739975"/>
      <w:bookmarkStart w:id="896" w:name="_Toc520101167"/>
      <w:bookmarkStart w:id="897" w:name="_Toc520533066"/>
      <w:bookmarkStart w:id="898" w:name="_Toc49223946"/>
      <w:bookmarkStart w:id="899" w:name="_Toc107054947"/>
      <w:bookmarkStart w:id="900" w:name="_Toc131416143"/>
      <w:bookmarkStart w:id="901" w:name="_Toc170193326"/>
      <w:r>
        <w:rPr>
          <w:rStyle w:val="CharSectno"/>
        </w:rPr>
        <w:t>76AG</w:t>
      </w:r>
      <w:r>
        <w:rPr>
          <w:snapToGrid w:val="0"/>
        </w:rPr>
        <w:t>.</w:t>
      </w:r>
      <w:r>
        <w:rPr>
          <w:snapToGrid w:val="0"/>
        </w:rPr>
        <w:tab/>
      </w:r>
      <w:bookmarkEnd w:id="895"/>
      <w:bookmarkEnd w:id="896"/>
      <w:bookmarkEnd w:id="897"/>
      <w:bookmarkEnd w:id="898"/>
      <w:r>
        <w:rPr>
          <w:snapToGrid w:val="0"/>
        </w:rPr>
        <w:t>Preparation of dutiable statement</w:t>
      </w:r>
      <w:bookmarkEnd w:id="899"/>
      <w:bookmarkEnd w:id="900"/>
      <w:bookmarkEnd w:id="901"/>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 xml:space="preserve">; </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 xml:space="preserve">[Section 76AG inserted by No. 33 of 1987 s. 22; amended by No. 41 of 1989 s. 15; No. 39 of 1994 s. 21; No. 22 of 1998 s. 38 and 39; No. 60 of 2000 s. 7; No. 3 of 2001 s. 20; No. 2 of 2003 s. 88; No. 66 of 2003 s. 61.] </w:t>
      </w:r>
    </w:p>
    <w:p>
      <w:pPr>
        <w:pStyle w:val="Heading5"/>
        <w:rPr>
          <w:snapToGrid w:val="0"/>
        </w:rPr>
      </w:pPr>
      <w:bookmarkStart w:id="902" w:name="_Toc500739976"/>
      <w:bookmarkStart w:id="903" w:name="_Toc520101168"/>
      <w:bookmarkStart w:id="904" w:name="_Toc520533067"/>
      <w:bookmarkStart w:id="905" w:name="_Toc49223947"/>
      <w:bookmarkStart w:id="906" w:name="_Toc107054948"/>
      <w:bookmarkStart w:id="907" w:name="_Toc131416144"/>
      <w:bookmarkStart w:id="908" w:name="_Toc170193327"/>
      <w:r>
        <w:rPr>
          <w:rStyle w:val="CharSectno"/>
        </w:rPr>
        <w:t>76AH</w:t>
      </w:r>
      <w:r>
        <w:rPr>
          <w:snapToGrid w:val="0"/>
        </w:rPr>
        <w:t>.</w:t>
      </w:r>
      <w:r>
        <w:rPr>
          <w:snapToGrid w:val="0"/>
        </w:rPr>
        <w:tab/>
        <w:t>Statement chargeable with duty</w:t>
      </w:r>
      <w:bookmarkEnd w:id="902"/>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A </w:t>
      </w:r>
      <w:r>
        <w:t>section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 </w:t>
      </w:r>
    </w:p>
    <w:p>
      <w:pPr>
        <w:pStyle w:val="Indenta"/>
      </w:pPr>
      <w:r>
        <w:tab/>
        <w:t>(aa)</w:t>
      </w:r>
      <w:r>
        <w:tab/>
        <w:t xml:space="preserve">where the section 76AG statement relates to a relevant acquisition within section 76AJ(1)(a)(ii), the duty —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 </w:t>
      </w:r>
    </w:p>
    <w:p>
      <w:pPr>
        <w:pStyle w:val="Equation"/>
        <w:tabs>
          <w:tab w:val="left" w:pos="1418"/>
        </w:tabs>
        <w:spacing w:before="80"/>
      </w:pPr>
      <w:r>
        <w:tab/>
      </w:r>
      <w:r>
        <w:rPr>
          <w:position w:val="-26"/>
        </w:rPr>
        <w:object w:dxaOrig="1620" w:dyaOrig="600">
          <v:shape id="_x0000_i1030" type="#_x0000_t75" style="width:81pt;height:30pt" o:ole="" fillcolor="window">
            <v:imagedata r:id="rId29" o:title=""/>
          </v:shape>
          <o:OLEObject Type="Embed" ProgID="Equation.3" ShapeID="_x0000_i1030" DrawAspect="Content" ObjectID="_1643744733" r:id="rId30"/>
        </w:object>
      </w:r>
    </w:p>
    <w:p>
      <w:pPr>
        <w:pStyle w:val="Subsection"/>
        <w:keepNext/>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 xml:space="preserve">[Section 76AH inserted by No. 33 of 1987 s. 22; amended by No. 39 of 1994 s. 14 and 21; No. 22 of 1998 s. 38 and 40; No. 60 of 2000 s. 8; No. 36 of 2001 s. 22; No. 2 of 2003 s. 89; No. 66 of 2003 s. 62; No. 11 of 2004 s. 21.] </w:t>
      </w:r>
    </w:p>
    <w:p>
      <w:pPr>
        <w:pStyle w:val="Heading5"/>
        <w:spacing w:before="200"/>
        <w:rPr>
          <w:snapToGrid w:val="0"/>
        </w:rPr>
      </w:pPr>
      <w:bookmarkStart w:id="909" w:name="_Toc500739977"/>
      <w:bookmarkStart w:id="910" w:name="_Toc520101169"/>
      <w:bookmarkStart w:id="911" w:name="_Toc520533068"/>
      <w:bookmarkStart w:id="912" w:name="_Toc49223948"/>
      <w:bookmarkStart w:id="913" w:name="_Toc107054949"/>
      <w:bookmarkStart w:id="914" w:name="_Toc131416145"/>
      <w:bookmarkStart w:id="915" w:name="_Toc170193328"/>
      <w:r>
        <w:rPr>
          <w:rStyle w:val="CharSectno"/>
        </w:rPr>
        <w:t>76AI</w:t>
      </w:r>
      <w:r>
        <w:rPr>
          <w:snapToGrid w:val="0"/>
        </w:rPr>
        <w:t>.</w:t>
      </w:r>
      <w:r>
        <w:rPr>
          <w:snapToGrid w:val="0"/>
        </w:rPr>
        <w:tab/>
        <w:t>Companies to which this Division applies</w:t>
      </w:r>
      <w:bookmarkEnd w:id="909"/>
      <w:bookmarkEnd w:id="910"/>
      <w:bookmarkEnd w:id="911"/>
      <w:bookmarkEnd w:id="912"/>
      <w:bookmarkEnd w:id="913"/>
      <w:bookmarkEnd w:id="914"/>
      <w:bookmarkEnd w:id="915"/>
      <w:r>
        <w:rPr>
          <w:snapToGrid w:val="0"/>
        </w:rPr>
        <w:t xml:space="preserve"> </w:t>
      </w:r>
    </w:p>
    <w:p>
      <w:pPr>
        <w:pStyle w:val="Subsection"/>
      </w:pPr>
      <w:r>
        <w:tab/>
        <w:t>(1)</w:t>
      </w:r>
      <w:r>
        <w:tab/>
        <w:t>This Division applies to a WA company if it is a land</w:t>
      </w:r>
      <w:r>
        <w:noBreakHyphen/>
        <w:t xml:space="preserve">holder within the meaning in subsection (2) unless —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 xml:space="preserve">For the purposes of subsection (1)(b) the Commissioner may take into account any matter that the Commissioner considers is relevant but must take into account —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 xml:space="preserve">[Section 76AI inserted by No. 33 of 1987 s. 22; amended by No. 39 of 1994 s. 21; No. 57 of 1997 s. 113(2); No. 53 of 1999 s. 23; No. 60 of 2000 s. 9; No. 3 of 2001 s. 25; No. 10 of 2001 s. 176; No. 2 of 2003 s. 90; No. 21 of 2003 s. 28; No. 66 of 2003 s. 63; No. 11 of 2004 s. 22; No. 11 of 2005 s. 18, 19 and 22.] </w:t>
      </w:r>
    </w:p>
    <w:p>
      <w:pPr>
        <w:pStyle w:val="Heading5"/>
      </w:pPr>
      <w:bookmarkStart w:id="916" w:name="_Toc500739978"/>
      <w:bookmarkStart w:id="917" w:name="_Toc520101170"/>
      <w:bookmarkStart w:id="918" w:name="_Toc520533069"/>
      <w:bookmarkStart w:id="919" w:name="_Toc49223949"/>
      <w:bookmarkStart w:id="920" w:name="_Toc107054950"/>
      <w:bookmarkStart w:id="921" w:name="_Toc131416146"/>
      <w:bookmarkStart w:id="922" w:name="_Toc170193329"/>
      <w:r>
        <w:rPr>
          <w:rStyle w:val="CharSectno"/>
        </w:rPr>
        <w:t>76AJ</w:t>
      </w:r>
      <w:r>
        <w:t>.</w:t>
      </w:r>
      <w:r>
        <w:tab/>
        <w:t>Meaning of “</w:t>
      </w:r>
      <w:r>
        <w:rPr>
          <w:rStyle w:val="CharDefText"/>
          <w:b/>
        </w:rPr>
        <w:t>relevant acquisition</w:t>
      </w:r>
      <w:r>
        <w:t>”</w:t>
      </w:r>
      <w:bookmarkEnd w:id="916"/>
      <w:bookmarkEnd w:id="917"/>
      <w:bookmarkEnd w:id="918"/>
      <w:bookmarkEnd w:id="919"/>
      <w:bookmarkEnd w:id="920"/>
      <w:bookmarkEnd w:id="921"/>
      <w:bookmarkEnd w:id="922"/>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923" w:author="Isobel Bond" w:date="2006-03-27T14:07: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fldChar w:fldCharType="begin"/>
      </w:r>
      <w:r>
        <w:instrText xml:space="preserve"> LISTNUM DefinitionNumbers \l1 </w:instrText>
      </w:r>
      <w:r>
        <w:fldChar w:fldCharType="end">
          <w:numberingChange w:id="924" w:author="Isobel Bond" w:date="2006-03-27T14:07:00Z" w:original=""/>
        </w:fldChar>
      </w: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925" w:name="_Toc500739979"/>
      <w:bookmarkStart w:id="926" w:name="_Toc520101171"/>
      <w:bookmarkStart w:id="927" w:name="_Toc520533070"/>
      <w:bookmarkStart w:id="928" w:name="_Toc49223950"/>
      <w:bookmarkStart w:id="929" w:name="_Toc107054951"/>
      <w:bookmarkStart w:id="930" w:name="_Toc131416147"/>
      <w:bookmarkStart w:id="931" w:name="_Toc170193330"/>
      <w:r>
        <w:rPr>
          <w:rStyle w:val="CharSectno"/>
        </w:rPr>
        <w:t>76AK</w:t>
      </w:r>
      <w:r>
        <w:t>.</w:t>
      </w:r>
      <w:r>
        <w:tab/>
        <w:t>Meaning of “</w:t>
      </w:r>
      <w:r>
        <w:rPr>
          <w:rStyle w:val="CharDefText"/>
          <w:b/>
        </w:rPr>
        <w:t>interest</w:t>
      </w:r>
      <w:r>
        <w:t>”, “majority interest” or “</w:t>
      </w:r>
      <w:r>
        <w:rPr>
          <w:rStyle w:val="CharDefText"/>
          <w:b/>
        </w:rPr>
        <w:t>further interest</w:t>
      </w:r>
      <w:bookmarkEnd w:id="925"/>
      <w:bookmarkEnd w:id="926"/>
      <w:bookmarkEnd w:id="927"/>
      <w:bookmarkEnd w:id="928"/>
      <w:r>
        <w:t>”</w:t>
      </w:r>
      <w:bookmarkEnd w:id="929"/>
      <w:bookmarkEnd w:id="930"/>
      <w:bookmarkEnd w:id="931"/>
      <w:r>
        <w:t xml:space="preserve"> </w:t>
      </w:r>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932" w:name="_Toc500739980"/>
      <w:bookmarkStart w:id="933" w:name="_Toc520101172"/>
      <w:bookmarkStart w:id="934" w:name="_Toc520533071"/>
      <w:bookmarkStart w:id="935" w:name="_Toc49223951"/>
      <w:bookmarkStart w:id="936" w:name="_Toc107054952"/>
      <w:bookmarkStart w:id="937" w:name="_Toc131416148"/>
      <w:bookmarkStart w:id="938" w:name="_Toc170193331"/>
      <w:r>
        <w:rPr>
          <w:rStyle w:val="CharSectno"/>
        </w:rPr>
        <w:t>76AL</w:t>
      </w:r>
      <w:r>
        <w:rPr>
          <w:snapToGrid w:val="0"/>
        </w:rPr>
        <w:t>.</w:t>
      </w:r>
      <w:r>
        <w:rPr>
          <w:snapToGrid w:val="0"/>
        </w:rPr>
        <w:tab/>
        <w:t>How dutiable value is determined</w:t>
      </w:r>
      <w:bookmarkEnd w:id="932"/>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 xml:space="preserve">Where the relevant acquisition is within section 76AJ(1)(a)(ii) the dutiable value —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 xml:space="preserve">[Section 76AL inserted by No. 33 of 1987 s. 22; amended by No. 39 of 1994 s. 21; No. 22 of 1998 s. 38; No. 60 of 2000 s. 11; No. 2 of 2003 s. 91; No. 11 of 2004 s. 24.] </w:t>
      </w:r>
    </w:p>
    <w:p>
      <w:pPr>
        <w:pStyle w:val="Heading5"/>
        <w:rPr>
          <w:snapToGrid w:val="0"/>
        </w:rPr>
      </w:pPr>
      <w:bookmarkStart w:id="939" w:name="_Toc500739981"/>
      <w:bookmarkStart w:id="940" w:name="_Toc520101173"/>
      <w:bookmarkStart w:id="941" w:name="_Toc520533072"/>
      <w:bookmarkStart w:id="942" w:name="_Toc49223952"/>
      <w:bookmarkStart w:id="943" w:name="_Toc107054953"/>
      <w:bookmarkStart w:id="944" w:name="_Toc131416149"/>
      <w:bookmarkStart w:id="945" w:name="_Toc170193332"/>
      <w:r>
        <w:rPr>
          <w:rStyle w:val="CharSectno"/>
        </w:rPr>
        <w:t>76AM</w:t>
      </w:r>
      <w:r>
        <w:rPr>
          <w:snapToGrid w:val="0"/>
        </w:rPr>
        <w:t>.</w:t>
      </w:r>
      <w:r>
        <w:rPr>
          <w:snapToGrid w:val="0"/>
        </w:rPr>
        <w:tab/>
        <w:t>Liability for duty</w:t>
      </w:r>
      <w:bookmarkEnd w:id="939"/>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 xml:space="preserve">[Section 76AM inserted by No. 33 of 1987 s. 22; amended by No. 39 of 1994 s. 21; No. 60 of 2000 s. 12; No. 2 of 2003 s. 92; No. 66 of 2003 s. 65.] </w:t>
      </w:r>
    </w:p>
    <w:p>
      <w:pPr>
        <w:pStyle w:val="Heading3"/>
        <w:keepLines/>
      </w:pPr>
      <w:bookmarkStart w:id="946" w:name="_Toc58902609"/>
      <w:bookmarkStart w:id="947" w:name="_Toc76899623"/>
      <w:bookmarkStart w:id="948" w:name="_Toc78090525"/>
      <w:bookmarkStart w:id="949" w:name="_Toc88886893"/>
      <w:bookmarkStart w:id="950" w:name="_Toc90443509"/>
      <w:bookmarkStart w:id="951" w:name="_Toc90452860"/>
      <w:bookmarkStart w:id="952" w:name="_Toc100029451"/>
      <w:bookmarkStart w:id="953" w:name="_Toc100031524"/>
      <w:bookmarkStart w:id="954" w:name="_Toc100458583"/>
      <w:bookmarkStart w:id="955" w:name="_Toc101671999"/>
      <w:bookmarkStart w:id="956" w:name="_Toc101672256"/>
      <w:bookmarkStart w:id="957" w:name="_Toc102799282"/>
      <w:bookmarkStart w:id="958" w:name="_Toc102981956"/>
      <w:bookmarkStart w:id="959" w:name="_Toc103403269"/>
      <w:bookmarkStart w:id="960" w:name="_Toc103403526"/>
      <w:bookmarkStart w:id="961" w:name="_Toc103747525"/>
      <w:bookmarkStart w:id="962" w:name="_Toc107054954"/>
      <w:bookmarkStart w:id="963" w:name="_Toc113874401"/>
      <w:bookmarkStart w:id="964" w:name="_Toc113956817"/>
      <w:bookmarkStart w:id="965" w:name="_Toc116717373"/>
      <w:bookmarkStart w:id="966" w:name="_Toc116813400"/>
      <w:bookmarkStart w:id="967" w:name="_Toc122333052"/>
      <w:bookmarkStart w:id="968" w:name="_Toc122862022"/>
      <w:bookmarkStart w:id="969" w:name="_Toc122862618"/>
      <w:bookmarkStart w:id="970" w:name="_Toc122921225"/>
      <w:bookmarkStart w:id="971" w:name="_Toc122921485"/>
      <w:bookmarkStart w:id="972" w:name="_Toc122947430"/>
      <w:bookmarkStart w:id="973" w:name="_Toc124046266"/>
      <w:bookmarkStart w:id="974" w:name="_Toc131415851"/>
      <w:bookmarkStart w:id="975" w:name="_Toc131416150"/>
      <w:bookmarkStart w:id="976" w:name="_Toc170193333"/>
      <w:bookmarkStart w:id="977" w:name="_Toc500739982"/>
      <w:r>
        <w:rPr>
          <w:rStyle w:val="CharDivNo"/>
        </w:rPr>
        <w:t>Division 3</w:t>
      </w:r>
      <w:r>
        <w:t> — </w:t>
      </w:r>
      <w:r>
        <w:rPr>
          <w:rStyle w:val="CharDivText"/>
        </w:rPr>
        <w:t>Corporations incorporated, or taken to be registered, outside Western Australia, and certain other companies not within Division 2</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Pr>
          <w:rStyle w:val="CharDivText"/>
        </w:rPr>
        <w:t xml:space="preserve"> </w:t>
      </w:r>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978" w:name="_Toc520101174"/>
      <w:bookmarkStart w:id="979" w:name="_Toc520533073"/>
      <w:bookmarkStart w:id="980" w:name="_Toc49223953"/>
      <w:bookmarkStart w:id="981" w:name="_Toc107054955"/>
      <w:bookmarkStart w:id="982" w:name="_Toc131416151"/>
      <w:bookmarkStart w:id="983" w:name="_Toc170193334"/>
      <w:r>
        <w:rPr>
          <w:rStyle w:val="CharSectno"/>
        </w:rPr>
        <w:t>76AN</w:t>
      </w:r>
      <w:r>
        <w:rPr>
          <w:snapToGrid w:val="0"/>
        </w:rPr>
        <w:t>.</w:t>
      </w:r>
      <w:r>
        <w:rPr>
          <w:snapToGrid w:val="0"/>
        </w:rPr>
        <w:tab/>
      </w:r>
      <w:bookmarkEnd w:id="977"/>
      <w:bookmarkEnd w:id="978"/>
      <w:bookmarkEnd w:id="979"/>
      <w:bookmarkEnd w:id="980"/>
      <w:r>
        <w:rPr>
          <w:snapToGrid w:val="0"/>
        </w:rPr>
        <w:t>Preparation of dutiable statement</w:t>
      </w:r>
      <w:bookmarkEnd w:id="981"/>
      <w:bookmarkEnd w:id="982"/>
      <w:bookmarkEnd w:id="983"/>
      <w:r>
        <w:rPr>
          <w:snapToGrid w:val="0"/>
        </w:rPr>
        <w:t xml:space="preserve"> </w:t>
      </w:r>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 xml:space="preserve">the corporation’s estimate of the unencumbered value of those chattels; </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984" w:name="_Toc500739983"/>
      <w:bookmarkStart w:id="985" w:name="_Toc520101175"/>
      <w:bookmarkStart w:id="986" w:name="_Toc520533074"/>
      <w:bookmarkStart w:id="987" w:name="_Toc49223954"/>
      <w:bookmarkStart w:id="988" w:name="_Toc107054956"/>
      <w:bookmarkStart w:id="989" w:name="_Toc131416152"/>
      <w:bookmarkStart w:id="990" w:name="_Toc170193335"/>
      <w:r>
        <w:rPr>
          <w:rStyle w:val="CharSectno"/>
        </w:rPr>
        <w:t>76AO</w:t>
      </w:r>
      <w:r>
        <w:rPr>
          <w:snapToGrid w:val="0"/>
        </w:rPr>
        <w:t>.</w:t>
      </w:r>
      <w:r>
        <w:rPr>
          <w:snapToGrid w:val="0"/>
        </w:rPr>
        <w:tab/>
        <w:t>Statement chargeable with duty</w:t>
      </w:r>
      <w:bookmarkEnd w:id="984"/>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 </w:t>
      </w:r>
    </w:p>
    <w:p>
      <w:pPr>
        <w:pStyle w:val="Indenta"/>
      </w:pPr>
      <w:r>
        <w:tab/>
        <w:t>(aa)</w:t>
      </w:r>
      <w:r>
        <w:tab/>
        <w:t xml:space="preserve">where the section 76AN statement relates to a relevant acquisition within section 76AQ(1)(a)(ii), the duty —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keepNext/>
        <w:keepLines/>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after="6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 </w:t>
      </w:r>
    </w:p>
    <w:p>
      <w:pPr>
        <w:pStyle w:val="Equation"/>
        <w:tabs>
          <w:tab w:val="left" w:pos="1418"/>
        </w:tabs>
        <w:spacing w:before="60"/>
        <w:rPr>
          <w:snapToGrid w:val="0"/>
        </w:rPr>
      </w:pPr>
      <w:r>
        <w:rPr>
          <w:snapToGrid w:val="0"/>
        </w:rPr>
        <w:tab/>
      </w:r>
      <w:r>
        <w:rPr>
          <w:snapToGrid w:val="0"/>
          <w:position w:val="-26"/>
        </w:rPr>
        <w:object w:dxaOrig="1660" w:dyaOrig="600">
          <v:shape id="_x0000_i1031" type="#_x0000_t75" style="width:83.25pt;height:30pt" o:ole="">
            <v:imagedata r:id="rId31" o:title=""/>
          </v:shape>
          <o:OLEObject Type="Embed" ProgID="Equation.3" ShapeID="_x0000_i1031" DrawAspect="Content" ObjectID="_1643744734" r:id="rId32"/>
        </w:object>
      </w:r>
    </w:p>
    <w:p>
      <w:pPr>
        <w:pStyle w:val="Subsection"/>
        <w:keepNext/>
        <w:spacing w:before="140"/>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 xml:space="preserve">[Section 76AO inserted by No. 33 of 1987 s. 22; amended by No. 39 of 1994 s. 14; No. 22 of 1998 s. 38 and 42; No. 60 of 2000 s. 14; No. 36 of 2001 s. 22; No. 2 of 2003 s. 95; No. 66 of 2003 s. 67; No. 11 of 2004 s. 25.] </w:t>
      </w:r>
    </w:p>
    <w:p>
      <w:pPr>
        <w:pStyle w:val="Heading5"/>
        <w:rPr>
          <w:snapToGrid w:val="0"/>
        </w:rPr>
      </w:pPr>
      <w:bookmarkStart w:id="991" w:name="_Toc500739984"/>
      <w:bookmarkStart w:id="992" w:name="_Toc520101176"/>
      <w:bookmarkStart w:id="993" w:name="_Toc520533075"/>
      <w:bookmarkStart w:id="994" w:name="_Toc49223955"/>
      <w:bookmarkStart w:id="995" w:name="_Toc107054957"/>
      <w:bookmarkStart w:id="996" w:name="_Toc131416153"/>
      <w:bookmarkStart w:id="997" w:name="_Toc170193336"/>
      <w:r>
        <w:rPr>
          <w:rStyle w:val="CharSectno"/>
        </w:rPr>
        <w:t>76AP</w:t>
      </w:r>
      <w:r>
        <w:rPr>
          <w:snapToGrid w:val="0"/>
        </w:rPr>
        <w:t>.</w:t>
      </w:r>
      <w:r>
        <w:rPr>
          <w:snapToGrid w:val="0"/>
        </w:rPr>
        <w:tab/>
        <w:t>Corporations to which this Division applies</w:t>
      </w:r>
      <w:bookmarkEnd w:id="991"/>
      <w:bookmarkEnd w:id="992"/>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This Division applies to a corporation if — </w:t>
      </w:r>
    </w:p>
    <w:p>
      <w:pPr>
        <w:pStyle w:val="Indenta"/>
        <w:spacing w:before="60"/>
        <w:rPr>
          <w:snapToGrid w:val="0"/>
        </w:rPr>
      </w:pPr>
      <w:r>
        <w:rPr>
          <w:snapToGrid w:val="0"/>
        </w:rPr>
        <w:tab/>
        <w:t>(a)</w:t>
      </w:r>
      <w:r>
        <w:rPr>
          <w:snapToGrid w:val="0"/>
        </w:rPr>
        <w:tab/>
        <w:t>it is —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 xml:space="preserve">unless —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 xml:space="preserve">For the purposes of subsection (1)(e) the Commissioner may take into account any matter that the Commissioner considers is relevant but must take into account —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 xml:space="preserve">a licence or patent or other intellectual property (including knowledge or information that has a commercial value) relating to any process, technique, method, design or apparatus to — </w:t>
      </w:r>
    </w:p>
    <w:p>
      <w:pPr>
        <w:pStyle w:val="Indenti"/>
      </w:pPr>
      <w:r>
        <w:tab/>
        <w:t>(i)</w:t>
      </w:r>
      <w:r>
        <w:tab/>
        <w:t xml:space="preserve">locate, extract, process, transport or market minerals; or </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 </w:t>
      </w:r>
    </w:p>
    <w:p>
      <w:pPr>
        <w:pStyle w:val="Indenta"/>
        <w:spacing w:before="60"/>
        <w:rPr>
          <w:snapToGrid w:val="0"/>
        </w:rPr>
      </w:pPr>
      <w:r>
        <w:rPr>
          <w:snapToGrid w:val="0"/>
        </w:rPr>
        <w:tab/>
        <w:t>(a)</w:t>
      </w:r>
      <w:r>
        <w:rPr>
          <w:snapToGrid w:val="0"/>
        </w:rPr>
        <w:tab/>
        <w:t>the trustee of a trust is entitled to that land or property and the corporation —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 xml:space="preserve">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 xml:space="preserve">In determining the entitlement of an entity to land for the purposes of this section or section 76AS —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 xml:space="preserve">In determining the entitlement of an entity to property other than land for the purposes of this section —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 xml:space="preserve">[Section 76AP inserted by No. 33 of 1987 s. 22; amended by No. 39 of 1994 s. 21; No. 53 of 1999 s. 24; No. 60 of 2000 s. 15; No. 3 of 2001 s. 26; No. 10 of 2001 s. 178; No. 2 of 2003 s. 96; No. 21 of 2003 s. 28; No. 66 of 2003 s. 68; No. 11 of 2004 s. 26; No. 11 of 2005 s. 18, 20 and 23.] </w:t>
      </w:r>
    </w:p>
    <w:p>
      <w:pPr>
        <w:pStyle w:val="Heading5"/>
        <w:spacing w:before="240"/>
      </w:pPr>
      <w:bookmarkStart w:id="998" w:name="_Toc492201394"/>
      <w:bookmarkStart w:id="999" w:name="_Toc500739985"/>
      <w:bookmarkStart w:id="1000" w:name="_Toc520101177"/>
      <w:bookmarkStart w:id="1001" w:name="_Toc520533076"/>
      <w:bookmarkStart w:id="1002" w:name="_Toc49223956"/>
      <w:bookmarkStart w:id="1003" w:name="_Toc107054958"/>
      <w:bookmarkStart w:id="1004" w:name="_Toc131416154"/>
      <w:bookmarkStart w:id="1005" w:name="_Toc170193337"/>
      <w:r>
        <w:rPr>
          <w:rStyle w:val="CharSectno"/>
        </w:rPr>
        <w:t>76AQ</w:t>
      </w:r>
      <w:r>
        <w:t>.</w:t>
      </w:r>
      <w:r>
        <w:tab/>
        <w:t>Meaning of “</w:t>
      </w:r>
      <w:r>
        <w:rPr>
          <w:rStyle w:val="CharDefText"/>
          <w:b/>
        </w:rPr>
        <w:t>relevant acquisition</w:t>
      </w:r>
      <w:r>
        <w:t>”</w:t>
      </w:r>
      <w:bookmarkEnd w:id="998"/>
      <w:bookmarkEnd w:id="999"/>
      <w:bookmarkEnd w:id="1000"/>
      <w:bookmarkEnd w:id="1001"/>
      <w:bookmarkEnd w:id="1002"/>
      <w:bookmarkEnd w:id="1003"/>
      <w:bookmarkEnd w:id="1004"/>
      <w:bookmarkEnd w:id="1005"/>
    </w:p>
    <w:p>
      <w:pPr>
        <w:pStyle w:val="Subsection"/>
        <w:spacing w:before="180"/>
      </w:pPr>
      <w:r>
        <w:tab/>
        <w:t>(1)</w:t>
      </w:r>
      <w:r>
        <w:tab/>
        <w:t>An acquisition is a relevant acquisition for the purposes of this Division — </w:t>
      </w:r>
    </w:p>
    <w:p>
      <w:pPr>
        <w:pStyle w:val="Indenta"/>
        <w:spacing w:before="100"/>
      </w:pPr>
      <w:r>
        <w:tab/>
        <w:t>(a)</w:t>
      </w:r>
      <w:r>
        <w:tab/>
        <w:t>if by that acquisition a person acquires a majority interest in a corporation by acquiring an interest — </w:t>
      </w:r>
    </w:p>
    <w:p>
      <w:pPr>
        <w:pStyle w:val="Indenti"/>
        <w:spacing w:before="100"/>
      </w:pPr>
      <w:r>
        <w:tab/>
        <w:t>(i)</w:t>
      </w:r>
      <w:r>
        <w:tab/>
        <w:t>that is itself a majority interest in the corporation; or</w:t>
      </w:r>
    </w:p>
    <w:p>
      <w:pPr>
        <w:pStyle w:val="Indenti"/>
        <w:spacing w:before="100"/>
      </w:pPr>
      <w:r>
        <w:tab/>
        <w:t>(ii)</w:t>
      </w:r>
      <w:r>
        <w:tab/>
        <w:t xml:space="preserve">that is, when taken with each previous acquisition of an interest in the corporation made by the person on or after the relevant day for that acquisition, a majority interest in the corporation; </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1006" w:author="Isobel Bond" w:date="2006-03-27T14:07: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fldChar w:fldCharType="begin"/>
      </w:r>
      <w:r>
        <w:instrText xml:space="preserve"> LISTNUM DefinitionNumbers \l1 </w:instrText>
      </w:r>
      <w:r>
        <w:fldChar w:fldCharType="end">
          <w:numberingChange w:id="1007" w:author="Isobel Bond" w:date="2006-03-27T14:07:00Z" w:original=""/>
        </w:fldChar>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1008" w:name="_Toc500739986"/>
      <w:bookmarkStart w:id="1009" w:name="_Toc520101178"/>
      <w:bookmarkStart w:id="1010" w:name="_Toc520533077"/>
      <w:bookmarkStart w:id="1011" w:name="_Toc49223957"/>
      <w:bookmarkStart w:id="1012" w:name="_Toc107054959"/>
      <w:bookmarkStart w:id="1013" w:name="_Toc131416155"/>
      <w:bookmarkStart w:id="1014" w:name="_Toc170193338"/>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1008"/>
      <w:bookmarkEnd w:id="1009"/>
      <w:bookmarkEnd w:id="1010"/>
      <w:bookmarkEnd w:id="1011"/>
      <w:r>
        <w:t>”</w:t>
      </w:r>
      <w:bookmarkEnd w:id="1012"/>
      <w:bookmarkEnd w:id="1013"/>
      <w:bookmarkEnd w:id="1014"/>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rPr>
          <w:spacing w:val="-4"/>
        </w:rPr>
      </w:pPr>
      <w:r>
        <w:rPr>
          <w:spacing w:val="-4"/>
        </w:rPr>
        <w:tab/>
        <w:t>(2)</w:t>
      </w:r>
      <w:r>
        <w:rPr>
          <w:spacing w:val="-4"/>
        </w:rP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spacing w:val="-4"/>
        </w:rPr>
        <w:t>“</w:t>
      </w:r>
      <w:r>
        <w:rPr>
          <w:rStyle w:val="CharDefText"/>
          <w:spacing w:val="-4"/>
        </w:rPr>
        <w:t>majority interest</w:t>
      </w:r>
      <w:r>
        <w:rPr>
          <w:b/>
          <w:spacing w:val="-4"/>
        </w:rPr>
        <w:t>”</w:t>
      </w:r>
      <w:r>
        <w:rPr>
          <w:spacing w:val="-4"/>
        </w:rPr>
        <w:t xml:space="preserve"> has a corresponding meaning.</w:t>
      </w:r>
    </w:p>
    <w:p>
      <w:pPr>
        <w:pStyle w:val="Subsection"/>
      </w:pPr>
      <w:r>
        <w:tab/>
        <w:t>(3)</w:t>
      </w:r>
      <w:r>
        <w:tab/>
        <w:t>For the purposes of this Division, a person acquires a further interest in a corporation if —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 </w:t>
      </w:r>
    </w:p>
    <w:p>
      <w:pPr>
        <w:pStyle w:val="Indenta"/>
      </w:pPr>
      <w:r>
        <w:tab/>
        <w:t>(a)</w:t>
      </w:r>
      <w:r>
        <w:tab/>
        <w:t>means a corporation —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pPr>
      <w:r>
        <w:tab/>
        <w:t>(b)</w:t>
      </w:r>
      <w:r>
        <w:tab/>
        <w:t>is deemed to include —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 </w:t>
      </w:r>
    </w:p>
    <w:p>
      <w:pPr>
        <w:pStyle w:val="IndentI0"/>
      </w:pPr>
      <w:r>
        <w:tab/>
        <w:t>(I)</w:t>
      </w:r>
      <w:r>
        <w:tab/>
        <w:t>is entitled to a share or interest in the trust whether vested or contingent; or</w:t>
      </w:r>
    </w:p>
    <w:p>
      <w:pPr>
        <w:pStyle w:val="IndentI0"/>
      </w:pPr>
      <w:r>
        <w:tab/>
        <w:t>(II)</w:t>
      </w:r>
      <w:r>
        <w:tab/>
        <w:t xml:space="preserve">in the case of a discretionary trust, may benefit from that trust; </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015" w:name="_Toc500739987"/>
      <w:bookmarkStart w:id="1016" w:name="_Toc520101179"/>
      <w:bookmarkStart w:id="1017" w:name="_Toc520533078"/>
      <w:bookmarkStart w:id="1018" w:name="_Toc49223958"/>
      <w:bookmarkStart w:id="1019" w:name="_Toc107054960"/>
      <w:bookmarkStart w:id="1020" w:name="_Toc131416156"/>
      <w:bookmarkStart w:id="1021" w:name="_Toc170193339"/>
      <w:r>
        <w:rPr>
          <w:rStyle w:val="CharSectno"/>
        </w:rPr>
        <w:t>76AS</w:t>
      </w:r>
      <w:r>
        <w:rPr>
          <w:snapToGrid w:val="0"/>
        </w:rPr>
        <w:t>.</w:t>
      </w:r>
      <w:r>
        <w:rPr>
          <w:snapToGrid w:val="0"/>
        </w:rPr>
        <w:tab/>
        <w:t>How dutiable value is determined</w:t>
      </w:r>
      <w:bookmarkEnd w:id="1015"/>
      <w:bookmarkEnd w:id="1016"/>
      <w:bookmarkEnd w:id="1017"/>
      <w:bookmarkEnd w:id="1018"/>
      <w:bookmarkEnd w:id="1019"/>
      <w:bookmarkEnd w:id="1020"/>
      <w:bookmarkEnd w:id="1021"/>
      <w:r>
        <w:rPr>
          <w:snapToGrid w:val="0"/>
        </w:rPr>
        <w:t xml:space="preserve"> </w:t>
      </w:r>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 xml:space="preserve">Where the relevant acquisition is within section 76AQ(1)(a)(ii) the dutiable value —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 xml:space="preserve">[Section 76AS inserted by No. 33 of 1987 s. 22; amended by No. 22 of 1998 s. 38; No. 60 of 2000 s. 17; No. 2 of 2003 s. 97; No. 11 of 2004 s. 28.] </w:t>
      </w:r>
    </w:p>
    <w:p>
      <w:pPr>
        <w:pStyle w:val="Heading3"/>
      </w:pPr>
      <w:bookmarkStart w:id="1022" w:name="_Toc76899630"/>
      <w:bookmarkStart w:id="1023" w:name="_Toc78090532"/>
      <w:bookmarkStart w:id="1024" w:name="_Toc88886900"/>
      <w:bookmarkStart w:id="1025" w:name="_Toc90443516"/>
      <w:bookmarkStart w:id="1026" w:name="_Toc90452867"/>
      <w:bookmarkStart w:id="1027" w:name="_Toc100029458"/>
      <w:bookmarkStart w:id="1028" w:name="_Toc100031531"/>
      <w:bookmarkStart w:id="1029" w:name="_Toc100458590"/>
      <w:bookmarkStart w:id="1030" w:name="_Toc101672006"/>
      <w:bookmarkStart w:id="1031" w:name="_Toc101672263"/>
      <w:bookmarkStart w:id="1032" w:name="_Toc102799289"/>
      <w:bookmarkStart w:id="1033" w:name="_Toc102981963"/>
      <w:bookmarkStart w:id="1034" w:name="_Toc103403276"/>
      <w:bookmarkStart w:id="1035" w:name="_Toc103403533"/>
      <w:bookmarkStart w:id="1036" w:name="_Toc103747532"/>
      <w:bookmarkStart w:id="1037" w:name="_Toc107054961"/>
      <w:bookmarkStart w:id="1038" w:name="_Toc113874408"/>
      <w:bookmarkStart w:id="1039" w:name="_Toc113956824"/>
      <w:bookmarkStart w:id="1040" w:name="_Toc116717380"/>
      <w:bookmarkStart w:id="1041" w:name="_Toc116813407"/>
      <w:bookmarkStart w:id="1042" w:name="_Toc122333059"/>
      <w:bookmarkStart w:id="1043" w:name="_Toc122862029"/>
      <w:bookmarkStart w:id="1044" w:name="_Toc122862625"/>
      <w:bookmarkStart w:id="1045" w:name="_Toc122921232"/>
      <w:bookmarkStart w:id="1046" w:name="_Toc122921492"/>
      <w:bookmarkStart w:id="1047" w:name="_Toc122947437"/>
      <w:bookmarkStart w:id="1048" w:name="_Toc124046273"/>
      <w:bookmarkStart w:id="1049" w:name="_Toc131415858"/>
      <w:bookmarkStart w:id="1050" w:name="_Toc131416157"/>
      <w:bookmarkStart w:id="1051" w:name="_Toc170193340"/>
      <w:bookmarkStart w:id="1052" w:name="_Toc58902616"/>
      <w:r>
        <w:rPr>
          <w:rStyle w:val="CharDivNo"/>
        </w:rPr>
        <w:t>Division 3a</w:t>
      </w:r>
      <w:r>
        <w:t> — </w:t>
      </w:r>
      <w:r>
        <w:rPr>
          <w:rStyle w:val="CharDivText"/>
        </w:rPr>
        <w:t>Listed companies taken to be registered in Western Australia</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Footnoteheading"/>
        <w:tabs>
          <w:tab w:val="left" w:pos="851"/>
        </w:tabs>
      </w:pPr>
      <w:r>
        <w:tab/>
        <w:t>[Heading inserted by No. 11 of 2004 s. 29.]</w:t>
      </w:r>
    </w:p>
    <w:p>
      <w:pPr>
        <w:pStyle w:val="Heading5"/>
      </w:pPr>
      <w:bookmarkStart w:id="1053" w:name="_Toc107054962"/>
      <w:bookmarkStart w:id="1054" w:name="_Toc131416158"/>
      <w:bookmarkStart w:id="1055" w:name="_Toc170193341"/>
      <w:r>
        <w:rPr>
          <w:rStyle w:val="CharSectno"/>
        </w:rPr>
        <w:t>76AT</w:t>
      </w:r>
      <w:r>
        <w:t>.</w:t>
      </w:r>
      <w:r>
        <w:tab/>
        <w:t>Preparation of dutiable statement</w:t>
      </w:r>
      <w:bookmarkEnd w:id="1053"/>
      <w:bookmarkEnd w:id="1054"/>
      <w:bookmarkEnd w:id="1055"/>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 xml:space="preserve">If the Commissioner approves the application — </w:t>
      </w:r>
    </w:p>
    <w:p>
      <w:pPr>
        <w:pStyle w:val="Indenta"/>
      </w:pPr>
      <w:r>
        <w:tab/>
        <w:t>(a)</w:t>
      </w:r>
      <w:r>
        <w:tab/>
        <w:t xml:space="preserve">the Commissioner is to notify the person accordingly specifying —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 xml:space="preserve">the person shall —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 xml:space="preserve">If the Commissioner does not approve the application —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 xml:space="preserve">A dutiable statement under subsection (1) shall include the following information —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 xml:space="preserve">the person’s estimate of the unencumbered value of all land and chattels in Western Australia to which the WA company is entitled as at the date of the acquisition; </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 xml:space="preserve">A dutiable statement under subsection (2) or (5)(b) shall include the following information —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 xml:space="preserve">A dutiable statement under subsection (4)(c) in respect of a relevant period shall include the following information —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 xml:space="preserve">in relation to each additional interest acquired during the relevant period —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056" w:name="_Toc107054963"/>
      <w:bookmarkStart w:id="1057" w:name="_Toc131416159"/>
      <w:bookmarkStart w:id="1058" w:name="_Toc170193342"/>
      <w:r>
        <w:rPr>
          <w:rStyle w:val="CharSectno"/>
        </w:rPr>
        <w:t>76ATA</w:t>
      </w:r>
      <w:r>
        <w:t>.</w:t>
      </w:r>
      <w:r>
        <w:tab/>
        <w:t>Statement chargeable with duty</w:t>
      </w:r>
      <w:bookmarkEnd w:id="1056"/>
      <w:bookmarkEnd w:id="1057"/>
      <w:bookmarkEnd w:id="1058"/>
      <w:r>
        <w:t xml:space="preserve"> </w:t>
      </w:r>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 xml:space="preserve">where the section 76AT statement relates to a relevant acquisition within section 76ATC(1)(a)(ii), the duty —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 xml:space="preserve">unless paragraph (d) applies, where the section 76AT statement relates to a relevant acquisition within section 76ATC(1)(b), the duty —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 xml:space="preserve">where approval has been granted under section 76AT(4), the duty —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after="60"/>
      </w:pPr>
      <w:r>
        <w:tab/>
        <w:t>(2)</w:t>
      </w:r>
      <w:r>
        <w:tab/>
        <w:t xml:space="preserve">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 </w:t>
      </w:r>
    </w:p>
    <w:p>
      <w:pPr>
        <w:pStyle w:val="Equation"/>
        <w:tabs>
          <w:tab w:val="left" w:pos="1418"/>
        </w:tabs>
        <w:rPr>
          <w:snapToGrid w:val="0"/>
        </w:rPr>
      </w:pPr>
      <w:r>
        <w:rPr>
          <w:snapToGrid w:val="0"/>
        </w:rPr>
        <w:tab/>
      </w:r>
      <w:r>
        <w:rPr>
          <w:snapToGrid w:val="0"/>
          <w:position w:val="-26"/>
        </w:rPr>
        <w:object w:dxaOrig="1660" w:dyaOrig="600">
          <v:shape id="_x0000_i1032" type="#_x0000_t75" style="width:83.25pt;height:30pt" o:ole="">
            <v:imagedata r:id="rId33" o:title=""/>
          </v:shape>
          <o:OLEObject Type="Embed" ProgID="Equation.3" ShapeID="_x0000_i1032" DrawAspect="Content" ObjectID="_1643744735" r:id="rId34"/>
        </w:object>
      </w:r>
    </w:p>
    <w:p>
      <w:pPr>
        <w:pStyle w:val="Subsection"/>
        <w:spacing w:before="80"/>
      </w:pPr>
      <w:r>
        <w:tab/>
      </w:r>
      <w:r>
        <w:tab/>
        <w:t xml:space="preserve">where —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3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3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 xml:space="preserve">If —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2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pPr>
      <w:bookmarkStart w:id="1059" w:name="_Toc107054964"/>
      <w:bookmarkStart w:id="1060" w:name="_Toc131416160"/>
      <w:bookmarkStart w:id="1061" w:name="_Toc170193343"/>
      <w:r>
        <w:rPr>
          <w:rStyle w:val="CharSectno"/>
        </w:rPr>
        <w:t>76ATB</w:t>
      </w:r>
      <w:r>
        <w:t>.</w:t>
      </w:r>
      <w:r>
        <w:tab/>
        <w:t>Meaning of “listed land</w:t>
      </w:r>
      <w:r>
        <w:noBreakHyphen/>
        <w:t>holder WA company”</w:t>
      </w:r>
      <w:bookmarkEnd w:id="1059"/>
      <w:bookmarkEnd w:id="1060"/>
      <w:bookmarkEnd w:id="1061"/>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 xml:space="preserve">holder for the purposes of this Division if at the time of an acquisition of a controlling interest —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 xml:space="preserve">the notice is to contain reasons for the determination; </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 xml:space="preserve">The following property of a WA company, or of any subsidiary within the meaning in subsection (6), shall not be included for the purpose of calculating the value of property under subsection (2)(b) —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 xml:space="preserve">money lent by the WA company or a subsidiary to —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by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 xml:space="preserve">Without limiting the meaning of “entitled”, a WA company is deemed to be entitled to land or property to the extent that a subsidiary is entitled to that land or property, and for the purposes of this subsection a subsidiary is —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 xml:space="preserve">the trustee of any trust where the WA company or a subsidiary corporation of the WA company, as defined in paragraph (a) —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 xml:space="preserve">any corporation, where the trustee of a trust in which the WA company or a subsidiary corporation —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062" w:name="_Toc107054965"/>
      <w:bookmarkStart w:id="1063" w:name="_Toc131416161"/>
      <w:bookmarkStart w:id="1064" w:name="_Toc170193344"/>
      <w:r>
        <w:rPr>
          <w:rStyle w:val="CharSectno"/>
        </w:rPr>
        <w:t>76ATC</w:t>
      </w:r>
      <w:r>
        <w:t>.</w:t>
      </w:r>
      <w:r>
        <w:tab/>
        <w:t>Meaning of “relevant acquisition”</w:t>
      </w:r>
      <w:bookmarkEnd w:id="1062"/>
      <w:bookmarkEnd w:id="1063"/>
      <w:bookmarkEnd w:id="1064"/>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 xml:space="preserve">if by that acquisition a person acquires a controlling interest in a WA company by acquiring an interest —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065" w:name="_Toc107054966"/>
      <w:bookmarkStart w:id="1066" w:name="_Toc131416162"/>
      <w:bookmarkStart w:id="1067" w:name="_Toc170193345"/>
      <w:r>
        <w:rPr>
          <w:rStyle w:val="CharSectno"/>
        </w:rPr>
        <w:t>76ATD</w:t>
      </w:r>
      <w:r>
        <w:t>.</w:t>
      </w:r>
      <w:r>
        <w:tab/>
        <w:t>Meaning of “interest”, “controlling interest” or “additional interest”</w:t>
      </w:r>
      <w:bookmarkEnd w:id="1065"/>
      <w:bookmarkEnd w:id="1066"/>
      <w:bookmarkEnd w:id="1067"/>
      <w:r>
        <w:t xml:space="preserve"> </w:t>
      </w:r>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3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keepNext/>
      </w:pPr>
      <w:r>
        <w:tab/>
        <w:t>(3)</w:t>
      </w:r>
      <w:r>
        <w:tab/>
        <w:t xml:space="preserve">For the purposes of this Division, a person acquires an </w:t>
      </w:r>
      <w:r>
        <w:rPr>
          <w:b/>
        </w:rPr>
        <w:t>“</w:t>
      </w:r>
      <w:r>
        <w:rPr>
          <w:rStyle w:val="CharDefText"/>
        </w:rPr>
        <w:t>additional interest</w:t>
      </w:r>
      <w:r>
        <w:rPr>
          <w:b/>
        </w:rPr>
        <w:t>”</w:t>
      </w:r>
      <w:r>
        <w:t xml:space="preserve"> in a WA company if —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068" w:name="_Toc107054967"/>
      <w:bookmarkStart w:id="1069" w:name="_Toc131416163"/>
      <w:bookmarkStart w:id="1070" w:name="_Toc170193346"/>
      <w:r>
        <w:rPr>
          <w:rStyle w:val="CharSectno"/>
        </w:rPr>
        <w:t>76ATE</w:t>
      </w:r>
      <w:r>
        <w:t>.</w:t>
      </w:r>
      <w:r>
        <w:tab/>
        <w:t>How dutiable value is determined</w:t>
      </w:r>
      <w:bookmarkEnd w:id="1068"/>
      <w:bookmarkEnd w:id="1069"/>
      <w:bookmarkEnd w:id="1070"/>
    </w:p>
    <w:p>
      <w:pPr>
        <w:pStyle w:val="Subsection"/>
        <w:spacing w:before="14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4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 xml:space="preserve">Where the relevant acquisition is within section 76ATC(1)(a)(ii) the dutiable value —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80"/>
      </w:pPr>
      <w:r>
        <w:tab/>
        <w:t>(5)</w:t>
      </w:r>
      <w:r>
        <w:tab/>
        <w:t xml:space="preserve">Unless subsection (6) applies, where the relevant acquisition is within section 76ATC(1)(b) the dutiable value —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 xml:space="preserve">Where approval has been granted under section 76AT(4) the dutiable value —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 xml:space="preserve">For the purposes of subsections (3), (4), (5) and (6), the unencumbered value of the land and chattels to which a WA company is entitled at any time is the sum of — </w:t>
      </w:r>
    </w:p>
    <w:p>
      <w:pPr>
        <w:pStyle w:val="Indenta"/>
        <w:spacing w:before="60"/>
      </w:pPr>
      <w:r>
        <w:tab/>
        <w:t>(a)</w:t>
      </w:r>
      <w:r>
        <w:tab/>
        <w:t>in the case of land and chattels to which the WA company is entitled without reference to subsection (6) of section 76ATB, the unencumbered value of the land and chattels at that time; and</w:t>
      </w:r>
    </w:p>
    <w:p>
      <w:pPr>
        <w:pStyle w:val="Indenta"/>
        <w:keepNext/>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76ATE inserted by No. 11 of 2004 s. 29.]</w:t>
      </w:r>
    </w:p>
    <w:p>
      <w:pPr>
        <w:pStyle w:val="Heading5"/>
      </w:pPr>
      <w:bookmarkStart w:id="1071" w:name="_Toc107054968"/>
      <w:bookmarkStart w:id="1072" w:name="_Toc131416164"/>
      <w:bookmarkStart w:id="1073" w:name="_Toc170193347"/>
      <w:r>
        <w:rPr>
          <w:rStyle w:val="CharSectno"/>
        </w:rPr>
        <w:t>76ATF</w:t>
      </w:r>
      <w:r>
        <w:t>.</w:t>
      </w:r>
      <w:r>
        <w:tab/>
        <w:t>Liability for duty</w:t>
      </w:r>
      <w:bookmarkEnd w:id="1071"/>
      <w:bookmarkEnd w:id="1072"/>
      <w:bookmarkEnd w:id="1073"/>
      <w:r>
        <w:t xml:space="preserve"> </w:t>
      </w:r>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074" w:name="_Toc76899638"/>
      <w:bookmarkStart w:id="1075" w:name="_Toc78090540"/>
      <w:bookmarkStart w:id="1076" w:name="_Toc88886908"/>
      <w:bookmarkStart w:id="1077" w:name="_Toc90443524"/>
      <w:bookmarkStart w:id="1078" w:name="_Toc90452875"/>
      <w:bookmarkStart w:id="1079" w:name="_Toc100029466"/>
      <w:bookmarkStart w:id="1080" w:name="_Toc100031539"/>
      <w:bookmarkStart w:id="1081" w:name="_Toc100458598"/>
      <w:bookmarkStart w:id="1082" w:name="_Toc101672014"/>
      <w:bookmarkStart w:id="1083" w:name="_Toc101672271"/>
      <w:bookmarkStart w:id="1084" w:name="_Toc102799297"/>
      <w:bookmarkStart w:id="1085" w:name="_Toc102981971"/>
      <w:bookmarkStart w:id="1086" w:name="_Toc103403284"/>
      <w:bookmarkStart w:id="1087" w:name="_Toc103403541"/>
      <w:bookmarkStart w:id="1088" w:name="_Toc103747540"/>
      <w:bookmarkStart w:id="1089" w:name="_Toc107054969"/>
      <w:bookmarkStart w:id="1090" w:name="_Toc113874416"/>
      <w:bookmarkStart w:id="1091" w:name="_Toc113956832"/>
      <w:bookmarkStart w:id="1092" w:name="_Toc116717388"/>
      <w:bookmarkStart w:id="1093" w:name="_Toc116813415"/>
      <w:bookmarkStart w:id="1094" w:name="_Toc122333067"/>
      <w:bookmarkStart w:id="1095" w:name="_Toc122862037"/>
      <w:bookmarkStart w:id="1096" w:name="_Toc122862633"/>
      <w:bookmarkStart w:id="1097" w:name="_Toc122921240"/>
      <w:bookmarkStart w:id="1098" w:name="_Toc122921500"/>
      <w:bookmarkStart w:id="1099" w:name="_Toc122947445"/>
      <w:bookmarkStart w:id="1100" w:name="_Toc124046281"/>
      <w:bookmarkStart w:id="1101" w:name="_Toc131415866"/>
      <w:bookmarkStart w:id="1102" w:name="_Toc131416165"/>
      <w:bookmarkStart w:id="1103" w:name="_Toc170193348"/>
      <w:r>
        <w:rPr>
          <w:rStyle w:val="CharDivNo"/>
        </w:rPr>
        <w:t>Division 3b</w:t>
      </w:r>
      <w:r>
        <w:t> — </w:t>
      </w:r>
      <w:r>
        <w:rPr>
          <w:rStyle w:val="CharDivText"/>
        </w:rPr>
        <w:t>Listed corporations incorporated, or taken to be registered, outside Western Australia, and certain other companies not within Division 3a</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Footnoteheading"/>
        <w:tabs>
          <w:tab w:val="left" w:pos="851"/>
        </w:tabs>
      </w:pPr>
      <w:r>
        <w:tab/>
        <w:t>[Heading inserted by No. 11 of 2004 s. 29.]</w:t>
      </w:r>
    </w:p>
    <w:p>
      <w:pPr>
        <w:pStyle w:val="Heading5"/>
      </w:pPr>
      <w:bookmarkStart w:id="1104" w:name="_Toc107054970"/>
      <w:bookmarkStart w:id="1105" w:name="_Toc131416166"/>
      <w:bookmarkStart w:id="1106" w:name="_Toc170193349"/>
      <w:r>
        <w:rPr>
          <w:rStyle w:val="CharSectno"/>
        </w:rPr>
        <w:t>76ATG</w:t>
      </w:r>
      <w:r>
        <w:t>.</w:t>
      </w:r>
      <w:r>
        <w:tab/>
        <w:t>Preparation of dutiable statement</w:t>
      </w:r>
      <w:bookmarkEnd w:id="1104"/>
      <w:bookmarkEnd w:id="1105"/>
      <w:bookmarkEnd w:id="1106"/>
      <w:r>
        <w:t xml:space="preserve"> </w:t>
      </w:r>
    </w:p>
    <w:p>
      <w:pPr>
        <w:pStyle w:val="Subsection"/>
      </w:pPr>
      <w:r>
        <w:tab/>
        <w:t>(1)</w:t>
      </w:r>
      <w:r>
        <w:tab/>
        <w:t xml:space="preserve">Where by a relevant acquisition a person acquires a controlling interest in —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 xml:space="preserve">If the Commissioner approves the application — </w:t>
      </w:r>
    </w:p>
    <w:p>
      <w:pPr>
        <w:pStyle w:val="Indenta"/>
      </w:pPr>
      <w:r>
        <w:tab/>
        <w:t>(a)</w:t>
      </w:r>
      <w:r>
        <w:tab/>
        <w:t xml:space="preserve">the Commissioner is to notify the corporation accordingly specifying —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 xml:space="preserve">the corporation shall —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 xml:space="preserve">If the Commissioner does not approve the application —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 xml:space="preserve">A dutiable statement under subsection (1) shall include the following information —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 xml:space="preserve">the corporation’s estimate of the unencumbered value of those chattels; </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 xml:space="preserve">A dutiable statement under subsection (2) or (5)(b) shall include the following information —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 xml:space="preserve">A dutiable statement under subsection (4)(c) in respect of a relevant period shall include the following information —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 xml:space="preserve">in relation to each additional interest acquired during the relevant period —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 xml:space="preserve">In deciding whether or not to make a determination under subsection (11) the Commissioner may have regard to —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107" w:name="_Toc107054971"/>
      <w:bookmarkStart w:id="1108" w:name="_Toc131416167"/>
      <w:bookmarkStart w:id="1109" w:name="_Toc170193350"/>
      <w:r>
        <w:rPr>
          <w:rStyle w:val="CharSectno"/>
        </w:rPr>
        <w:t>76ATH</w:t>
      </w:r>
      <w:r>
        <w:t>.</w:t>
      </w:r>
      <w:r>
        <w:tab/>
        <w:t>Statement chargeable with duty</w:t>
      </w:r>
      <w:bookmarkEnd w:id="1107"/>
      <w:bookmarkEnd w:id="1108"/>
      <w:bookmarkEnd w:id="1109"/>
      <w:r>
        <w:t xml:space="preserve"> </w:t>
      </w:r>
    </w:p>
    <w:p>
      <w:pPr>
        <w:pStyle w:val="Subsection"/>
      </w:pPr>
      <w:r>
        <w:tab/>
        <w:t>(1)</w:t>
      </w:r>
      <w:r>
        <w:tab/>
        <w:t xml:space="preserve">A section 76ATG statement is chargeable, in accordance with section 76ATL, with duty at the rate provided for in item 4(1) of the Second Schedule calculated as follows —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 xml:space="preserve">where the section 76ATG statement relates to a relevant acquisition within section 76ATJ(1)(a)(ii), the duty —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 xml:space="preserve">unless paragraph (d) applies, where the section 76ATG statement relates to a relevant acquisition within section 76ATJ(1)(b), the duty —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 xml:space="preserve">where approval has been granted under section 76ATG(4) the duty —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 xml:space="preserve">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 </w:t>
      </w:r>
    </w:p>
    <w:p>
      <w:pPr>
        <w:pStyle w:val="Equation"/>
        <w:tabs>
          <w:tab w:val="left" w:pos="1418"/>
        </w:tabs>
        <w:rPr>
          <w:snapToGrid w:val="0"/>
        </w:rPr>
      </w:pPr>
      <w:r>
        <w:rPr>
          <w:snapToGrid w:val="0"/>
        </w:rPr>
        <w:tab/>
      </w:r>
      <w:r>
        <w:rPr>
          <w:snapToGrid w:val="0"/>
          <w:position w:val="-26"/>
        </w:rPr>
        <w:object w:dxaOrig="1660" w:dyaOrig="600">
          <v:shape id="_x0000_i1033" type="#_x0000_t75" style="width:83.25pt;height:30pt" o:ole="">
            <v:imagedata r:id="rId33" o:title=""/>
          </v:shape>
          <o:OLEObject Type="Embed" ProgID="Equation.3" ShapeID="_x0000_i1033" DrawAspect="Content" ObjectID="_1643744736" r:id="rId35"/>
        </w:object>
      </w:r>
    </w:p>
    <w:p>
      <w:pPr>
        <w:pStyle w:val="Subsection"/>
        <w:spacing w:before="60" w:after="60"/>
      </w:pPr>
      <w:r>
        <w:tab/>
      </w:r>
      <w:r>
        <w:tab/>
        <w:t xml:space="preserve">where —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 xml:space="preserve">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pPr>
      <w:r>
        <w:tab/>
        <w:t>(5)</w:t>
      </w:r>
      <w:r>
        <w:tab/>
        <w:t xml:space="preserve">If —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110" w:name="_Toc107054972"/>
      <w:bookmarkStart w:id="1111" w:name="_Toc131416168"/>
      <w:bookmarkStart w:id="1112" w:name="_Toc170193351"/>
      <w:r>
        <w:rPr>
          <w:rStyle w:val="CharSectno"/>
        </w:rPr>
        <w:t>76ATI</w:t>
      </w:r>
      <w:r>
        <w:t>.</w:t>
      </w:r>
      <w:r>
        <w:tab/>
        <w:t>Meaning of “listed land</w:t>
      </w:r>
      <w:r>
        <w:rPr>
          <w:snapToGrid w:val="0"/>
        </w:rPr>
        <w:noBreakHyphen/>
      </w:r>
      <w:r>
        <w:t>holder corporation”</w:t>
      </w:r>
      <w:bookmarkEnd w:id="1110"/>
      <w:bookmarkEnd w:id="1111"/>
      <w:bookmarkEnd w:id="1112"/>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 </w:t>
      </w:r>
    </w:p>
    <w:p>
      <w:pPr>
        <w:pStyle w:val="Indenta"/>
      </w:pPr>
      <w:r>
        <w:tab/>
        <w:t>(a)</w:t>
      </w:r>
      <w:r>
        <w:tab/>
        <w:t xml:space="preserve">it is — </w:t>
      </w:r>
    </w:p>
    <w:p>
      <w:pPr>
        <w:pStyle w:val="Indenti"/>
      </w:pPr>
      <w:r>
        <w:tab/>
        <w:t>(i)</w:t>
      </w:r>
      <w:r>
        <w:tab/>
        <w:t xml:space="preserve">a body corporate that is taken to be registered outside Western Australia (for the purposes of the Corporations Act) or that is otherwise formed or incorporated outside Western Australia, not being a body corporate that is —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pPr>
      <w:r>
        <w:tab/>
        <w:t>(2)</w:t>
      </w:r>
      <w:r>
        <w:tab/>
        <w:t>A corporation is a land</w:t>
      </w:r>
      <w:r>
        <w:rPr>
          <w:snapToGrid w:val="0"/>
        </w:rPr>
        <w:noBreakHyphen/>
      </w:r>
      <w:r>
        <w:t xml:space="preserve">holder for the purposes of this Division if at the time of an acquisition of a controlling interest —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 xml:space="preserve">If the Commissioner makes a determination under subsection (2) — </w:t>
      </w:r>
    </w:p>
    <w:p>
      <w:pPr>
        <w:pStyle w:val="Indenta"/>
      </w:pPr>
      <w:r>
        <w:tab/>
        <w:t>(a)</w:t>
      </w:r>
      <w:r>
        <w:tab/>
        <w:t>the Commissioner is to give notice of it to the corporation;</w:t>
      </w:r>
    </w:p>
    <w:p>
      <w:pPr>
        <w:pStyle w:val="Indenta"/>
      </w:pPr>
      <w:r>
        <w:tab/>
        <w:t>(b)</w:t>
      </w:r>
      <w:r>
        <w:tab/>
        <w:t xml:space="preserve">the notice is to contain reasons for the determination; </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 xml:space="preserve">The following property of a corporation, or of a trustee or another corporation referred to in subsection (6), shall not be included for the purpose of calculating the value of property under subsection (2)(b) —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 xml:space="preserve">money lent by the corporation or a trustee or a related corporation referred to in subsection (6) to —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pPr>
      <w:r>
        <w:tab/>
        <w:t>(f)</w:t>
      </w:r>
      <w:r>
        <w:tab/>
        <w:t xml:space="preserve">a licence or patent or other intellectual property (including knowledge or information that has a commercial value) relating to any process, technique, method, design or apparatus to — </w:t>
      </w:r>
    </w:p>
    <w:p>
      <w:pPr>
        <w:pStyle w:val="Indenti"/>
      </w:pPr>
      <w:r>
        <w:tab/>
        <w:t>(i)</w:t>
      </w:r>
      <w:r>
        <w:tab/>
        <w:t xml:space="preserve">locate, extract, process, transport or market minerals; or </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pPr>
      <w:r>
        <w:tab/>
        <w:t>(6)</w:t>
      </w:r>
      <w:r>
        <w:tab/>
        <w:t xml:space="preserve">Without limiting the meaning of “entitled”, a corporation is deemed to be entitled to land or property where — </w:t>
      </w:r>
    </w:p>
    <w:p>
      <w:pPr>
        <w:pStyle w:val="Indenta"/>
        <w:spacing w:before="60"/>
      </w:pPr>
      <w:r>
        <w:tab/>
        <w:t>(a)</w:t>
      </w:r>
      <w:r>
        <w:tab/>
        <w:t xml:space="preserve">the trustee of a trust is entitled to that land or property and the corporation — </w:t>
      </w:r>
    </w:p>
    <w:p>
      <w:pPr>
        <w:pStyle w:val="Indenti"/>
        <w:spacing w:before="60"/>
      </w:pPr>
      <w:r>
        <w:tab/>
        <w:t>(i)</w:t>
      </w:r>
      <w:r>
        <w:tab/>
        <w:t>has a share or interest in the trust whether vested or contingent; or</w:t>
      </w:r>
    </w:p>
    <w:p>
      <w:pPr>
        <w:pStyle w:val="Indenti"/>
        <w:spacing w:before="60"/>
      </w:pPr>
      <w:r>
        <w:tab/>
        <w:t>(ii)</w:t>
      </w:r>
      <w:r>
        <w:tab/>
        <w:t>in the case of a discretionary trust, may benefit from that trust,</w:t>
      </w:r>
    </w:p>
    <w:p>
      <w:pPr>
        <w:pStyle w:val="Indenta"/>
        <w:spacing w:before="60"/>
      </w:pPr>
      <w:r>
        <w:tab/>
      </w:r>
      <w:r>
        <w:tab/>
        <w:t>but an entitlement under subparagraph (i) is limited to the extent of that share or interest;</w:t>
      </w:r>
    </w:p>
    <w:p>
      <w:pPr>
        <w:pStyle w:val="Indenta"/>
        <w:spacing w:before="60"/>
      </w:pPr>
      <w:r>
        <w:tab/>
        <w:t>(b)</w:t>
      </w:r>
      <w:r>
        <w:tab/>
        <w:t xml:space="preserve">in a case where the entitlement to participate referred to in section 76ATK(2) relates to the corporation itself, any of the following corporations is entitled to that land or property — </w:t>
      </w:r>
    </w:p>
    <w:p>
      <w:pPr>
        <w:pStyle w:val="Indenti"/>
        <w:spacing w:before="60"/>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 xml:space="preserve">in a case where the entitlement to participate referred to in section 76ATK(2) relates to a holding corporation (as defined in section 76ATK(4)(a)) of the corporation, any of the following corporations is entitled to that land or property —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 xml:space="preserve">In determining the entitlement of an entity to land for the purposes of this section or section 76ATL —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 xml:space="preserve">In determining the entitlement of an entity to property other than land for the purposes of this section —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113" w:name="_Toc107054973"/>
      <w:bookmarkStart w:id="1114" w:name="_Toc131416169"/>
      <w:bookmarkStart w:id="1115" w:name="_Toc170193352"/>
      <w:r>
        <w:rPr>
          <w:rStyle w:val="CharSectno"/>
        </w:rPr>
        <w:t>76ATJ</w:t>
      </w:r>
      <w:r>
        <w:t>.</w:t>
      </w:r>
      <w:r>
        <w:tab/>
        <w:t>Meaning o</w:t>
      </w:r>
      <w:r>
        <w:rPr>
          <w:rFonts w:ascii="Times" w:hAnsi="Times"/>
          <w:spacing w:val="40"/>
        </w:rPr>
        <w:t>f</w:t>
      </w:r>
      <w:r>
        <w:t xml:space="preserve"> “relevant acquisition”</w:t>
      </w:r>
      <w:bookmarkEnd w:id="1113"/>
      <w:bookmarkEnd w:id="1114"/>
      <w:bookmarkEnd w:id="1115"/>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 </w:t>
      </w:r>
    </w:p>
    <w:p>
      <w:pPr>
        <w:pStyle w:val="Indenta"/>
      </w:pPr>
      <w:r>
        <w:tab/>
        <w:t>(a)</w:t>
      </w:r>
      <w:r>
        <w:tab/>
        <w:t xml:space="preserve">if by that acquisition a person acquires a controlling interest in a corporation by acquiring an interest — </w:t>
      </w:r>
    </w:p>
    <w:p>
      <w:pPr>
        <w:pStyle w:val="Indenti"/>
      </w:pPr>
      <w:r>
        <w:tab/>
        <w:t>(i)</w:t>
      </w:r>
      <w:r>
        <w:tab/>
        <w:t>that is itself a controlling interest in the corporation; or</w:t>
      </w:r>
    </w:p>
    <w:p>
      <w:pPr>
        <w:pStyle w:val="Indenti"/>
      </w:pPr>
      <w:r>
        <w:tab/>
        <w:t>(ii)</w:t>
      </w:r>
      <w:r>
        <w:tab/>
        <w:t xml:space="preserve">that is, when taken with each previous acquisition of an interest in the corporation made by the person, a controlling interest in the corporation; </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116" w:name="_Toc107054974"/>
      <w:bookmarkStart w:id="1117" w:name="_Toc131416170"/>
      <w:bookmarkStart w:id="1118" w:name="_Toc170193353"/>
      <w:r>
        <w:rPr>
          <w:rStyle w:val="CharSectno"/>
        </w:rPr>
        <w:t>76ATK</w:t>
      </w:r>
      <w:r>
        <w:t>.</w:t>
      </w:r>
      <w:r>
        <w:tab/>
        <w:t>Meaning of “interest”, “controlling interest” or “additional interest”</w:t>
      </w:r>
      <w:bookmarkEnd w:id="1116"/>
      <w:bookmarkEnd w:id="1117"/>
      <w:bookmarkEnd w:id="1118"/>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 xml:space="preserve">In this section — </w:t>
      </w:r>
    </w:p>
    <w:p>
      <w:pPr>
        <w:pStyle w:val="Defstart"/>
      </w:pPr>
      <w:r>
        <w:rPr>
          <w:b/>
        </w:rPr>
        <w:tab/>
        <w:t>“</w:t>
      </w:r>
      <w:r>
        <w:rPr>
          <w:rStyle w:val="CharDefText"/>
        </w:rPr>
        <w:t>holding corporation</w:t>
      </w:r>
      <w:r>
        <w:rPr>
          <w:b/>
        </w:rPr>
        <w:t>”</w:t>
      </w:r>
      <w:r>
        <w:t xml:space="preserve"> in relation to a corporation — </w:t>
      </w:r>
    </w:p>
    <w:p>
      <w:pPr>
        <w:pStyle w:val="Defpara"/>
      </w:pPr>
      <w:r>
        <w:tab/>
        <w:t>(a)</w:t>
      </w:r>
      <w:r>
        <w:tab/>
        <w:t xml:space="preserve">means a corporation —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 xml:space="preserve">is deemed to include — </w:t>
      </w:r>
    </w:p>
    <w:p>
      <w:pPr>
        <w:pStyle w:val="Defsubpara"/>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 xml:space="preserve">a corporation, if in respect of any trust referred to in subparagraph (i) that corporation — </w:t>
      </w:r>
    </w:p>
    <w:p>
      <w:pPr>
        <w:pStyle w:val="Defitem"/>
      </w:pPr>
      <w:r>
        <w:tab/>
        <w:t>(I)</w:t>
      </w:r>
      <w:r>
        <w:tab/>
        <w:t>is entitled to a share or interest in the trust whether vested or contingent; or</w:t>
      </w:r>
    </w:p>
    <w:p>
      <w:pPr>
        <w:pStyle w:val="Defitem"/>
      </w:pPr>
      <w:r>
        <w:tab/>
        <w:t>(II)</w:t>
      </w:r>
      <w:r>
        <w:tab/>
        <w:t xml:space="preserve">in the case of a discretionary trust, may benefit from that trust; </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119" w:name="_Toc107054975"/>
      <w:bookmarkStart w:id="1120" w:name="_Toc131416171"/>
      <w:bookmarkStart w:id="1121" w:name="_Toc170193354"/>
      <w:r>
        <w:rPr>
          <w:rStyle w:val="CharSectno"/>
        </w:rPr>
        <w:t>76ATL</w:t>
      </w:r>
      <w:r>
        <w:t>.</w:t>
      </w:r>
      <w:r>
        <w:tab/>
        <w:t>How dutiable value is determined</w:t>
      </w:r>
      <w:bookmarkEnd w:id="1119"/>
      <w:bookmarkEnd w:id="1120"/>
      <w:bookmarkEnd w:id="1121"/>
      <w:r>
        <w:t xml:space="preserve"> </w:t>
      </w:r>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 xml:space="preserve">Where the relevant acquisition is within section 76ATJ(1)(a)(ii) the dutiable value —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 xml:space="preserve">Unless subsection (6) applies, where the relevant acquisition is within section 76ATJ(1)(b) the dutiable value —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 xml:space="preserve">Where approval has been granted under section 76ATG(4) the dutiable value —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 xml:space="preserve">For the purposes of subsections (3), (4), (5) and (6) the unencumbered value of the land and chattels to which a corporation is entitled at any time is the sum of —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122" w:name="_Toc76899645"/>
      <w:bookmarkStart w:id="1123" w:name="_Toc78090547"/>
      <w:bookmarkStart w:id="1124" w:name="_Toc88886915"/>
      <w:bookmarkStart w:id="1125" w:name="_Toc90443531"/>
      <w:bookmarkStart w:id="1126" w:name="_Toc90452882"/>
      <w:bookmarkStart w:id="1127" w:name="_Toc100029473"/>
      <w:bookmarkStart w:id="1128" w:name="_Toc100031546"/>
      <w:bookmarkStart w:id="1129" w:name="_Toc100458605"/>
      <w:bookmarkStart w:id="1130" w:name="_Toc101672021"/>
      <w:bookmarkStart w:id="1131" w:name="_Toc101672278"/>
      <w:bookmarkStart w:id="1132" w:name="_Toc102799304"/>
      <w:bookmarkStart w:id="1133" w:name="_Toc102981978"/>
      <w:bookmarkStart w:id="1134" w:name="_Toc103403291"/>
      <w:bookmarkStart w:id="1135" w:name="_Toc103403548"/>
      <w:bookmarkStart w:id="1136" w:name="_Toc103747547"/>
      <w:bookmarkStart w:id="1137" w:name="_Toc107054976"/>
      <w:bookmarkStart w:id="1138" w:name="_Toc113874423"/>
      <w:bookmarkStart w:id="1139" w:name="_Toc113956839"/>
      <w:bookmarkStart w:id="1140" w:name="_Toc116717395"/>
      <w:bookmarkStart w:id="1141" w:name="_Toc116813422"/>
      <w:bookmarkStart w:id="1142" w:name="_Toc122333074"/>
      <w:bookmarkStart w:id="1143" w:name="_Toc122862044"/>
      <w:bookmarkStart w:id="1144" w:name="_Toc122862640"/>
      <w:bookmarkStart w:id="1145" w:name="_Toc122921247"/>
      <w:bookmarkStart w:id="1146" w:name="_Toc122921507"/>
      <w:bookmarkStart w:id="1147" w:name="_Toc122947452"/>
      <w:bookmarkStart w:id="1148" w:name="_Toc124046288"/>
      <w:bookmarkStart w:id="1149" w:name="_Toc131415873"/>
      <w:bookmarkStart w:id="1150" w:name="_Toc131416172"/>
      <w:bookmarkStart w:id="1151" w:name="_Toc170193355"/>
      <w:r>
        <w:rPr>
          <w:rStyle w:val="CharDivNo"/>
        </w:rPr>
        <w:t>Division 4</w:t>
      </w:r>
      <w:r>
        <w:t> — </w:t>
      </w:r>
      <w:r>
        <w:rPr>
          <w:rStyle w:val="CharDivText"/>
        </w:rPr>
        <w:t>Reassessment of liability for duty</w:t>
      </w:r>
      <w:bookmarkEnd w:id="1052"/>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r>
        <w:rPr>
          <w:rStyle w:val="CharDivText"/>
        </w:rPr>
        <w:t xml:space="preserve"> </w:t>
      </w:r>
    </w:p>
    <w:p>
      <w:pPr>
        <w:pStyle w:val="Footnoteheading"/>
        <w:keepNext/>
        <w:keepLines/>
        <w:tabs>
          <w:tab w:val="left" w:pos="923"/>
        </w:tabs>
        <w:ind w:left="937" w:hanging="937"/>
      </w:pPr>
      <w:r>
        <w:tab/>
        <w:t>[Heading inserted by No. 60 of 2000 s. 19.]</w:t>
      </w:r>
    </w:p>
    <w:p>
      <w:pPr>
        <w:pStyle w:val="Heading5"/>
      </w:pPr>
      <w:bookmarkStart w:id="1152" w:name="_Toc49223959"/>
      <w:bookmarkStart w:id="1153" w:name="_Toc107054977"/>
      <w:bookmarkStart w:id="1154" w:name="_Toc131416173"/>
      <w:bookmarkStart w:id="1155" w:name="_Toc170193356"/>
      <w:r>
        <w:rPr>
          <w:rStyle w:val="CharSectno"/>
        </w:rPr>
        <w:t>76AU</w:t>
      </w:r>
      <w:r>
        <w:t>.</w:t>
      </w:r>
      <w:r>
        <w:tab/>
        <w:t>Reassessment where deeming provision applied</w:t>
      </w:r>
      <w:bookmarkEnd w:id="1152"/>
      <w:bookmarkEnd w:id="1153"/>
      <w:bookmarkEnd w:id="1154"/>
      <w:bookmarkEnd w:id="1155"/>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pPr>
      <w:r>
        <w:tab/>
        <w:t>(ii)</w:t>
      </w:r>
      <w:r>
        <w:tab/>
        <w:t>the amount of the duty would have been less;</w:t>
      </w:r>
    </w:p>
    <w:p>
      <w:pPr>
        <w:pStyle w:val="Indenta"/>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156" w:name="_Toc76899647"/>
      <w:bookmarkStart w:id="1157" w:name="_Toc78090549"/>
      <w:bookmarkStart w:id="1158" w:name="_Toc88886917"/>
      <w:bookmarkStart w:id="1159" w:name="_Toc90443533"/>
      <w:bookmarkStart w:id="1160" w:name="_Toc90452884"/>
      <w:bookmarkStart w:id="1161" w:name="_Toc100029475"/>
      <w:bookmarkStart w:id="1162" w:name="_Toc100031548"/>
      <w:bookmarkStart w:id="1163" w:name="_Toc100458607"/>
      <w:bookmarkStart w:id="1164" w:name="_Toc101672023"/>
      <w:bookmarkStart w:id="1165" w:name="_Toc101672280"/>
      <w:bookmarkStart w:id="1166" w:name="_Toc102799306"/>
      <w:bookmarkStart w:id="1167" w:name="_Toc102981980"/>
      <w:bookmarkStart w:id="1168" w:name="_Toc103403293"/>
      <w:bookmarkStart w:id="1169" w:name="_Toc103403550"/>
      <w:bookmarkStart w:id="1170" w:name="_Toc103747549"/>
      <w:bookmarkStart w:id="1171" w:name="_Toc107054978"/>
      <w:bookmarkStart w:id="1172" w:name="_Toc113874425"/>
      <w:bookmarkStart w:id="1173" w:name="_Toc113956841"/>
      <w:bookmarkStart w:id="1174" w:name="_Toc116717397"/>
      <w:bookmarkStart w:id="1175" w:name="_Toc116813424"/>
      <w:bookmarkStart w:id="1176" w:name="_Toc122333076"/>
      <w:bookmarkStart w:id="1177" w:name="_Toc122862046"/>
      <w:bookmarkStart w:id="1178" w:name="_Toc122862642"/>
      <w:bookmarkStart w:id="1179" w:name="_Toc122921249"/>
      <w:bookmarkStart w:id="1180" w:name="_Toc122921509"/>
      <w:bookmarkStart w:id="1181" w:name="_Toc122947454"/>
      <w:bookmarkStart w:id="1182" w:name="_Toc124046290"/>
      <w:bookmarkStart w:id="1183" w:name="_Toc131415875"/>
      <w:bookmarkStart w:id="1184" w:name="_Toc131416174"/>
      <w:bookmarkStart w:id="1185" w:name="_Toc170193357"/>
      <w:r>
        <w:rPr>
          <w:rStyle w:val="CharDivNo"/>
        </w:rPr>
        <w:t>Division 5</w:t>
      </w:r>
      <w:r>
        <w:t> — </w:t>
      </w:r>
      <w:r>
        <w:rPr>
          <w:rStyle w:val="CharDivText"/>
        </w:rPr>
        <w:t>Avoidance of duty</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Footnoteheading"/>
        <w:tabs>
          <w:tab w:val="left" w:pos="851"/>
        </w:tabs>
        <w:spacing w:before="100"/>
      </w:pPr>
      <w:r>
        <w:tab/>
        <w:t>[Heading inserted by No. 11 of 2004 s. 31.]</w:t>
      </w:r>
    </w:p>
    <w:p>
      <w:pPr>
        <w:pStyle w:val="Heading5"/>
        <w:spacing w:before="200"/>
      </w:pPr>
      <w:bookmarkStart w:id="1186" w:name="_Toc107054979"/>
      <w:bookmarkStart w:id="1187" w:name="_Toc131416175"/>
      <w:bookmarkStart w:id="1188" w:name="_Toc170193358"/>
      <w:r>
        <w:rPr>
          <w:rStyle w:val="CharSectno"/>
        </w:rPr>
        <w:t>76AV</w:t>
      </w:r>
      <w:r>
        <w:t>.</w:t>
      </w:r>
      <w:r>
        <w:tab/>
        <w:t>Commissioner may determine that an obligation to lodge a statement has been avoided</w:t>
      </w:r>
      <w:bookmarkEnd w:id="1186"/>
      <w:bookmarkEnd w:id="1187"/>
      <w:bookmarkEnd w:id="1188"/>
    </w:p>
    <w:p>
      <w:pPr>
        <w:pStyle w:val="Subsection"/>
        <w:spacing w:before="140"/>
      </w:pPr>
      <w:r>
        <w:tab/>
        <w:t>(1)</w:t>
      </w:r>
      <w:r>
        <w:tab/>
        <w:t xml:space="preserve">This Division applies to an arrangement or scheme (the </w:t>
      </w:r>
      <w:r>
        <w:rPr>
          <w:b/>
        </w:rPr>
        <w:t>“</w:t>
      </w:r>
      <w:r>
        <w:rPr>
          <w:rStyle w:val="CharDefText"/>
        </w:rPr>
        <w:t>scheme</w:t>
      </w:r>
      <w:r>
        <w:rPr>
          <w:b/>
        </w:rPr>
        <w:t>”</w:t>
      </w:r>
      <w:r>
        <w:t xml:space="preserve">) if the Commissioner determines that, but for the scheme —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 xml:space="preserve">For the purposes of subsection (2) the Commissioner may have regard to —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189" w:name="_Toc107054980"/>
      <w:bookmarkStart w:id="1190" w:name="_Toc131416176"/>
      <w:bookmarkStart w:id="1191" w:name="_Toc170193359"/>
      <w:r>
        <w:rPr>
          <w:rStyle w:val="CharSectno"/>
        </w:rPr>
        <w:t>76AW</w:t>
      </w:r>
      <w:r>
        <w:t>.</w:t>
      </w:r>
      <w:r>
        <w:tab/>
        <w:t>Liability to pay duty that has been avoided</w:t>
      </w:r>
      <w:bookmarkEnd w:id="1189"/>
      <w:bookmarkEnd w:id="1190"/>
      <w:bookmarkEnd w:id="1191"/>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192" w:name="_Toc107054981"/>
      <w:bookmarkStart w:id="1193" w:name="_Toc131416177"/>
      <w:bookmarkStart w:id="1194" w:name="_Toc170193360"/>
      <w:r>
        <w:rPr>
          <w:rStyle w:val="CharSectno"/>
        </w:rPr>
        <w:t>76AX</w:t>
      </w:r>
      <w:r>
        <w:t>.</w:t>
      </w:r>
      <w:r>
        <w:tab/>
        <w:t>Reasons for determination that duty has been avoided</w:t>
      </w:r>
      <w:bookmarkEnd w:id="1192"/>
      <w:bookmarkEnd w:id="1193"/>
      <w:bookmarkEnd w:id="1194"/>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195" w:name="_Toc58902618"/>
      <w:bookmarkStart w:id="1196" w:name="_Toc76899651"/>
      <w:bookmarkStart w:id="1197" w:name="_Toc78090553"/>
      <w:bookmarkStart w:id="1198" w:name="_Toc88886921"/>
      <w:bookmarkStart w:id="1199" w:name="_Toc90443537"/>
      <w:bookmarkStart w:id="1200" w:name="_Toc90452888"/>
      <w:bookmarkStart w:id="1201" w:name="_Toc100029479"/>
      <w:bookmarkStart w:id="1202" w:name="_Toc100031552"/>
      <w:bookmarkStart w:id="1203" w:name="_Toc100458611"/>
      <w:bookmarkStart w:id="1204" w:name="_Toc101672027"/>
      <w:bookmarkStart w:id="1205" w:name="_Toc101672284"/>
      <w:bookmarkStart w:id="1206" w:name="_Toc102799310"/>
      <w:bookmarkStart w:id="1207" w:name="_Toc102981984"/>
      <w:bookmarkStart w:id="1208" w:name="_Toc103403297"/>
      <w:bookmarkStart w:id="1209" w:name="_Toc103403554"/>
      <w:bookmarkStart w:id="1210" w:name="_Toc103747553"/>
      <w:bookmarkStart w:id="1211" w:name="_Toc107054982"/>
      <w:bookmarkStart w:id="1212" w:name="_Toc113874429"/>
      <w:bookmarkStart w:id="1213" w:name="_Toc113956845"/>
      <w:bookmarkStart w:id="1214" w:name="_Toc116717401"/>
      <w:bookmarkStart w:id="1215" w:name="_Toc116813428"/>
      <w:bookmarkStart w:id="1216" w:name="_Toc122333080"/>
      <w:bookmarkStart w:id="1217" w:name="_Toc122862050"/>
      <w:bookmarkStart w:id="1218" w:name="_Toc122862646"/>
      <w:bookmarkStart w:id="1219" w:name="_Toc122921253"/>
      <w:bookmarkStart w:id="1220" w:name="_Toc122921513"/>
      <w:bookmarkStart w:id="1221" w:name="_Toc122947458"/>
      <w:bookmarkStart w:id="1222" w:name="_Toc124046294"/>
      <w:bookmarkStart w:id="1223" w:name="_Toc131415879"/>
      <w:bookmarkStart w:id="1224" w:name="_Toc131416178"/>
      <w:bookmarkStart w:id="1225" w:name="_Toc170193361"/>
      <w:r>
        <w:rPr>
          <w:rStyle w:val="CharPartNo"/>
        </w:rPr>
        <w:t>Part IIIC</w:t>
      </w:r>
      <w:r>
        <w:rPr>
          <w:rStyle w:val="CharDivNo"/>
        </w:rPr>
        <w:t> </w:t>
      </w:r>
      <w:r>
        <w:t>—</w:t>
      </w:r>
      <w:r>
        <w:rPr>
          <w:rStyle w:val="CharDivText"/>
        </w:rPr>
        <w:t> </w:t>
      </w:r>
      <w:r>
        <w:rPr>
          <w:rStyle w:val="CharPartText"/>
        </w:rPr>
        <w:t>Vehicle licences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Footnoteheading"/>
        <w:tabs>
          <w:tab w:val="left" w:pos="923"/>
        </w:tabs>
        <w:ind w:left="937" w:hanging="937"/>
      </w:pPr>
      <w:r>
        <w:tab/>
        <w:t>[Heading inserted by No. 2 of 2003 s. 100.]</w:t>
      </w:r>
    </w:p>
    <w:p>
      <w:pPr>
        <w:pStyle w:val="Heading5"/>
      </w:pPr>
      <w:bookmarkStart w:id="1226" w:name="_Toc49223960"/>
      <w:bookmarkStart w:id="1227" w:name="_Toc107054983"/>
      <w:bookmarkStart w:id="1228" w:name="_Toc131416179"/>
      <w:bookmarkStart w:id="1229" w:name="_Toc170193362"/>
      <w:r>
        <w:rPr>
          <w:rStyle w:val="CharSectno"/>
        </w:rPr>
        <w:t>76B</w:t>
      </w:r>
      <w:r>
        <w:t>.</w:t>
      </w:r>
      <w:r>
        <w:tab/>
        <w:t>Interpretation in Part IIIC</w:t>
      </w:r>
      <w:bookmarkEnd w:id="1226"/>
      <w:bookmarkEnd w:id="1227"/>
      <w:bookmarkEnd w:id="1228"/>
      <w:bookmarkEnd w:id="1229"/>
    </w:p>
    <w:p>
      <w:pPr>
        <w:pStyle w:val="Subsection"/>
      </w:pPr>
      <w:r>
        <w:tab/>
        <w:t>(1)</w:t>
      </w:r>
      <w:r>
        <w:tab/>
        <w:t xml:space="preserve">In this Part —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 </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 </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t>“</w:t>
      </w:r>
      <w:r>
        <w:rPr>
          <w:rStyle w:val="CharDefText"/>
        </w:rPr>
        <w:t>market value</w:t>
      </w:r>
      <w:r>
        <w:t xml:space="preserve">” means — </w:t>
      </w:r>
    </w:p>
    <w:p>
      <w:pPr>
        <w:pStyle w:val="Defpara"/>
      </w:pPr>
      <w:r>
        <w:tab/>
        <w:t>(a)</w:t>
      </w:r>
      <w:r>
        <w:tab/>
        <w:t xml:space="preserve">in relation to a new vehicle —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 xml:space="preserve">the sum of —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xml:space="preserve">, in relation to a vehicle, includes any amount — </w:t>
      </w:r>
    </w:p>
    <w:p>
      <w:pPr>
        <w:pStyle w:val="Defpara"/>
        <w:spacing w:before="70"/>
      </w:pPr>
      <w:r>
        <w:tab/>
        <w:t>(a)</w:t>
      </w:r>
      <w:r>
        <w:tab/>
        <w:t>allowed by the seller on a trade</w:t>
      </w:r>
      <w:r>
        <w:noBreakHyphen/>
        <w:t>in or an exchange of any article;</w:t>
      </w:r>
    </w:p>
    <w:p>
      <w:pPr>
        <w:pStyle w:val="Defpara"/>
        <w:spacing w:before="70"/>
      </w:pPr>
      <w:r>
        <w:tab/>
        <w:t>(b)</w:t>
      </w:r>
      <w:r>
        <w:tab/>
        <w:t xml:space="preserve">paid to the seller for anything included with or incorporated into the vehicle; or </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 xml:space="preserve">a crane; </w:t>
      </w:r>
    </w:p>
    <w:p>
      <w:pPr>
        <w:pStyle w:val="Defpara"/>
        <w:spacing w:before="70"/>
      </w:pPr>
      <w:r>
        <w:tab/>
        <w:t>(b)</w:t>
      </w:r>
      <w:r>
        <w:tab/>
        <w:t xml:space="preserve">an excavator, road roller, road grader, bulldozer, mechanical shovel, plough, rotary hoe or similar plant; </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 xml:space="preserve">road sweeping equipment; </w:t>
      </w:r>
    </w:p>
    <w:p>
      <w:pPr>
        <w:pStyle w:val="Defpara"/>
        <w:spacing w:before="60"/>
      </w:pPr>
      <w:r>
        <w:tab/>
        <w:t>(h)</w:t>
      </w:r>
      <w:r>
        <w:tab/>
        <w:t xml:space="preserve">a refrigeration unit; </w:t>
      </w:r>
    </w:p>
    <w:p>
      <w:pPr>
        <w:pStyle w:val="Defpara"/>
        <w:spacing w:before="60"/>
      </w:pPr>
      <w:r>
        <w:tab/>
        <w:t>(i)</w:t>
      </w:r>
      <w:r>
        <w:tab/>
        <w:t>a stock crate;</w:t>
      </w:r>
    </w:p>
    <w:p>
      <w:pPr>
        <w:pStyle w:val="Defpara"/>
        <w:spacing w:before="60"/>
      </w:pPr>
      <w:r>
        <w:tab/>
        <w:t>(j)</w:t>
      </w:r>
      <w:r>
        <w:tab/>
        <w:t xml:space="preserve">a tank for transporting liquids; </w:t>
      </w:r>
    </w:p>
    <w:p>
      <w:pPr>
        <w:pStyle w:val="Defpara"/>
        <w:spacing w:before="60"/>
      </w:pPr>
      <w:r>
        <w:tab/>
        <w:t>(k)</w:t>
      </w:r>
      <w:r>
        <w:tab/>
        <w:t xml:space="preserve">equipment to make the vehicle habitable by a person in the course of a journey; or </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230" w:name="_Toc49223961"/>
      <w:bookmarkStart w:id="1231" w:name="_Toc107054984"/>
      <w:bookmarkStart w:id="1232" w:name="_Toc131416180"/>
      <w:bookmarkStart w:id="1233" w:name="_Toc170193363"/>
      <w:r>
        <w:rPr>
          <w:rStyle w:val="CharSectno"/>
        </w:rPr>
        <w:t>76C</w:t>
      </w:r>
      <w:r>
        <w:t>.</w:t>
      </w:r>
      <w:r>
        <w:tab/>
        <w:t>Non</w:t>
      </w:r>
      <w:r>
        <w:noBreakHyphen/>
        <w:t>beneficial change of ownership</w:t>
      </w:r>
      <w:bookmarkEnd w:id="1230"/>
      <w:bookmarkEnd w:id="1231"/>
      <w:bookmarkEnd w:id="1232"/>
      <w:bookmarkEnd w:id="1233"/>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 xml:space="preserve">acquired the legal ownership of the vehicle in his or her capacity as trustee, discretionary trustee or unit trustee (as the case requires); and </w:t>
      </w:r>
    </w:p>
    <w:p>
      <w:pPr>
        <w:pStyle w:val="Indenti"/>
      </w:pPr>
      <w:r>
        <w:tab/>
        <w:t>(ii)</w:t>
      </w:r>
      <w:r>
        <w:tab/>
        <w:t xml:space="preserve">paid duty on the grant or transfer to him or her of the licence. </w:t>
      </w:r>
    </w:p>
    <w:p>
      <w:pPr>
        <w:pStyle w:val="Subsection"/>
      </w:pPr>
      <w:r>
        <w:tab/>
        <w:t>(2)</w:t>
      </w:r>
      <w:r>
        <w:tab/>
        <w:t xml:space="preserve">An application for an authorisation is to be made to the Commissioner in an approved form. </w:t>
      </w:r>
    </w:p>
    <w:p>
      <w:pPr>
        <w:pStyle w:val="Subsection"/>
      </w:pPr>
      <w:r>
        <w:tab/>
        <w:t>(3)</w:t>
      </w:r>
      <w:r>
        <w:tab/>
        <w:t xml:space="preserve">For the purposes of subsection (1)(a), a change in the legal ownership of a vehicle does not change the beneficial ownership of the vehicle if —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 xml:space="preserve">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 </w:t>
      </w:r>
    </w:p>
    <w:p>
      <w:pPr>
        <w:pStyle w:val="Indenta"/>
        <w:spacing w:before="100"/>
      </w:pPr>
      <w:r>
        <w:tab/>
        <w:t>(e)</w:t>
      </w:r>
      <w:r>
        <w:tab/>
        <w:t>the legal ownership of the vehicle passes to the holder of a unit in a unit trust scheme from the unit trustee if the change in the legal ownership of the vehicle —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 xml:space="preserve">does not have the effect of varying, abrogating or altering the rights of the holder or holders of other units under the unit trust scheme in respect of the remaining trust property; </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234" w:name="_Toc49223962"/>
      <w:bookmarkStart w:id="1235" w:name="_Toc107054985"/>
      <w:bookmarkStart w:id="1236" w:name="_Toc131416181"/>
      <w:bookmarkStart w:id="1237" w:name="_Toc170193364"/>
      <w:r>
        <w:rPr>
          <w:rStyle w:val="CharSectno"/>
        </w:rPr>
        <w:t>76D</w:t>
      </w:r>
      <w:r>
        <w:t>.</w:t>
      </w:r>
      <w:r>
        <w:tab/>
        <w:t>Duty on the grant or transfer of a vehicle licence</w:t>
      </w:r>
      <w:bookmarkEnd w:id="1234"/>
      <w:bookmarkEnd w:id="1235"/>
      <w:bookmarkEnd w:id="1236"/>
      <w:bookmarkEnd w:id="1237"/>
    </w:p>
    <w:p>
      <w:pPr>
        <w:pStyle w:val="Subsection"/>
        <w:keepNext/>
      </w:pPr>
      <w:r>
        <w:tab/>
        <w:t>(1)</w:t>
      </w:r>
      <w:r>
        <w:tab/>
        <w:t>Subject to this section, duty is payable on the grant or transfer of a licence in accordance with item 14 of the Second Schedule.</w:t>
      </w:r>
    </w:p>
    <w:p>
      <w:pPr>
        <w:pStyle w:val="Subsection"/>
        <w:keepNext/>
      </w:pPr>
      <w:r>
        <w:tab/>
        <w:t>(2)</w:t>
      </w:r>
      <w:r>
        <w:tab/>
        <w:t xml:space="preserve">Subject to this section, duty is payable on the transfer of a licence in accordance with item 6 of the Second Schedule if —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 </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 xml:space="preserve">the dealer has acquired the vehicle to which the licence relates solely for the purpose of reselling it to another person; </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 xml:space="preserve">the dealer acquired the vehicle to which the licence relates solely for the purpose of — </w:t>
      </w:r>
    </w:p>
    <w:p>
      <w:pPr>
        <w:pStyle w:val="Indenti"/>
      </w:pPr>
      <w:r>
        <w:tab/>
        <w:t>(i)</w:t>
      </w:r>
      <w:r>
        <w:tab/>
        <w:t>selling it to another person in the ordinary course of the dealer’s business; or</w:t>
      </w:r>
    </w:p>
    <w:p>
      <w:pPr>
        <w:pStyle w:val="Indenti"/>
        <w:keepNext/>
      </w:pPr>
      <w:r>
        <w:tab/>
        <w:t>(ii)</w:t>
      </w:r>
      <w:r>
        <w:tab/>
        <w:t xml:space="preserve">demonstrating it to prospective purchasers; </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 xml:space="preserve">Duty is not payable on the grant or transfer of a licence to a dealer if — </w:t>
      </w:r>
    </w:p>
    <w:p>
      <w:pPr>
        <w:pStyle w:val="Indenta"/>
      </w:pPr>
      <w:r>
        <w:tab/>
        <w:t>(a)</w:t>
      </w:r>
      <w:r>
        <w:tab/>
        <w:t xml:space="preserve">the vehicle for which the licence was granted or transferred is to be loaned by the dealer —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xml:space="preserve">) is to be calculated on the net value of the vehicle if —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 xml:space="preserve">); </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 xml:space="preserve">if the original equipment is removed from vehicle B and vehicle B is used with different equipment, the original equipment will not be attached to any other vehicle for which the applicant intends to become the licence holder. </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238" w:name="_Toc49223963"/>
      <w:bookmarkStart w:id="1239" w:name="_Toc107054986"/>
      <w:bookmarkStart w:id="1240" w:name="_Toc131416182"/>
      <w:bookmarkStart w:id="1241" w:name="_Toc170193365"/>
      <w:r>
        <w:rPr>
          <w:rStyle w:val="CharSectno"/>
        </w:rPr>
        <w:t>76E</w:t>
      </w:r>
      <w:r>
        <w:t>.</w:t>
      </w:r>
      <w:r>
        <w:tab/>
        <w:t>Determination of value and assessment of duty</w:t>
      </w:r>
      <w:bookmarkEnd w:id="1238"/>
      <w:bookmarkEnd w:id="1239"/>
      <w:bookmarkEnd w:id="1240"/>
      <w:bookmarkEnd w:id="1241"/>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 xml:space="preserve">if section 76D(6) applies, the net value, </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242" w:name="_Toc49223964"/>
      <w:bookmarkStart w:id="1243" w:name="_Toc107054987"/>
      <w:bookmarkStart w:id="1244" w:name="_Toc131416183"/>
      <w:bookmarkStart w:id="1245" w:name="_Toc170193366"/>
      <w:r>
        <w:rPr>
          <w:rStyle w:val="CharSectno"/>
        </w:rPr>
        <w:t>76F</w:t>
      </w:r>
      <w:r>
        <w:t>.</w:t>
      </w:r>
      <w:r>
        <w:tab/>
        <w:t>Payment of duty</w:t>
      </w:r>
      <w:bookmarkEnd w:id="1242"/>
      <w:bookmarkEnd w:id="1243"/>
      <w:bookmarkEnd w:id="1244"/>
      <w:bookmarkEnd w:id="1245"/>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246" w:name="_Toc49223965"/>
      <w:bookmarkStart w:id="1247" w:name="_Toc107054988"/>
      <w:bookmarkStart w:id="1248" w:name="_Toc131416184"/>
      <w:bookmarkStart w:id="1249" w:name="_Toc170193367"/>
      <w:r>
        <w:rPr>
          <w:rStyle w:val="CharSectno"/>
        </w:rPr>
        <w:t>76G</w:t>
      </w:r>
      <w:r>
        <w:t>.</w:t>
      </w:r>
      <w:r>
        <w:tab/>
        <w:t>Applicant’s statement of value in application</w:t>
      </w:r>
      <w:bookmarkEnd w:id="1246"/>
      <w:bookmarkEnd w:id="1247"/>
      <w:bookmarkEnd w:id="1248"/>
      <w:bookmarkEnd w:id="1249"/>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250" w:name="_Toc49223966"/>
      <w:bookmarkStart w:id="1251" w:name="_Toc107054989"/>
      <w:bookmarkStart w:id="1252" w:name="_Toc131416185"/>
      <w:bookmarkStart w:id="1253" w:name="_Toc170193368"/>
      <w:r>
        <w:rPr>
          <w:rStyle w:val="CharSectno"/>
        </w:rPr>
        <w:t>76H</w:t>
      </w:r>
      <w:r>
        <w:t>.</w:t>
      </w:r>
      <w:r>
        <w:tab/>
        <w:t>Seller’s obligation to notify purchase price</w:t>
      </w:r>
      <w:bookmarkEnd w:id="1250"/>
      <w:bookmarkEnd w:id="1251"/>
      <w:bookmarkEnd w:id="1252"/>
      <w:bookmarkEnd w:id="1253"/>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 xml:space="preserve">A dealer who sells a new vehicle must, within 7 days after the sale, give to the Director General a statement signed by the dealer setting out —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254" w:name="_Toc49223967"/>
      <w:bookmarkStart w:id="1255" w:name="_Toc107054990"/>
      <w:bookmarkStart w:id="1256" w:name="_Toc131416186"/>
      <w:bookmarkStart w:id="1257" w:name="_Toc170193369"/>
      <w:r>
        <w:rPr>
          <w:rStyle w:val="CharSectno"/>
        </w:rPr>
        <w:t>76I</w:t>
      </w:r>
      <w:r>
        <w:t>.</w:t>
      </w:r>
      <w:r>
        <w:tab/>
        <w:t>Use of dealer registered vehicle for other purposes</w:t>
      </w:r>
      <w:bookmarkEnd w:id="1254"/>
      <w:bookmarkEnd w:id="1255"/>
      <w:bookmarkEnd w:id="1256"/>
      <w:bookmarkEnd w:id="1257"/>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 </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258" w:name="_Toc49223968"/>
      <w:bookmarkStart w:id="1259" w:name="_Toc107054991"/>
      <w:bookmarkStart w:id="1260" w:name="_Toc131416187"/>
      <w:bookmarkStart w:id="1261" w:name="_Toc170193370"/>
      <w:r>
        <w:rPr>
          <w:rStyle w:val="CharSectno"/>
        </w:rPr>
        <w:t>76J</w:t>
      </w:r>
      <w:r>
        <w:t>.</w:t>
      </w:r>
      <w:r>
        <w:tab/>
        <w:t>Use of specialised equipment on another vehicle</w:t>
      </w:r>
      <w:bookmarkEnd w:id="1258"/>
      <w:bookmarkEnd w:id="1259"/>
      <w:bookmarkEnd w:id="1260"/>
      <w:bookmarkEnd w:id="1261"/>
    </w:p>
    <w:p>
      <w:pPr>
        <w:pStyle w:val="Subsection"/>
      </w:pPr>
      <w:r>
        <w:tab/>
        <w:t>(1)</w:t>
      </w:r>
      <w:r>
        <w:tab/>
        <w:t>If —</w:t>
      </w:r>
    </w:p>
    <w:p>
      <w:pPr>
        <w:pStyle w:val="Indenta"/>
      </w:pPr>
      <w:r>
        <w:tab/>
        <w:t>(a)</w:t>
      </w:r>
      <w:r>
        <w:tab/>
        <w:t xml:space="preserve">under section 76D(6) duty on the grant or transfer of a licence for an eligible vehicle to a person is calculated on the net value of the vehicle; and </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 xml:space="preserve">), </w:t>
      </w:r>
    </w:p>
    <w:p>
      <w:pPr>
        <w:pStyle w:val="Subsection"/>
      </w:pPr>
      <w:r>
        <w:tab/>
      </w:r>
      <w:r>
        <w:tab/>
        <w:t xml:space="preserve">the person must not attach the original equipment to any other vehicle for which the licensee intends to become the licence holder. </w:t>
      </w:r>
    </w:p>
    <w:p>
      <w:pPr>
        <w:pStyle w:val="Penstart"/>
      </w:pPr>
      <w:r>
        <w:tab/>
        <w:t>Penalty: $20 000.</w:t>
      </w:r>
    </w:p>
    <w:p>
      <w:pPr>
        <w:pStyle w:val="Subsection"/>
        <w:keepNext/>
      </w:pPr>
      <w:r>
        <w:tab/>
        <w:t>(2)</w:t>
      </w:r>
      <w:r>
        <w:tab/>
        <w:t>If a licensee contravenes subsection (1) —</w:t>
      </w:r>
    </w:p>
    <w:p>
      <w:pPr>
        <w:pStyle w:val="Indenta"/>
        <w:rPr>
          <w:snapToGrid w:val="0"/>
        </w:rPr>
      </w:pPr>
      <w:r>
        <w:rPr>
          <w:spacing w:val="-4"/>
        </w:rPr>
        <w:tab/>
        <w:t>(a)</w:t>
      </w:r>
      <w:r>
        <w:rPr>
          <w:spacing w:val="-4"/>
        </w:rPr>
        <w:tab/>
      </w:r>
      <w:r>
        <w:rPr>
          <w:snapToGrid w:val="0"/>
          <w:spacing w:val="-4"/>
        </w:rPr>
        <w:t xml:space="preserve">the grant or transfer of the licence is taken to be, and always to have been, chargeable with duty on the market value of the eligible vehicle including the specialised equipment attached to it; </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262" w:name="_Toc49223969"/>
      <w:bookmarkStart w:id="1263" w:name="_Toc107054992"/>
      <w:bookmarkStart w:id="1264" w:name="_Toc131416188"/>
      <w:bookmarkStart w:id="1265" w:name="_Toc170193371"/>
      <w:r>
        <w:rPr>
          <w:rStyle w:val="CharSectno"/>
        </w:rPr>
        <w:t>76K</w:t>
      </w:r>
      <w:r>
        <w:t>.</w:t>
      </w:r>
      <w:r>
        <w:tab/>
        <w:t>Failure to apply for transfer of licence</w:t>
      </w:r>
      <w:bookmarkEnd w:id="1262"/>
      <w:bookmarkEnd w:id="1263"/>
      <w:bookmarkEnd w:id="1264"/>
      <w:bookmarkEnd w:id="1265"/>
      <w:r>
        <w:t xml:space="preserve"> </w:t>
      </w:r>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 xml:space="preserve">. </w:t>
      </w:r>
    </w:p>
    <w:p>
      <w:pPr>
        <w:pStyle w:val="Footnotesection"/>
      </w:pPr>
      <w:r>
        <w:tab/>
        <w:t>[Section 76K inserted by No. 2 of 2003 s. 100.]</w:t>
      </w:r>
    </w:p>
    <w:p>
      <w:pPr>
        <w:pStyle w:val="Heading5"/>
      </w:pPr>
      <w:bookmarkStart w:id="1266" w:name="_Toc49223970"/>
      <w:bookmarkStart w:id="1267" w:name="_Toc107054993"/>
      <w:bookmarkStart w:id="1268" w:name="_Toc131416189"/>
      <w:bookmarkStart w:id="1269" w:name="_Toc170193372"/>
      <w:r>
        <w:rPr>
          <w:rStyle w:val="CharSectno"/>
        </w:rPr>
        <w:t>76L</w:t>
      </w:r>
      <w:r>
        <w:t>.</w:t>
      </w:r>
      <w:r>
        <w:tab/>
        <w:t>Powers of Director General and Commissioner</w:t>
      </w:r>
      <w:bookmarkEnd w:id="1266"/>
      <w:bookmarkEnd w:id="1267"/>
      <w:bookmarkEnd w:id="1268"/>
      <w:bookmarkEnd w:id="1269"/>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270" w:name="_Toc49223971"/>
      <w:bookmarkStart w:id="1271" w:name="_Toc107054994"/>
      <w:bookmarkStart w:id="1272" w:name="_Toc131416190"/>
      <w:bookmarkStart w:id="1273" w:name="_Toc170193373"/>
      <w:r>
        <w:rPr>
          <w:rStyle w:val="CharSectno"/>
        </w:rPr>
        <w:t>76M</w:t>
      </w:r>
      <w:r>
        <w:t>.</w:t>
      </w:r>
      <w:r>
        <w:tab/>
        <w:t>Duty to be remitted to Commissioner</w:t>
      </w:r>
      <w:bookmarkEnd w:id="1270"/>
      <w:bookmarkEnd w:id="1271"/>
      <w:bookmarkEnd w:id="1272"/>
      <w:bookmarkEnd w:id="1273"/>
    </w:p>
    <w:p>
      <w:pPr>
        <w:pStyle w:val="Subsection"/>
      </w:pPr>
      <w:r>
        <w:tab/>
      </w:r>
      <w:r>
        <w:tab/>
        <w:t xml:space="preserve">The Director General must, in accordance with any agreement between the Director General and the Commissioner —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274" w:name="_Toc122241798"/>
      <w:bookmarkStart w:id="1275" w:name="_Toc122331086"/>
      <w:bookmarkStart w:id="1276" w:name="_Toc131416191"/>
      <w:bookmarkStart w:id="1277" w:name="_Toc170193374"/>
      <w:r>
        <w:rPr>
          <w:rStyle w:val="CharSectno"/>
        </w:rPr>
        <w:t>76N</w:t>
      </w:r>
      <w:r>
        <w:t>.</w:t>
      </w:r>
      <w:r>
        <w:tab/>
        <w:t>Records</w:t>
      </w:r>
      <w:bookmarkEnd w:id="1274"/>
      <w:bookmarkEnd w:id="1275"/>
      <w:bookmarkEnd w:id="1276"/>
      <w:bookmarkEnd w:id="1277"/>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278" w:name="_Toc58902631"/>
      <w:bookmarkStart w:id="1279" w:name="_Toc76899664"/>
      <w:bookmarkStart w:id="1280" w:name="_Toc78090566"/>
      <w:bookmarkStart w:id="1281" w:name="_Toc88886934"/>
      <w:bookmarkStart w:id="1282" w:name="_Toc90443550"/>
      <w:bookmarkStart w:id="1283" w:name="_Toc90452901"/>
      <w:bookmarkStart w:id="1284" w:name="_Toc100029492"/>
      <w:bookmarkStart w:id="1285" w:name="_Toc100031565"/>
      <w:bookmarkStart w:id="1286" w:name="_Toc100458624"/>
      <w:bookmarkStart w:id="1287" w:name="_Toc101672040"/>
      <w:bookmarkStart w:id="1288" w:name="_Toc101672297"/>
      <w:bookmarkStart w:id="1289" w:name="_Toc102799323"/>
      <w:bookmarkStart w:id="1290" w:name="_Toc102981997"/>
      <w:bookmarkStart w:id="1291" w:name="_Toc103403310"/>
      <w:bookmarkStart w:id="1292" w:name="_Toc103403567"/>
      <w:bookmarkStart w:id="1293" w:name="_Toc103747566"/>
      <w:bookmarkStart w:id="1294" w:name="_Toc107054995"/>
      <w:bookmarkStart w:id="1295" w:name="_Toc113874442"/>
      <w:bookmarkStart w:id="1296" w:name="_Toc113956858"/>
      <w:bookmarkStart w:id="1297" w:name="_Toc116717414"/>
      <w:bookmarkStart w:id="1298" w:name="_Toc116813441"/>
      <w:bookmarkStart w:id="1299" w:name="_Toc122333094"/>
      <w:bookmarkStart w:id="1300" w:name="_Toc122862064"/>
      <w:bookmarkStart w:id="1301" w:name="_Toc122862660"/>
      <w:bookmarkStart w:id="1302" w:name="_Toc122921267"/>
      <w:bookmarkStart w:id="1303" w:name="_Toc122921527"/>
      <w:bookmarkStart w:id="1304" w:name="_Toc122947472"/>
      <w:bookmarkStart w:id="1305" w:name="_Toc124046308"/>
      <w:bookmarkStart w:id="1306" w:name="_Toc131415893"/>
      <w:bookmarkStart w:id="1307" w:name="_Toc131416192"/>
      <w:bookmarkStart w:id="1308" w:name="_Toc170193375"/>
      <w:r>
        <w:rPr>
          <w:rStyle w:val="CharPartNo"/>
        </w:rPr>
        <w:t>Part IIID</w:t>
      </w:r>
      <w:r>
        <w:rPr>
          <w:rStyle w:val="CharDivNo"/>
        </w:rPr>
        <w:t> </w:t>
      </w:r>
      <w:r>
        <w:t>—</w:t>
      </w:r>
      <w:r>
        <w:rPr>
          <w:rStyle w:val="CharDivText"/>
        </w:rPr>
        <w:t> </w:t>
      </w:r>
      <w:r>
        <w:rPr>
          <w:rStyle w:val="CharPartText"/>
        </w:rPr>
        <w:t>Leases</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rPr>
          <w:rStyle w:val="CharPartText"/>
        </w:rPr>
        <w:t xml:space="preserve"> </w:t>
      </w:r>
    </w:p>
    <w:p>
      <w:pPr>
        <w:pStyle w:val="Footnoteheading"/>
        <w:tabs>
          <w:tab w:val="left" w:pos="923"/>
        </w:tabs>
        <w:ind w:left="937" w:hanging="937"/>
        <w:rPr>
          <w:snapToGrid w:val="0"/>
        </w:rPr>
      </w:pPr>
      <w:r>
        <w:rPr>
          <w:snapToGrid w:val="0"/>
        </w:rPr>
        <w:tab/>
        <w:t xml:space="preserve">[Heading inserted by No. 37 of 1979 s. 56.] </w:t>
      </w:r>
    </w:p>
    <w:p>
      <w:pPr>
        <w:pStyle w:val="Heading5"/>
        <w:spacing w:before="200"/>
        <w:rPr>
          <w:snapToGrid w:val="0"/>
        </w:rPr>
      </w:pPr>
      <w:bookmarkStart w:id="1309" w:name="_Toc500739998"/>
      <w:bookmarkStart w:id="1310" w:name="_Toc520101190"/>
      <w:bookmarkStart w:id="1311" w:name="_Toc520533089"/>
      <w:bookmarkStart w:id="1312" w:name="_Toc49223972"/>
      <w:bookmarkStart w:id="1313" w:name="_Toc107054996"/>
      <w:bookmarkStart w:id="1314" w:name="_Toc131416193"/>
      <w:bookmarkStart w:id="1315" w:name="_Toc170193376"/>
      <w:r>
        <w:rPr>
          <w:rStyle w:val="CharSectno"/>
        </w:rPr>
        <w:t>77</w:t>
      </w:r>
      <w:r>
        <w:rPr>
          <w:snapToGrid w:val="0"/>
        </w:rPr>
        <w:t>.</w:t>
      </w:r>
      <w:r>
        <w:rPr>
          <w:snapToGrid w:val="0"/>
        </w:rPr>
        <w:tab/>
        <w:t>Agreement for any lease to be charged as a lease</w:t>
      </w:r>
      <w:bookmarkEnd w:id="1309"/>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316" w:name="_Toc107054997"/>
      <w:bookmarkStart w:id="1317" w:name="_Toc131416194"/>
      <w:bookmarkStart w:id="1318" w:name="_Toc170193377"/>
      <w:bookmarkStart w:id="1319" w:name="_Toc500739999"/>
      <w:bookmarkStart w:id="1320" w:name="_Toc520101191"/>
      <w:bookmarkStart w:id="1321" w:name="_Toc520533090"/>
      <w:bookmarkStart w:id="1322" w:name="_Toc49223973"/>
      <w:r>
        <w:rPr>
          <w:rStyle w:val="CharSectno"/>
        </w:rPr>
        <w:t>77A</w:t>
      </w:r>
      <w:r>
        <w:t>.</w:t>
      </w:r>
      <w:r>
        <w:tab/>
        <w:t>Offer to lease</w:t>
      </w:r>
      <w:bookmarkEnd w:id="1316"/>
      <w:bookmarkEnd w:id="1317"/>
      <w:bookmarkEnd w:id="1318"/>
    </w:p>
    <w:p>
      <w:pPr>
        <w:pStyle w:val="Subsection"/>
      </w:pPr>
      <w:r>
        <w:tab/>
        <w:t>(1)</w:t>
      </w:r>
      <w:r>
        <w:tab/>
        <w:t xml:space="preserve">Subject to subsection (2), where there is a transaction — </w:t>
      </w:r>
    </w:p>
    <w:p>
      <w:pPr>
        <w:pStyle w:val="Indenta"/>
      </w:pPr>
      <w:r>
        <w:tab/>
        <w:t>(a)</w:t>
      </w:r>
      <w:r>
        <w:tab/>
        <w:t xml:space="preserve">by which —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pPr>
      <w:r>
        <w:tab/>
        <w:t>(c)</w:t>
      </w:r>
      <w:r>
        <w:tab/>
        <w:t xml:space="preserve">which is not effected or evidenced by an instrument chargeable with </w:t>
      </w:r>
      <w:r>
        <w:rPr>
          <w:i/>
        </w:rPr>
        <w:t xml:space="preserve">ad valorem </w:t>
      </w:r>
      <w:r>
        <w:t>duty under item 12 of the Second Schedule,</w:t>
      </w:r>
    </w:p>
    <w:p>
      <w:pPr>
        <w:pStyle w:val="Subsection"/>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323" w:name="_Toc107054998"/>
      <w:bookmarkStart w:id="1324" w:name="_Toc131416195"/>
      <w:bookmarkStart w:id="1325" w:name="_Toc170193378"/>
      <w:r>
        <w:rPr>
          <w:rStyle w:val="CharSectno"/>
        </w:rPr>
        <w:t>78</w:t>
      </w:r>
      <w:r>
        <w:rPr>
          <w:snapToGrid w:val="0"/>
        </w:rPr>
        <w:t>.</w:t>
      </w:r>
      <w:r>
        <w:rPr>
          <w:snapToGrid w:val="0"/>
        </w:rPr>
        <w:tab/>
        <w:t>Leases: how to be charged in respect of produce, etc.</w:t>
      </w:r>
      <w:bookmarkEnd w:id="1319"/>
      <w:bookmarkEnd w:id="1320"/>
      <w:bookmarkEnd w:id="1321"/>
      <w:bookmarkEnd w:id="1322"/>
      <w:bookmarkEnd w:id="1323"/>
      <w:bookmarkEnd w:id="1324"/>
      <w:bookmarkEnd w:id="1325"/>
      <w:r>
        <w:rPr>
          <w:snapToGrid w:val="0"/>
        </w:rPr>
        <w:t xml:space="preserve"> </w:t>
      </w:r>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spacing w:val="-4"/>
        </w:rPr>
      </w:pPr>
      <w:r>
        <w:rPr>
          <w:snapToGrid w:val="0"/>
          <w:spacing w:val="-4"/>
        </w:rPr>
        <w:tab/>
        <w:t>(2)</w:t>
      </w:r>
      <w:r>
        <w:rPr>
          <w:snapToGrid w:val="0"/>
          <w:spacing w:val="-4"/>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326" w:name="_Toc500740000"/>
      <w:bookmarkStart w:id="1327" w:name="_Toc520101192"/>
      <w:bookmarkStart w:id="1328" w:name="_Toc520533091"/>
      <w:r>
        <w:tab/>
        <w:t>[Section 78 amended by No. 2 of 2003 s. 102.]</w:t>
      </w:r>
    </w:p>
    <w:p>
      <w:pPr>
        <w:pStyle w:val="Heading5"/>
        <w:rPr>
          <w:snapToGrid w:val="0"/>
        </w:rPr>
      </w:pPr>
      <w:bookmarkStart w:id="1329" w:name="_Toc49223974"/>
      <w:bookmarkStart w:id="1330" w:name="_Toc107054999"/>
      <w:bookmarkStart w:id="1331" w:name="_Toc131416196"/>
      <w:bookmarkStart w:id="1332" w:name="_Toc170193379"/>
      <w:r>
        <w:rPr>
          <w:rStyle w:val="CharSectno"/>
        </w:rPr>
        <w:t>79</w:t>
      </w:r>
      <w:r>
        <w:rPr>
          <w:snapToGrid w:val="0"/>
        </w:rPr>
        <w:t>.</w:t>
      </w:r>
      <w:r>
        <w:rPr>
          <w:snapToGrid w:val="0"/>
        </w:rPr>
        <w:tab/>
        <w:t>Directions as to duty in certain cases</w:t>
      </w:r>
      <w:bookmarkEnd w:id="1326"/>
      <w:bookmarkEnd w:id="1327"/>
      <w:bookmarkEnd w:id="1328"/>
      <w:bookmarkEnd w:id="1329"/>
      <w:bookmarkEnd w:id="1330"/>
      <w:bookmarkEnd w:id="1331"/>
      <w:bookmarkEnd w:id="1332"/>
      <w:r>
        <w:rPr>
          <w:snapToGrid w:val="0"/>
        </w:rPr>
        <w:t xml:space="preserve"> </w:t>
      </w:r>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 xml:space="preserve">[Section 79 amended by No. 37 of 1979 s. 58; No. 20 of 1996 s. 37; No. 2 of 2003 s. 103; No. 66 of 2003 s. 77.] </w:t>
      </w:r>
    </w:p>
    <w:p>
      <w:pPr>
        <w:pStyle w:val="Ednotesection"/>
      </w:pPr>
      <w:r>
        <w:t>[</w:t>
      </w:r>
      <w:r>
        <w:rPr>
          <w:b/>
        </w:rPr>
        <w:t>80.</w:t>
      </w:r>
      <w:r>
        <w:tab/>
        <w:t>Repealed by No. 66 of 2003 s. 78.]</w:t>
      </w:r>
    </w:p>
    <w:p>
      <w:pPr>
        <w:pStyle w:val="Heading5"/>
        <w:rPr>
          <w:snapToGrid w:val="0"/>
        </w:rPr>
      </w:pPr>
      <w:bookmarkStart w:id="1333" w:name="_Toc500740002"/>
      <w:bookmarkStart w:id="1334" w:name="_Toc520101194"/>
      <w:bookmarkStart w:id="1335" w:name="_Toc520533093"/>
      <w:bookmarkStart w:id="1336" w:name="_Toc49223976"/>
      <w:bookmarkStart w:id="1337" w:name="_Toc107055000"/>
      <w:bookmarkStart w:id="1338" w:name="_Toc131416197"/>
      <w:bookmarkStart w:id="1339" w:name="_Toc170193380"/>
      <w:r>
        <w:rPr>
          <w:rStyle w:val="CharSectno"/>
        </w:rPr>
        <w:t>80A</w:t>
      </w:r>
      <w:r>
        <w:rPr>
          <w:snapToGrid w:val="0"/>
        </w:rPr>
        <w:t>.</w:t>
      </w:r>
      <w:r>
        <w:rPr>
          <w:snapToGrid w:val="0"/>
        </w:rPr>
        <w:tab/>
        <w:t xml:space="preserve">Power </w:t>
      </w:r>
      <w:bookmarkEnd w:id="1333"/>
      <w:bookmarkEnd w:id="1334"/>
      <w:bookmarkEnd w:id="1335"/>
      <w:bookmarkEnd w:id="1336"/>
      <w:r>
        <w:rPr>
          <w:snapToGrid w:val="0"/>
        </w:rPr>
        <w:t>to exempt instruments made for charitable or similar purposes</w:t>
      </w:r>
      <w:bookmarkEnd w:id="1337"/>
      <w:bookmarkEnd w:id="1338"/>
      <w:bookmarkEnd w:id="1339"/>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 xml:space="preserve">[Section 80A inserted by No. 14 of 1983 s. 3; amended by No. 2 of 2003 s. 104.] </w:t>
      </w:r>
    </w:p>
    <w:p>
      <w:pPr>
        <w:pStyle w:val="Heading2"/>
      </w:pPr>
      <w:bookmarkStart w:id="1340" w:name="_Toc76899670"/>
      <w:bookmarkStart w:id="1341" w:name="_Toc78090572"/>
      <w:bookmarkStart w:id="1342" w:name="_Toc88886940"/>
      <w:bookmarkStart w:id="1343" w:name="_Toc90443556"/>
      <w:bookmarkStart w:id="1344" w:name="_Toc90452907"/>
      <w:bookmarkStart w:id="1345" w:name="_Toc100029498"/>
      <w:bookmarkStart w:id="1346" w:name="_Toc100031571"/>
      <w:bookmarkStart w:id="1347" w:name="_Toc100458630"/>
      <w:bookmarkStart w:id="1348" w:name="_Toc101672046"/>
      <w:bookmarkStart w:id="1349" w:name="_Toc101672303"/>
      <w:bookmarkStart w:id="1350" w:name="_Toc102799329"/>
      <w:bookmarkStart w:id="1351" w:name="_Toc102982003"/>
      <w:bookmarkStart w:id="1352" w:name="_Toc103403316"/>
      <w:bookmarkStart w:id="1353" w:name="_Toc103403573"/>
      <w:bookmarkStart w:id="1354" w:name="_Toc103747572"/>
      <w:bookmarkStart w:id="1355" w:name="_Toc107055001"/>
      <w:bookmarkStart w:id="1356" w:name="_Toc113874448"/>
      <w:bookmarkStart w:id="1357" w:name="_Toc113956864"/>
      <w:bookmarkStart w:id="1358" w:name="_Toc116717420"/>
      <w:bookmarkStart w:id="1359" w:name="_Toc116813447"/>
      <w:bookmarkStart w:id="1360" w:name="_Toc122333100"/>
      <w:bookmarkStart w:id="1361" w:name="_Toc122862070"/>
      <w:bookmarkStart w:id="1362" w:name="_Toc122862666"/>
      <w:bookmarkStart w:id="1363" w:name="_Toc122921273"/>
      <w:bookmarkStart w:id="1364" w:name="_Toc122921533"/>
      <w:bookmarkStart w:id="1365" w:name="_Toc122947478"/>
      <w:bookmarkStart w:id="1366" w:name="_Toc124046314"/>
      <w:bookmarkStart w:id="1367" w:name="_Toc131415899"/>
      <w:bookmarkStart w:id="1368" w:name="_Toc131416198"/>
      <w:bookmarkStart w:id="1369" w:name="_Toc170193381"/>
      <w:r>
        <w:rPr>
          <w:rStyle w:val="CharPartNo"/>
        </w:rPr>
        <w:t>Part IIIE</w:t>
      </w:r>
      <w:r>
        <w:rPr>
          <w:b w:val="0"/>
        </w:rPr>
        <w:t> </w:t>
      </w:r>
      <w:r>
        <w:t>—</w:t>
      </w:r>
      <w:r>
        <w:rPr>
          <w:b w:val="0"/>
        </w:rPr>
        <w:t> </w:t>
      </w:r>
      <w:r>
        <w:rPr>
          <w:rStyle w:val="CharPartText"/>
        </w:rPr>
        <w:t>Mortgage duty</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Footnoteheading"/>
        <w:tabs>
          <w:tab w:val="left" w:pos="851"/>
        </w:tabs>
      </w:pPr>
      <w:r>
        <w:tab/>
        <w:t>[Heading inserted by No. 66 of 2003 s. 79.]</w:t>
      </w:r>
    </w:p>
    <w:p>
      <w:pPr>
        <w:pStyle w:val="Heading3"/>
      </w:pPr>
      <w:bookmarkStart w:id="1370" w:name="_Toc76899671"/>
      <w:bookmarkStart w:id="1371" w:name="_Toc78090573"/>
      <w:bookmarkStart w:id="1372" w:name="_Toc88886941"/>
      <w:bookmarkStart w:id="1373" w:name="_Toc90443557"/>
      <w:bookmarkStart w:id="1374" w:name="_Toc90452908"/>
      <w:bookmarkStart w:id="1375" w:name="_Toc100029499"/>
      <w:bookmarkStart w:id="1376" w:name="_Toc100031572"/>
      <w:bookmarkStart w:id="1377" w:name="_Toc100458631"/>
      <w:bookmarkStart w:id="1378" w:name="_Toc101672047"/>
      <w:bookmarkStart w:id="1379" w:name="_Toc101672304"/>
      <w:bookmarkStart w:id="1380" w:name="_Toc102799330"/>
      <w:bookmarkStart w:id="1381" w:name="_Toc102982004"/>
      <w:bookmarkStart w:id="1382" w:name="_Toc103403317"/>
      <w:bookmarkStart w:id="1383" w:name="_Toc103403574"/>
      <w:bookmarkStart w:id="1384" w:name="_Toc103747573"/>
      <w:bookmarkStart w:id="1385" w:name="_Toc107055002"/>
      <w:bookmarkStart w:id="1386" w:name="_Toc113874449"/>
      <w:bookmarkStart w:id="1387" w:name="_Toc113956865"/>
      <w:bookmarkStart w:id="1388" w:name="_Toc116717421"/>
      <w:bookmarkStart w:id="1389" w:name="_Toc116813448"/>
      <w:bookmarkStart w:id="1390" w:name="_Toc122333101"/>
      <w:bookmarkStart w:id="1391" w:name="_Toc122862071"/>
      <w:bookmarkStart w:id="1392" w:name="_Toc122862667"/>
      <w:bookmarkStart w:id="1393" w:name="_Toc122921274"/>
      <w:bookmarkStart w:id="1394" w:name="_Toc122921534"/>
      <w:bookmarkStart w:id="1395" w:name="_Toc122947479"/>
      <w:bookmarkStart w:id="1396" w:name="_Toc124046315"/>
      <w:bookmarkStart w:id="1397" w:name="_Toc131415900"/>
      <w:bookmarkStart w:id="1398" w:name="_Toc131416199"/>
      <w:bookmarkStart w:id="1399" w:name="_Toc170193382"/>
      <w:r>
        <w:rPr>
          <w:rStyle w:val="CharDivNo"/>
        </w:rPr>
        <w:t>Division 1</w:t>
      </w:r>
      <w:r>
        <w:t> — </w:t>
      </w:r>
      <w:r>
        <w:rPr>
          <w:rStyle w:val="CharDivText"/>
        </w:rPr>
        <w:t>Interpretation for this Part</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Footnoteheading"/>
        <w:tabs>
          <w:tab w:val="left" w:pos="851"/>
        </w:tabs>
      </w:pPr>
      <w:r>
        <w:tab/>
        <w:t>[Heading inserted by No. 66 of 2003 s. 79.]</w:t>
      </w:r>
    </w:p>
    <w:p>
      <w:pPr>
        <w:pStyle w:val="Heading5"/>
      </w:pPr>
      <w:bookmarkStart w:id="1400" w:name="_Toc107055003"/>
      <w:bookmarkStart w:id="1401" w:name="_Toc131416200"/>
      <w:bookmarkStart w:id="1402" w:name="_Toc170193383"/>
      <w:r>
        <w:rPr>
          <w:rStyle w:val="CharSectno"/>
        </w:rPr>
        <w:t>81</w:t>
      </w:r>
      <w:r>
        <w:t>.</w:t>
      </w:r>
      <w:r>
        <w:tab/>
        <w:t>Definitions</w:t>
      </w:r>
      <w:bookmarkEnd w:id="1400"/>
      <w:bookmarkEnd w:id="1401"/>
      <w:bookmarkEnd w:id="1402"/>
    </w:p>
    <w:p>
      <w:pPr>
        <w:pStyle w:val="Subsection"/>
      </w:pPr>
      <w:r>
        <w:tab/>
      </w:r>
      <w:r>
        <w:tab/>
        <w:t xml:space="preserve">In this Part, unless the contrary intention appears —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403" w:name="_Toc107055004"/>
      <w:bookmarkStart w:id="1404" w:name="_Toc131416201"/>
      <w:bookmarkStart w:id="1405" w:name="_Toc170193384"/>
      <w:r>
        <w:rPr>
          <w:rStyle w:val="CharSectno"/>
        </w:rPr>
        <w:t>82</w:t>
      </w:r>
      <w:r>
        <w:t>.</w:t>
      </w:r>
      <w:r>
        <w:tab/>
        <w:t>Mortgages</w:t>
      </w:r>
      <w:bookmarkEnd w:id="1403"/>
      <w:bookmarkEnd w:id="1404"/>
      <w:bookmarkEnd w:id="1405"/>
    </w:p>
    <w:p>
      <w:pPr>
        <w:pStyle w:val="Subsection"/>
      </w:pPr>
      <w:r>
        <w:tab/>
        <w:t>(1)</w:t>
      </w:r>
      <w:r>
        <w:tab/>
        <w:t xml:space="preserve">For the purposes of this Part, a </w:t>
      </w:r>
      <w:r>
        <w:rPr>
          <w:b/>
        </w:rPr>
        <w:t>“</w:t>
      </w:r>
      <w:r>
        <w:rPr>
          <w:rStyle w:val="CharDefText"/>
        </w:rPr>
        <w:t>mortgage</w:t>
      </w:r>
      <w:r>
        <w:rPr>
          <w:b/>
        </w:rPr>
        <w:t>”</w:t>
      </w:r>
      <w:r>
        <w:t xml:space="preserve"> is an instrument that —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pPr>
      <w:r>
        <w:tab/>
        <w:t>(4)</w:t>
      </w:r>
      <w:r>
        <w:tab/>
        <w:t xml:space="preserve">An insured person is in Western Australia if —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406" w:name="_Toc107055005"/>
      <w:bookmarkStart w:id="1407" w:name="_Toc131416202"/>
      <w:bookmarkStart w:id="1408" w:name="_Toc170193385"/>
      <w:r>
        <w:rPr>
          <w:rStyle w:val="CharSectno"/>
        </w:rPr>
        <w:t>83</w:t>
      </w:r>
      <w:r>
        <w:t>.</w:t>
      </w:r>
      <w:r>
        <w:tab/>
        <w:t>Advances</w:t>
      </w:r>
      <w:bookmarkEnd w:id="1406"/>
      <w:bookmarkEnd w:id="1407"/>
      <w:bookmarkEnd w:id="1408"/>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 </w:t>
      </w:r>
    </w:p>
    <w:p>
      <w:pPr>
        <w:pStyle w:val="Indenta"/>
      </w:pPr>
      <w:r>
        <w:tab/>
        <w:t>(a)</w:t>
      </w:r>
      <w:r>
        <w:tab/>
        <w:t>a loan; or</w:t>
      </w:r>
    </w:p>
    <w:p>
      <w:pPr>
        <w:pStyle w:val="Indenta"/>
        <w:rPr>
          <w:spacing w:val="-4"/>
        </w:rPr>
      </w:pPr>
      <w:r>
        <w:rPr>
          <w:spacing w:val="-4"/>
        </w:rPr>
        <w:tab/>
        <w:t>(b)</w:t>
      </w:r>
      <w:r>
        <w:rPr>
          <w:spacing w:val="-4"/>
        </w:rPr>
        <w:tab/>
        <w:t xml:space="preserve">a bill facility that is one or more agreements, understandings or arrangements as a consequence of which a bill of exchange or promissory note —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 xml:space="preserve">Subsection (1)(b) applies whether or not the funds are obtained from —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409" w:name="_Toc107055006"/>
      <w:bookmarkStart w:id="1410" w:name="_Toc131416203"/>
      <w:bookmarkStart w:id="1411" w:name="_Toc170193386"/>
      <w:r>
        <w:rPr>
          <w:rStyle w:val="CharSectno"/>
        </w:rPr>
        <w:t>84</w:t>
      </w:r>
      <w:r>
        <w:t>.</w:t>
      </w:r>
      <w:r>
        <w:tab/>
        <w:t>Loans</w:t>
      </w:r>
      <w:bookmarkEnd w:id="1409"/>
      <w:bookmarkEnd w:id="1410"/>
      <w:bookmarkEnd w:id="1411"/>
    </w:p>
    <w:p>
      <w:pPr>
        <w:pStyle w:val="Subsection"/>
      </w:pPr>
      <w:r>
        <w:tab/>
      </w:r>
      <w:r>
        <w:tab/>
        <w:t xml:space="preserve">Each of the following is a </w:t>
      </w:r>
      <w:r>
        <w:rPr>
          <w:b/>
        </w:rPr>
        <w:t>“</w:t>
      </w:r>
      <w:r>
        <w:rPr>
          <w:rStyle w:val="CharDefText"/>
        </w:rPr>
        <w:t>loan</w:t>
      </w:r>
      <w:r>
        <w:rPr>
          <w:b/>
        </w:rPr>
        <w:t>”</w:t>
      </w:r>
      <w:r>
        <w:t xml:space="preserve"> —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pPr>
      <w:bookmarkStart w:id="1412" w:name="_Toc107055007"/>
      <w:bookmarkStart w:id="1413" w:name="_Toc131416204"/>
      <w:bookmarkStart w:id="1414" w:name="_Toc170193387"/>
      <w:r>
        <w:rPr>
          <w:rStyle w:val="CharSectno"/>
        </w:rPr>
        <w:t>85</w:t>
      </w:r>
      <w:r>
        <w:t>.</w:t>
      </w:r>
      <w:r>
        <w:tab/>
        <w:t>Home mortgages</w:t>
      </w:r>
      <w:bookmarkEnd w:id="1412"/>
      <w:bookmarkEnd w:id="1413"/>
      <w:bookmarkEnd w:id="1414"/>
    </w:p>
    <w:p>
      <w:pPr>
        <w:pStyle w:val="Subsection"/>
      </w:pPr>
      <w:r>
        <w:tab/>
        <w:t>(1)</w:t>
      </w:r>
      <w:r>
        <w:tab/>
        <w:t xml:space="preserve">A mortgage is a home mortgage if — </w:t>
      </w:r>
    </w:p>
    <w:p>
      <w:pPr>
        <w:pStyle w:val="Indenta"/>
      </w:pPr>
      <w:r>
        <w:tab/>
        <w:t>(a)</w:t>
      </w:r>
      <w:r>
        <w:tab/>
        <w:t>the mortgagor is an individual;</w:t>
      </w:r>
    </w:p>
    <w:p>
      <w:pPr>
        <w:pStyle w:val="Indenta"/>
      </w:pPr>
      <w:r>
        <w:tab/>
        <w:t>(b)</w:t>
      </w:r>
      <w:r>
        <w:tab/>
        <w:t>part or all of the secured amount is used for a dwellinghouse as provided by subsection (2); and</w:t>
      </w:r>
    </w:p>
    <w:p>
      <w:pPr>
        <w:pStyle w:val="Indenta"/>
      </w:pPr>
      <w:r>
        <w:tab/>
        <w:t>(c)</w:t>
      </w:r>
      <w:r>
        <w:tab/>
        <w:t>the dwellinghouse is being or will be used by the mortgagor as his or her sole or principal place of residence.</w:t>
      </w:r>
    </w:p>
    <w:p>
      <w:pPr>
        <w:pStyle w:val="Subsection"/>
      </w:pPr>
      <w:r>
        <w:tab/>
        <w:t>(2)</w:t>
      </w:r>
      <w:r>
        <w:tab/>
        <w:t xml:space="preserve">An amount is used for a dwellinghouse if it is used solely in or towards the cost of any of the following —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pPr>
      <w:r>
        <w:tab/>
        <w:t>[Section 85 inserted by No. 66 of 2003 s. 79.]</w:t>
      </w:r>
    </w:p>
    <w:p>
      <w:pPr>
        <w:pStyle w:val="Heading3"/>
      </w:pPr>
      <w:bookmarkStart w:id="1415" w:name="_Toc76899677"/>
      <w:bookmarkStart w:id="1416" w:name="_Toc78090579"/>
      <w:bookmarkStart w:id="1417" w:name="_Toc88886947"/>
      <w:bookmarkStart w:id="1418" w:name="_Toc90443563"/>
      <w:bookmarkStart w:id="1419" w:name="_Toc90452914"/>
      <w:bookmarkStart w:id="1420" w:name="_Toc100029505"/>
      <w:bookmarkStart w:id="1421" w:name="_Toc100031578"/>
      <w:bookmarkStart w:id="1422" w:name="_Toc100458637"/>
      <w:bookmarkStart w:id="1423" w:name="_Toc101672053"/>
      <w:bookmarkStart w:id="1424" w:name="_Toc101672310"/>
      <w:bookmarkStart w:id="1425" w:name="_Toc102799336"/>
      <w:bookmarkStart w:id="1426" w:name="_Toc102982010"/>
      <w:bookmarkStart w:id="1427" w:name="_Toc103403323"/>
      <w:bookmarkStart w:id="1428" w:name="_Toc103403580"/>
      <w:bookmarkStart w:id="1429" w:name="_Toc103747579"/>
      <w:bookmarkStart w:id="1430" w:name="_Toc107055008"/>
      <w:bookmarkStart w:id="1431" w:name="_Toc113874455"/>
      <w:bookmarkStart w:id="1432" w:name="_Toc113956871"/>
      <w:bookmarkStart w:id="1433" w:name="_Toc116717427"/>
      <w:bookmarkStart w:id="1434" w:name="_Toc116813454"/>
      <w:bookmarkStart w:id="1435" w:name="_Toc122333107"/>
      <w:bookmarkStart w:id="1436" w:name="_Toc122862077"/>
      <w:bookmarkStart w:id="1437" w:name="_Toc122862673"/>
      <w:bookmarkStart w:id="1438" w:name="_Toc122921280"/>
      <w:bookmarkStart w:id="1439" w:name="_Toc122921540"/>
      <w:bookmarkStart w:id="1440" w:name="_Toc122947485"/>
      <w:bookmarkStart w:id="1441" w:name="_Toc124046321"/>
      <w:bookmarkStart w:id="1442" w:name="_Toc131415906"/>
      <w:bookmarkStart w:id="1443" w:name="_Toc131416205"/>
      <w:bookmarkStart w:id="1444" w:name="_Toc170193388"/>
      <w:r>
        <w:rPr>
          <w:rStyle w:val="CharDivNo"/>
        </w:rPr>
        <w:t>Division 2</w:t>
      </w:r>
      <w:r>
        <w:rPr>
          <w:sz w:val="24"/>
        </w:rPr>
        <w:t> — </w:t>
      </w:r>
      <w:r>
        <w:rPr>
          <w:rStyle w:val="CharDivText"/>
        </w:rPr>
        <w:t>Liability for mortgage duty</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Footnoteheading"/>
        <w:tabs>
          <w:tab w:val="left" w:pos="851"/>
        </w:tabs>
      </w:pPr>
      <w:r>
        <w:tab/>
        <w:t>[Heading inserted by No. 66 of 2003 s. 79.]</w:t>
      </w:r>
    </w:p>
    <w:p>
      <w:pPr>
        <w:pStyle w:val="Heading5"/>
      </w:pPr>
      <w:bookmarkStart w:id="1445" w:name="_Toc107055009"/>
      <w:bookmarkStart w:id="1446" w:name="_Toc131416206"/>
      <w:bookmarkStart w:id="1447" w:name="_Toc170193389"/>
      <w:r>
        <w:rPr>
          <w:rStyle w:val="CharSectno"/>
        </w:rPr>
        <w:t>86</w:t>
      </w:r>
      <w:r>
        <w:t>.</w:t>
      </w:r>
      <w:r>
        <w:tab/>
        <w:t>Assessing mortgage duty</w:t>
      </w:r>
      <w:bookmarkEnd w:id="1445"/>
      <w:bookmarkEnd w:id="1446"/>
      <w:bookmarkEnd w:id="1447"/>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other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 xml:space="preserve">Subsections (2) and (3) do not apply to, or in relation to, a mortgage or other instrument if the Commissioner is satisfied that —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w:t>
      </w:r>
    </w:p>
    <w:p>
      <w:pPr>
        <w:pStyle w:val="Heading5"/>
      </w:pPr>
      <w:bookmarkStart w:id="1448" w:name="_Toc123698930"/>
      <w:bookmarkStart w:id="1449" w:name="_Toc131416207"/>
      <w:bookmarkStart w:id="1450" w:name="_Toc170193390"/>
      <w:bookmarkStart w:id="1451" w:name="_Toc107055010"/>
      <w:r>
        <w:rPr>
          <w:rStyle w:val="CharSectno"/>
        </w:rPr>
        <w:t>86A</w:t>
      </w:r>
      <w:r>
        <w:t>.</w:t>
      </w:r>
      <w:r>
        <w:tab/>
        <w:t>Exemption — refinancing home loans</w:t>
      </w:r>
      <w:bookmarkEnd w:id="1448"/>
      <w:bookmarkEnd w:id="1449"/>
      <w:bookmarkEnd w:id="1450"/>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 xml:space="preserve">A secured amount is to refinance a previous secured amount if —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 xml:space="preserve">If —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 xml:space="preserve">then —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452" w:name="_Toc123698931"/>
      <w:r>
        <w:tab/>
        <w:t>[Section 86A inserted by No. 34 of 2005 s. 10(1).]</w:t>
      </w:r>
    </w:p>
    <w:p>
      <w:pPr>
        <w:pStyle w:val="Heading5"/>
      </w:pPr>
      <w:bookmarkStart w:id="1453" w:name="_Toc131416208"/>
      <w:bookmarkStart w:id="1454" w:name="_Toc170193391"/>
      <w:r>
        <w:rPr>
          <w:rStyle w:val="CharSectno"/>
        </w:rPr>
        <w:t>86B</w:t>
      </w:r>
      <w:r>
        <w:t>.</w:t>
      </w:r>
      <w:r>
        <w:tab/>
        <w:t>Exemption — refinancing small business loans</w:t>
      </w:r>
      <w:bookmarkEnd w:id="1452"/>
      <w:bookmarkEnd w:id="1453"/>
      <w:bookmarkEnd w:id="1454"/>
    </w:p>
    <w:p>
      <w:pPr>
        <w:pStyle w:val="Subsection"/>
      </w:pPr>
      <w:r>
        <w:tab/>
        <w:t>(1)</w:t>
      </w:r>
      <w:r>
        <w:tab/>
        <w:t xml:space="preserve">Duty is not payable on a business mortgage to the extent to which —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 xml:space="preserve">A secured amount is to refinance a previous secured amount if —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 xml:space="preserve">Subsection (1) does not apply unless —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bCs/>
        </w:rPr>
        <w:t>“</w:t>
      </w:r>
      <w:r>
        <w:rPr>
          <w:rStyle w:val="CharDefText"/>
        </w:rPr>
        <w:t>business mortgage</w:t>
      </w:r>
      <w:r>
        <w:rPr>
          <w:b/>
          <w:bCs/>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bCs/>
        </w:rPr>
        <w:t>“</w:t>
      </w:r>
      <w:r>
        <w:rPr>
          <w:rStyle w:val="CharDefText"/>
        </w:rPr>
        <w:t>business owner</w:t>
      </w:r>
      <w:r>
        <w:rPr>
          <w:b/>
          <w:bCs/>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455" w:name="_Toc131416209"/>
      <w:bookmarkStart w:id="1456" w:name="_Toc170193392"/>
      <w:r>
        <w:rPr>
          <w:rStyle w:val="CharSectno"/>
        </w:rPr>
        <w:t>87</w:t>
      </w:r>
      <w:r>
        <w:t>.</w:t>
      </w:r>
      <w:r>
        <w:tab/>
        <w:t>Liability dates</w:t>
      </w:r>
      <w:bookmarkEnd w:id="1451"/>
      <w:bookmarkEnd w:id="1455"/>
      <w:bookmarkEnd w:id="1456"/>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 xml:space="preserve">Subsection (4) applies to an instrument of security that does not affect property in Western Australia when it is first executed if the instrument —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457" w:name="_Toc107055011"/>
      <w:bookmarkStart w:id="1458" w:name="_Toc131416210"/>
      <w:bookmarkStart w:id="1459" w:name="_Toc170193393"/>
      <w:r>
        <w:rPr>
          <w:rStyle w:val="CharSectno"/>
        </w:rPr>
        <w:t>88</w:t>
      </w:r>
      <w:r>
        <w:t>.</w:t>
      </w:r>
      <w:r>
        <w:tab/>
        <w:t>Stamping before advance</w:t>
      </w:r>
      <w:bookmarkEnd w:id="1457"/>
      <w:bookmarkEnd w:id="1458"/>
      <w:bookmarkEnd w:id="1459"/>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460" w:name="_Toc76899681"/>
      <w:bookmarkStart w:id="1461" w:name="_Toc78090583"/>
      <w:bookmarkStart w:id="1462" w:name="_Toc88886951"/>
      <w:bookmarkStart w:id="1463" w:name="_Toc90443567"/>
      <w:bookmarkStart w:id="1464" w:name="_Toc90452918"/>
      <w:bookmarkStart w:id="1465" w:name="_Toc100029509"/>
      <w:bookmarkStart w:id="1466" w:name="_Toc100031582"/>
      <w:bookmarkStart w:id="1467" w:name="_Toc100458641"/>
      <w:bookmarkStart w:id="1468" w:name="_Toc101672057"/>
      <w:bookmarkStart w:id="1469" w:name="_Toc101672314"/>
      <w:bookmarkStart w:id="1470" w:name="_Toc102799340"/>
      <w:bookmarkStart w:id="1471" w:name="_Toc102982014"/>
      <w:bookmarkStart w:id="1472" w:name="_Toc103403327"/>
      <w:bookmarkStart w:id="1473" w:name="_Toc103403584"/>
      <w:bookmarkStart w:id="1474" w:name="_Toc103747583"/>
      <w:bookmarkStart w:id="1475" w:name="_Toc107055012"/>
      <w:bookmarkStart w:id="1476" w:name="_Toc113874459"/>
      <w:bookmarkStart w:id="1477" w:name="_Toc113956875"/>
      <w:bookmarkStart w:id="1478" w:name="_Toc116717431"/>
      <w:bookmarkStart w:id="1479" w:name="_Toc116813458"/>
      <w:bookmarkStart w:id="1480" w:name="_Toc122333111"/>
      <w:bookmarkStart w:id="1481" w:name="_Toc122862081"/>
      <w:bookmarkStart w:id="1482" w:name="_Toc122862677"/>
      <w:bookmarkStart w:id="1483" w:name="_Toc122921284"/>
      <w:bookmarkStart w:id="1484" w:name="_Toc122921544"/>
      <w:bookmarkStart w:id="1485" w:name="_Toc122947489"/>
      <w:bookmarkStart w:id="1486" w:name="_Toc124046327"/>
      <w:bookmarkStart w:id="1487" w:name="_Toc131415912"/>
      <w:bookmarkStart w:id="1488" w:name="_Toc131416211"/>
      <w:bookmarkStart w:id="1489" w:name="_Toc170193394"/>
      <w:r>
        <w:rPr>
          <w:rStyle w:val="CharDivNo"/>
        </w:rPr>
        <w:t>Division 3</w:t>
      </w:r>
      <w:r>
        <w:t> — </w:t>
      </w:r>
      <w:r>
        <w:rPr>
          <w:rStyle w:val="CharDivText"/>
        </w:rPr>
        <w:t>Amount secured by a mortgage</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Footnoteheading"/>
        <w:keepNext/>
        <w:tabs>
          <w:tab w:val="left" w:pos="851"/>
        </w:tabs>
      </w:pPr>
      <w:r>
        <w:tab/>
        <w:t>[Heading inserted by No. 66 of 2003 s. 79.]</w:t>
      </w:r>
    </w:p>
    <w:p>
      <w:pPr>
        <w:pStyle w:val="Heading5"/>
      </w:pPr>
      <w:bookmarkStart w:id="1490" w:name="_Toc107055013"/>
      <w:bookmarkStart w:id="1491" w:name="_Toc131416212"/>
      <w:bookmarkStart w:id="1492" w:name="_Toc170193395"/>
      <w:r>
        <w:rPr>
          <w:rStyle w:val="CharSectno"/>
        </w:rPr>
        <w:t>89</w:t>
      </w:r>
      <w:r>
        <w:t>.</w:t>
      </w:r>
      <w:r>
        <w:tab/>
        <w:t>The secured amount</w:t>
      </w:r>
      <w:bookmarkEnd w:id="1490"/>
      <w:bookmarkEnd w:id="1491"/>
      <w:bookmarkEnd w:id="1492"/>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 xml:space="preserve">However, if —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 xml:space="preserve">Mortgage duty is not payable on any part of the secured amount that is advanced for one or more of the following —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493" w:name="_Toc107055014"/>
      <w:bookmarkStart w:id="1494" w:name="_Toc131416213"/>
      <w:bookmarkStart w:id="1495" w:name="_Toc170193396"/>
      <w:r>
        <w:rPr>
          <w:rStyle w:val="CharSectno"/>
        </w:rPr>
        <w:t>90</w:t>
      </w:r>
      <w:r>
        <w:t>.</w:t>
      </w:r>
      <w:r>
        <w:tab/>
        <w:t>Contingent liabilities</w:t>
      </w:r>
      <w:bookmarkEnd w:id="1493"/>
      <w:bookmarkEnd w:id="1494"/>
      <w:bookmarkEnd w:id="1495"/>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xml:space="preserve">) —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 xml:space="preserve">This section —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496" w:name="_Toc107055015"/>
      <w:bookmarkStart w:id="1497" w:name="_Toc131416214"/>
      <w:bookmarkStart w:id="1498" w:name="_Toc170193397"/>
      <w:r>
        <w:rPr>
          <w:rStyle w:val="CharSectno"/>
        </w:rPr>
        <w:t>91</w:t>
      </w:r>
      <w:r>
        <w:t>.</w:t>
      </w:r>
      <w:r>
        <w:tab/>
        <w:t>Mortgage over property partly outside WA</w:t>
      </w:r>
      <w:bookmarkEnd w:id="1496"/>
      <w:bookmarkEnd w:id="1497"/>
      <w:bookmarkEnd w:id="1498"/>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 xml:space="preserve">For subsection (3), a referable point is any of the following prepared in the year before the liability date for the mortgage —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r>
        <w:rPr>
          <w:i w:val="0"/>
          <w:vertAlign w:val="superscript"/>
        </w:rPr>
        <w:t xml:space="preserve"> 2</w:t>
      </w:r>
      <w:r>
        <w:t>.]</w:t>
      </w:r>
    </w:p>
    <w:p>
      <w:pPr>
        <w:pStyle w:val="Heading5"/>
      </w:pPr>
      <w:bookmarkStart w:id="1499" w:name="_Toc107055016"/>
      <w:bookmarkStart w:id="1500" w:name="_Toc131416215"/>
      <w:bookmarkStart w:id="1501" w:name="_Toc170193398"/>
      <w:r>
        <w:rPr>
          <w:rStyle w:val="CharSectno"/>
        </w:rPr>
        <w:t>91A</w:t>
      </w:r>
      <w:r>
        <w:t>.</w:t>
      </w:r>
      <w:r>
        <w:tab/>
        <w:t>Mortgage packages</w:t>
      </w:r>
      <w:bookmarkEnd w:id="1499"/>
      <w:bookmarkEnd w:id="1500"/>
      <w:bookmarkEnd w:id="1501"/>
    </w:p>
    <w:p>
      <w:pPr>
        <w:pStyle w:val="Subsection"/>
      </w:pPr>
      <w:r>
        <w:tab/>
        <w:t>(1)</w:t>
      </w:r>
      <w:r>
        <w:tab/>
        <w:t xml:space="preserve">Two or more security instruments constitute a </w:t>
      </w:r>
      <w:r>
        <w:rPr>
          <w:b/>
        </w:rPr>
        <w:t>“</w:t>
      </w:r>
      <w:r>
        <w:rPr>
          <w:rStyle w:val="CharDefText"/>
        </w:rPr>
        <w:t>mortgage package</w:t>
      </w:r>
      <w:r>
        <w:rPr>
          <w:b/>
        </w:rPr>
        <w:t>”</w:t>
      </w:r>
      <w:r>
        <w:t xml:space="preserve"> if —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502" w:name="_Toc107055017"/>
      <w:bookmarkStart w:id="1503" w:name="_Toc131416216"/>
      <w:bookmarkStart w:id="1504" w:name="_Toc170193399"/>
      <w:r>
        <w:rPr>
          <w:rStyle w:val="CharSectno"/>
        </w:rPr>
        <w:t>91B</w:t>
      </w:r>
      <w:r>
        <w:t>.</w:t>
      </w:r>
      <w:r>
        <w:tab/>
        <w:t>Collateral mortgages</w:t>
      </w:r>
      <w:bookmarkEnd w:id="1502"/>
      <w:bookmarkEnd w:id="1503"/>
      <w:bookmarkEnd w:id="1504"/>
    </w:p>
    <w:p>
      <w:pPr>
        <w:pStyle w:val="Subsection"/>
      </w:pPr>
      <w:r>
        <w:tab/>
        <w:t>(1)</w:t>
      </w:r>
      <w:r>
        <w:tab/>
        <w:t xml:space="preserve">Mortgage duty is not imposed in relation to the part of the amount secured by a collateral mortgage that is secured by —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505" w:name="_Toc107055018"/>
      <w:bookmarkStart w:id="1506" w:name="_Toc131416217"/>
      <w:bookmarkStart w:id="1507" w:name="_Toc170193400"/>
      <w:r>
        <w:rPr>
          <w:rStyle w:val="CharSectno"/>
        </w:rPr>
        <w:t>91C</w:t>
      </w:r>
      <w:r>
        <w:t>.</w:t>
      </w:r>
      <w:r>
        <w:tab/>
        <w:t>Extent to which mortgage can be enforced</w:t>
      </w:r>
      <w:bookmarkEnd w:id="1505"/>
      <w:bookmarkEnd w:id="1506"/>
      <w:bookmarkEnd w:id="1507"/>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 xml:space="preserve">For subsection (1), mortgage duty has been paid on a mortgage or mortgage package affecting property that is partly in and partly outside Western Australia if —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508" w:name="_Toc107055019"/>
      <w:bookmarkStart w:id="1509" w:name="_Toc131416218"/>
      <w:bookmarkStart w:id="1510" w:name="_Toc170193401"/>
      <w:r>
        <w:rPr>
          <w:rStyle w:val="CharSectno"/>
        </w:rPr>
        <w:t>91D</w:t>
      </w:r>
      <w:r>
        <w:t>.</w:t>
      </w:r>
      <w:r>
        <w:tab/>
        <w:t>Use of stamped and collateral mortgages as security</w:t>
      </w:r>
      <w:bookmarkEnd w:id="1508"/>
      <w:bookmarkEnd w:id="1509"/>
      <w:bookmarkEnd w:id="1510"/>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511" w:name="_Toc107055020"/>
      <w:bookmarkStart w:id="1512" w:name="_Toc131416219"/>
      <w:bookmarkStart w:id="1513" w:name="_Toc170193402"/>
      <w:r>
        <w:rPr>
          <w:rStyle w:val="CharSectno"/>
        </w:rPr>
        <w:t>91E</w:t>
      </w:r>
      <w:r>
        <w:t>.</w:t>
      </w:r>
      <w:r>
        <w:tab/>
        <w:t>Multi</w:t>
      </w:r>
      <w:r>
        <w:noBreakHyphen/>
        <w:t>jurisdictional statement</w:t>
      </w:r>
      <w:bookmarkEnd w:id="1511"/>
      <w:bookmarkEnd w:id="1512"/>
      <w:bookmarkEnd w:id="1513"/>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514" w:name="_Toc107055021"/>
      <w:bookmarkStart w:id="1515" w:name="_Toc131416220"/>
      <w:bookmarkStart w:id="1516" w:name="_Toc170193403"/>
      <w:r>
        <w:rPr>
          <w:rStyle w:val="CharSectno"/>
        </w:rPr>
        <w:t>91F</w:t>
      </w:r>
      <w:r>
        <w:t>.</w:t>
      </w:r>
      <w:r>
        <w:tab/>
        <w:t>Exemptions for charitable or public purposes</w:t>
      </w:r>
      <w:bookmarkEnd w:id="1514"/>
      <w:bookmarkEnd w:id="1515"/>
      <w:bookmarkEnd w:id="1516"/>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rPr>
          <w:rStyle w:val="CharPartText"/>
        </w:rPr>
      </w:pPr>
      <w:bookmarkStart w:id="1517" w:name="_Toc128285588"/>
      <w:bookmarkStart w:id="1518" w:name="_Toc131415922"/>
      <w:bookmarkStart w:id="1519" w:name="_Toc131416221"/>
      <w:bookmarkStart w:id="1520" w:name="_Toc170193404"/>
      <w:r>
        <w:rPr>
          <w:rStyle w:val="CharPartNo"/>
        </w:rPr>
        <w:t>Part IIIF</w:t>
      </w:r>
      <w:r>
        <w:rPr>
          <w:b w:val="0"/>
        </w:rPr>
        <w:t> </w:t>
      </w:r>
      <w:r>
        <w:t>—</w:t>
      </w:r>
      <w:r>
        <w:rPr>
          <w:b w:val="0"/>
        </w:rPr>
        <w:t> </w:t>
      </w:r>
      <w:r>
        <w:rPr>
          <w:rStyle w:val="CharPartText"/>
        </w:rPr>
        <w:t>Insurance</w:t>
      </w:r>
      <w:bookmarkEnd w:id="1517"/>
      <w:bookmarkEnd w:id="1518"/>
      <w:bookmarkEnd w:id="1519"/>
      <w:bookmarkEnd w:id="1520"/>
    </w:p>
    <w:p>
      <w:pPr>
        <w:pStyle w:val="Footnoteheading"/>
      </w:pPr>
      <w:r>
        <w:tab/>
        <w:t>[Heading inserted by No. 36 of 2005 s. 6.]</w:t>
      </w:r>
    </w:p>
    <w:p>
      <w:pPr>
        <w:pStyle w:val="Heading3"/>
      </w:pPr>
      <w:bookmarkStart w:id="1521" w:name="_Toc128285589"/>
      <w:bookmarkStart w:id="1522" w:name="_Toc131415923"/>
      <w:bookmarkStart w:id="1523" w:name="_Toc131416222"/>
      <w:bookmarkStart w:id="1524" w:name="_Toc170193405"/>
      <w:r>
        <w:rPr>
          <w:rStyle w:val="CharDivNo"/>
        </w:rPr>
        <w:t>Division 1</w:t>
      </w:r>
      <w:r>
        <w:t> — </w:t>
      </w:r>
      <w:r>
        <w:rPr>
          <w:rStyle w:val="CharDivText"/>
        </w:rPr>
        <w:t>Interpretation in Part IIIF and connection to the State</w:t>
      </w:r>
      <w:bookmarkEnd w:id="1521"/>
      <w:bookmarkEnd w:id="1522"/>
      <w:bookmarkEnd w:id="1523"/>
      <w:bookmarkEnd w:id="1524"/>
    </w:p>
    <w:p>
      <w:pPr>
        <w:pStyle w:val="Footnoteheading"/>
      </w:pPr>
      <w:bookmarkStart w:id="1525" w:name="_Toc128285590"/>
      <w:r>
        <w:tab/>
        <w:t>[Heading inserted by No. 36 of 2005 s. 6.]</w:t>
      </w:r>
    </w:p>
    <w:p>
      <w:pPr>
        <w:pStyle w:val="Heading5"/>
      </w:pPr>
      <w:bookmarkStart w:id="1526" w:name="_Toc131416223"/>
      <w:bookmarkStart w:id="1527" w:name="_Toc170193406"/>
      <w:r>
        <w:rPr>
          <w:rStyle w:val="CharSectno"/>
        </w:rPr>
        <w:t>92</w:t>
      </w:r>
      <w:r>
        <w:t>.</w:t>
      </w:r>
      <w:r>
        <w:tab/>
        <w:t>Terms used in this Part</w:t>
      </w:r>
      <w:bookmarkEnd w:id="1525"/>
      <w:bookmarkEnd w:id="1526"/>
      <w:bookmarkEnd w:id="1527"/>
    </w:p>
    <w:p>
      <w:pPr>
        <w:pStyle w:val="Subsection"/>
      </w:pPr>
      <w:r>
        <w:tab/>
      </w:r>
      <w:r>
        <w:tab/>
        <w:t xml:space="preserve">In this Part, unless the contrary intention appears — </w:t>
      </w:r>
    </w:p>
    <w:p>
      <w:pPr>
        <w:pStyle w:val="Defstart"/>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pPr>
      <w:r>
        <w:rPr>
          <w:b/>
        </w:rPr>
        <w:tab/>
        <w:t>“</w:t>
      </w:r>
      <w:r>
        <w:rPr>
          <w:rStyle w:val="CharDefText"/>
        </w:rPr>
        <w:t>Division 4 insurer</w:t>
      </w:r>
      <w:r>
        <w:rPr>
          <w:b/>
        </w:rPr>
        <w:t>”</w:t>
      </w:r>
      <w:r>
        <w:t xml:space="preserve"> has the meaning given to that term in section 95;</w:t>
      </w:r>
    </w:p>
    <w:p>
      <w:pPr>
        <w:pStyle w:val="Defstart"/>
      </w:pPr>
      <w:r>
        <w:rPr>
          <w:b/>
        </w:rPr>
        <w:tab/>
        <w:t>“</w:t>
      </w:r>
      <w:r>
        <w:rPr>
          <w:rStyle w:val="CharDefText"/>
        </w:rPr>
        <w:t>financial services licensee</w:t>
      </w:r>
      <w:r>
        <w:rPr>
          <w:b/>
        </w:rPr>
        <w:t>”</w:t>
      </w:r>
      <w:r>
        <w:t xml:space="preserve"> has the meaning given to that term in section 761A of the Corporations Act;</w:t>
      </w:r>
    </w:p>
    <w:p>
      <w:pPr>
        <w:pStyle w:val="Defstart"/>
      </w:pPr>
      <w:r>
        <w:rPr>
          <w:b/>
        </w:rPr>
        <w:tab/>
        <w:t>“</w:t>
      </w:r>
      <w:r>
        <w:rPr>
          <w:rStyle w:val="CharDefText"/>
        </w:rPr>
        <w:t>general insurance</w:t>
      </w:r>
      <w:r>
        <w:rPr>
          <w:b/>
        </w:rPr>
        <w:t>”</w:t>
      </w:r>
      <w:r>
        <w:t xml:space="preserve"> has the meaning given to that term in section 92A;</w:t>
      </w:r>
    </w:p>
    <w:p>
      <w:pPr>
        <w:pStyle w:val="Defstart"/>
      </w:pPr>
      <w:r>
        <w:rPr>
          <w:b/>
        </w:rPr>
        <w:tab/>
        <w:t>“</w:t>
      </w:r>
      <w:r>
        <w:rPr>
          <w:rStyle w:val="CharDefText"/>
        </w:rPr>
        <w:t>health insurance business</w:t>
      </w:r>
      <w:r>
        <w:rPr>
          <w:b/>
        </w:rPr>
        <w:t>”</w:t>
      </w:r>
      <w:r>
        <w:t xml:space="preserve"> has the meaning given to that term in section 67 of the </w:t>
      </w:r>
      <w:r>
        <w:rPr>
          <w:i/>
        </w:rPr>
        <w:t>National Health Act 1953</w:t>
      </w:r>
      <w:r>
        <w:rPr>
          <w:iCs/>
        </w:rPr>
        <w:t xml:space="preserve"> of</w:t>
      </w:r>
      <w:r>
        <w:t xml:space="preserve"> the Commonwealth;</w:t>
      </w:r>
    </w:p>
    <w:p>
      <w:pPr>
        <w:pStyle w:val="Defstart"/>
      </w:pPr>
      <w:r>
        <w:rPr>
          <w:b/>
        </w:rPr>
        <w:tab/>
        <w:t>“</w:t>
      </w:r>
      <w:r>
        <w:rPr>
          <w:rStyle w:val="CharDefText"/>
        </w:rPr>
        <w:t>instalment</w:t>
      </w:r>
      <w:r>
        <w:rPr>
          <w:b/>
        </w:rPr>
        <w:t>”</w:t>
      </w:r>
      <w:r>
        <w:t xml:space="preserve"> means a portion of a premium;</w:t>
      </w:r>
    </w:p>
    <w:p>
      <w:pPr>
        <w:pStyle w:val="Defstart"/>
      </w:pPr>
      <w:r>
        <w:rPr>
          <w:b/>
        </w:rPr>
        <w:tab/>
        <w:t>“</w:t>
      </w:r>
      <w:r>
        <w:rPr>
          <w:rStyle w:val="CharDefText"/>
        </w:rPr>
        <w:t>insurer</w:t>
      </w:r>
      <w:r>
        <w:rPr>
          <w:b/>
        </w:rPr>
        <w:t>”</w:t>
      </w:r>
      <w:r>
        <w:t xml:space="preserve"> means the Insurance Commission of Western Australia or a person who — </w:t>
      </w:r>
    </w:p>
    <w:p>
      <w:pPr>
        <w:pStyle w:val="Defpara"/>
      </w:pPr>
      <w:r>
        <w:tab/>
        <w:t>(a)</w:t>
      </w:r>
      <w:r>
        <w:tab/>
        <w:t>writes general insurance otherwise than as an intermediary of an insurer (including a Division 4 insurer); and</w:t>
      </w:r>
    </w:p>
    <w:p>
      <w:pPr>
        <w:pStyle w:val="Defpara"/>
      </w:pPr>
      <w:r>
        <w:tab/>
        <w:t>(b)</w:t>
      </w:r>
      <w:r>
        <w:tab/>
        <w:t xml:space="preserve">is either — </w:t>
      </w:r>
    </w:p>
    <w:p>
      <w:pPr>
        <w:pStyle w:val="Defsubpara"/>
      </w:pPr>
      <w:r>
        <w:tab/>
        <w:t>(i)</w:t>
      </w:r>
      <w:r>
        <w:tab/>
        <w:t xml:space="preserve">authorised under the </w:t>
      </w:r>
      <w:r>
        <w:rPr>
          <w:i/>
          <w:iCs/>
        </w:rPr>
        <w:t>Insurance Act 1973</w:t>
      </w:r>
      <w:r>
        <w:t xml:space="preserve"> of the Commonwealth; or</w:t>
      </w:r>
    </w:p>
    <w:p>
      <w:pPr>
        <w:pStyle w:val="Defsubpara"/>
      </w:pPr>
      <w:r>
        <w:tab/>
        <w:t>(ii)</w:t>
      </w:r>
      <w:r>
        <w:tab/>
        <w:t xml:space="preserve">registered under the </w:t>
      </w:r>
      <w:r>
        <w:rPr>
          <w:i/>
          <w:iCs/>
        </w:rPr>
        <w:t>Life Insurance Act 1995</w:t>
      </w:r>
      <w:r>
        <w:t xml:space="preserve"> of the Commonwealth;</w:t>
      </w:r>
    </w:p>
    <w:p>
      <w:pPr>
        <w:pStyle w:val="Defstart"/>
      </w:pPr>
      <w:r>
        <w:rPr>
          <w:b/>
        </w:rPr>
        <w:tab/>
        <w:t>“</w:t>
      </w:r>
      <w:r>
        <w:rPr>
          <w:rStyle w:val="CharDefText"/>
        </w:rPr>
        <w:t>intermediary</w:t>
      </w:r>
      <w:r>
        <w:rPr>
          <w:b/>
        </w:rPr>
        <w:t>”</w:t>
      </w:r>
      <w:r>
        <w:t xml:space="preserve">, of an insurer, means —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rPr>
          <w:bCs/>
        </w:rPr>
        <w:t>,</w:t>
      </w:r>
      <w:r>
        <w:rPr>
          <w:b/>
        </w:rPr>
        <w:t xml:space="preserve"> </w:t>
      </w:r>
      <w:r>
        <w:t>of a registered insurer, has the meaning given in section 94B.</w:t>
      </w:r>
    </w:p>
    <w:p>
      <w:pPr>
        <w:pStyle w:val="Footnotesection"/>
      </w:pPr>
      <w:r>
        <w:tab/>
        <w:t>[Section 92 inserted by No. 36 of 2005 s. 6.]</w:t>
      </w:r>
    </w:p>
    <w:p>
      <w:pPr>
        <w:pStyle w:val="Heading5"/>
      </w:pPr>
      <w:bookmarkStart w:id="1528" w:name="_Toc128285591"/>
      <w:bookmarkStart w:id="1529" w:name="_Toc131416224"/>
      <w:bookmarkStart w:id="1530" w:name="_Toc170193407"/>
      <w:r>
        <w:rPr>
          <w:rStyle w:val="CharSectno"/>
        </w:rPr>
        <w:t>92A</w:t>
      </w:r>
      <w:r>
        <w:t>.</w:t>
      </w:r>
      <w:r>
        <w:tab/>
        <w:t>Meaning of general insurance and connection to the State</w:t>
      </w:r>
      <w:bookmarkEnd w:id="1528"/>
      <w:bookmarkEnd w:id="1529"/>
      <w:bookmarkEnd w:id="1530"/>
    </w:p>
    <w:p>
      <w:pPr>
        <w:pStyle w:val="Subsection"/>
      </w:pPr>
      <w:r>
        <w:tab/>
        <w:t>(1)</w:t>
      </w:r>
      <w:r>
        <w:tab/>
      </w:r>
      <w:r>
        <w:rPr>
          <w:b/>
          <w:bCs/>
        </w:rPr>
        <w:t>“</w:t>
      </w:r>
      <w:r>
        <w:rPr>
          <w:rStyle w:val="CharDefText"/>
        </w:rPr>
        <w:t>General insurance</w:t>
      </w:r>
      <w:r>
        <w:rPr>
          <w:b/>
          <w:bCs/>
        </w:rPr>
        <w:t>”</w:t>
      </w:r>
      <w:r>
        <w:t xml:space="preserve"> means any kind of insurance that is applicable to —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 xml:space="preserve">General insurance does not include any of the following —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531" w:name="_Toc128285592"/>
      <w:r>
        <w:tab/>
        <w:t>[Section 92A inserted by No. 36 of 2005 s. 6.]</w:t>
      </w:r>
    </w:p>
    <w:p>
      <w:pPr>
        <w:pStyle w:val="Heading5"/>
      </w:pPr>
      <w:bookmarkStart w:id="1532" w:name="_Toc131416225"/>
      <w:bookmarkStart w:id="1533" w:name="_Toc170193408"/>
      <w:r>
        <w:rPr>
          <w:rStyle w:val="CharSectno"/>
        </w:rPr>
        <w:t>92B</w:t>
      </w:r>
      <w:r>
        <w:t>.</w:t>
      </w:r>
      <w:r>
        <w:tab/>
        <w:t>Additional insurance — life riders</w:t>
      </w:r>
      <w:bookmarkEnd w:id="1531"/>
      <w:bookmarkEnd w:id="1532"/>
      <w:bookmarkEnd w:id="1533"/>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534" w:name="_Toc128285593"/>
      <w:r>
        <w:tab/>
        <w:t>[Section 92B inserted by No. 36 of 2005 s. 6.]</w:t>
      </w:r>
    </w:p>
    <w:p>
      <w:pPr>
        <w:pStyle w:val="Heading5"/>
      </w:pPr>
      <w:bookmarkStart w:id="1535" w:name="_Toc131416226"/>
      <w:bookmarkStart w:id="1536" w:name="_Toc170193409"/>
      <w:r>
        <w:rPr>
          <w:rStyle w:val="CharSectno"/>
        </w:rPr>
        <w:t>92C</w:t>
      </w:r>
      <w:r>
        <w:t>.</w:t>
      </w:r>
      <w:r>
        <w:tab/>
        <w:t>Payment of premiums</w:t>
      </w:r>
      <w:bookmarkEnd w:id="1534"/>
      <w:bookmarkEnd w:id="1535"/>
      <w:bookmarkEnd w:id="1536"/>
    </w:p>
    <w:p>
      <w:pPr>
        <w:pStyle w:val="Subsection"/>
      </w:pPr>
      <w:r>
        <w:tab/>
        <w:t>(1)</w:t>
      </w:r>
      <w:r>
        <w:tab/>
        <w:t xml:space="preserve">For the purposes of this Part, a premium, or an instalment, is paid when the first of the following events occurs —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537" w:name="_Toc128285594"/>
      <w:r>
        <w:tab/>
        <w:t>[Section 92C inserted by No. 36 of 2005 s. 6.]</w:t>
      </w:r>
    </w:p>
    <w:p>
      <w:pPr>
        <w:pStyle w:val="Heading3"/>
      </w:pPr>
      <w:bookmarkStart w:id="1538" w:name="_Toc131415928"/>
      <w:bookmarkStart w:id="1539" w:name="_Toc131416227"/>
      <w:bookmarkStart w:id="1540" w:name="_Toc170193410"/>
      <w:r>
        <w:rPr>
          <w:rStyle w:val="CharDivNo"/>
        </w:rPr>
        <w:t>Division 2</w:t>
      </w:r>
      <w:r>
        <w:t> — </w:t>
      </w:r>
      <w:r>
        <w:rPr>
          <w:rStyle w:val="CharDivText"/>
        </w:rPr>
        <w:t>Registration of insurers</w:t>
      </w:r>
      <w:bookmarkEnd w:id="1537"/>
      <w:bookmarkEnd w:id="1538"/>
      <w:bookmarkEnd w:id="1539"/>
      <w:bookmarkEnd w:id="1540"/>
    </w:p>
    <w:p>
      <w:pPr>
        <w:pStyle w:val="Footnoteheading"/>
      </w:pPr>
      <w:bookmarkStart w:id="1541" w:name="_Toc128285595"/>
      <w:r>
        <w:tab/>
        <w:t>[Heading inserted by No. 36 of 2005 s. 6.]</w:t>
      </w:r>
    </w:p>
    <w:p>
      <w:pPr>
        <w:pStyle w:val="Heading5"/>
      </w:pPr>
      <w:bookmarkStart w:id="1542" w:name="_Toc131416228"/>
      <w:bookmarkStart w:id="1543" w:name="_Toc170193411"/>
      <w:r>
        <w:rPr>
          <w:rStyle w:val="CharSectno"/>
        </w:rPr>
        <w:t>93</w:t>
      </w:r>
      <w:r>
        <w:t>.</w:t>
      </w:r>
      <w:r>
        <w:tab/>
        <w:t>Insurers to be registered</w:t>
      </w:r>
      <w:bookmarkEnd w:id="1541"/>
      <w:bookmarkEnd w:id="1542"/>
      <w:bookmarkEnd w:id="1543"/>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1544" w:name="_Toc128285596"/>
      <w:r>
        <w:tab/>
        <w:t>[Section 93 inserted by No. 36 of 2005 s. 6.]</w:t>
      </w:r>
    </w:p>
    <w:p>
      <w:pPr>
        <w:pStyle w:val="Heading5"/>
      </w:pPr>
      <w:bookmarkStart w:id="1545" w:name="_Toc131416229"/>
      <w:bookmarkStart w:id="1546" w:name="_Toc170193412"/>
      <w:r>
        <w:rPr>
          <w:rStyle w:val="CharSectno"/>
        </w:rPr>
        <w:t>93A</w:t>
      </w:r>
      <w:r>
        <w:t>.</w:t>
      </w:r>
      <w:r>
        <w:tab/>
        <w:t>Registration of insurers</w:t>
      </w:r>
      <w:bookmarkEnd w:id="1544"/>
      <w:bookmarkEnd w:id="1545"/>
      <w:bookmarkEnd w:id="1546"/>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1547" w:name="_Toc128285597"/>
      <w:r>
        <w:tab/>
        <w:t>[Section 93A inserted by No. 36 of 2005 s. 6.]</w:t>
      </w:r>
    </w:p>
    <w:p>
      <w:pPr>
        <w:pStyle w:val="Heading5"/>
      </w:pPr>
      <w:bookmarkStart w:id="1548" w:name="_Toc131416230"/>
      <w:bookmarkStart w:id="1549" w:name="_Toc170193413"/>
      <w:r>
        <w:rPr>
          <w:rStyle w:val="CharSectno"/>
        </w:rPr>
        <w:t>93B</w:t>
      </w:r>
      <w:r>
        <w:t>.</w:t>
      </w:r>
      <w:r>
        <w:tab/>
        <w:t>Cancelling registration of insurers</w:t>
      </w:r>
      <w:bookmarkEnd w:id="1547"/>
      <w:bookmarkEnd w:id="1548"/>
      <w:bookmarkEnd w:id="1549"/>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1550" w:name="_Toc128285598"/>
      <w:r>
        <w:tab/>
        <w:t>[Section 93B inserted by No. 36 of 2005 s. 6.]</w:t>
      </w:r>
    </w:p>
    <w:p>
      <w:pPr>
        <w:pStyle w:val="Heading3"/>
      </w:pPr>
      <w:bookmarkStart w:id="1551" w:name="_Toc131415932"/>
      <w:bookmarkStart w:id="1552" w:name="_Toc131416231"/>
      <w:bookmarkStart w:id="1553" w:name="_Toc170193414"/>
      <w:r>
        <w:rPr>
          <w:rStyle w:val="CharDivNo"/>
        </w:rPr>
        <w:t>Division 3</w:t>
      </w:r>
      <w:r>
        <w:t> — </w:t>
      </w:r>
      <w:r>
        <w:rPr>
          <w:rStyle w:val="CharDivText"/>
        </w:rPr>
        <w:t>Duty payable by insurers</w:t>
      </w:r>
      <w:bookmarkEnd w:id="1550"/>
      <w:bookmarkEnd w:id="1551"/>
      <w:bookmarkEnd w:id="1552"/>
      <w:bookmarkEnd w:id="1553"/>
    </w:p>
    <w:p>
      <w:pPr>
        <w:pStyle w:val="Footnoteheading"/>
      </w:pPr>
      <w:bookmarkStart w:id="1554" w:name="_Toc128285599"/>
      <w:r>
        <w:tab/>
        <w:t>[Heading inserted by No. 36 of 2005 s. 6.]</w:t>
      </w:r>
    </w:p>
    <w:p>
      <w:pPr>
        <w:pStyle w:val="Heading5"/>
      </w:pPr>
      <w:bookmarkStart w:id="1555" w:name="_Toc131416232"/>
      <w:bookmarkStart w:id="1556" w:name="_Toc170193415"/>
      <w:r>
        <w:rPr>
          <w:rStyle w:val="CharSectno"/>
        </w:rPr>
        <w:t>94</w:t>
      </w:r>
      <w:r>
        <w:t>.</w:t>
      </w:r>
      <w:r>
        <w:tab/>
        <w:t>Lodging returns and paying duty</w:t>
      </w:r>
      <w:bookmarkEnd w:id="1554"/>
      <w:bookmarkEnd w:id="1555"/>
      <w:bookmarkEnd w:id="1556"/>
    </w:p>
    <w:p>
      <w:pPr>
        <w:pStyle w:val="Subsection"/>
      </w:pPr>
      <w:r>
        <w:tab/>
        <w:t>(1)</w:t>
      </w:r>
      <w:r>
        <w:tab/>
        <w:t xml:space="preserve">A registered insurer must —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 xml:space="preserve">On becoming an insurer, the insurer must, for the month in which the insurer became an insurer and for each subsequent month until the month in which the insurer becomes a registered insurer or ceases to be an insurer —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1557" w:name="_Toc128285600"/>
      <w:r>
        <w:tab/>
        <w:t>[Section 94 inserted by No. 36 of 2005 s. 6.]</w:t>
      </w:r>
    </w:p>
    <w:p>
      <w:pPr>
        <w:pStyle w:val="Heading5"/>
      </w:pPr>
      <w:bookmarkStart w:id="1558" w:name="_Toc131416233"/>
      <w:bookmarkStart w:id="1559" w:name="_Toc170193416"/>
      <w:r>
        <w:rPr>
          <w:rStyle w:val="CharSectno"/>
        </w:rPr>
        <w:t>94A</w:t>
      </w:r>
      <w:r>
        <w:t>.</w:t>
      </w:r>
      <w:r>
        <w:tab/>
        <w:t>Calculating the amount of duty payable on a return</w:t>
      </w:r>
      <w:bookmarkEnd w:id="1557"/>
      <w:bookmarkEnd w:id="1558"/>
      <w:bookmarkEnd w:id="1559"/>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1560" w:name="_Toc128285601"/>
      <w:r>
        <w:tab/>
        <w:t>[Section 94A inserted by No. 36 of 2005 s. 6.]</w:t>
      </w:r>
    </w:p>
    <w:p>
      <w:pPr>
        <w:pStyle w:val="Heading5"/>
      </w:pPr>
      <w:bookmarkStart w:id="1561" w:name="_Toc131416234"/>
      <w:bookmarkStart w:id="1562" w:name="_Toc170193417"/>
      <w:r>
        <w:rPr>
          <w:rStyle w:val="CharSectno"/>
        </w:rPr>
        <w:t>94B</w:t>
      </w:r>
      <w:r>
        <w:t>.</w:t>
      </w:r>
      <w:r>
        <w:tab/>
        <w:t>Return period of an insurer</w:t>
      </w:r>
      <w:bookmarkEnd w:id="1560"/>
      <w:bookmarkEnd w:id="1561"/>
      <w:bookmarkEnd w:id="1562"/>
    </w:p>
    <w:p>
      <w:pPr>
        <w:pStyle w:val="Subsection"/>
      </w:pPr>
      <w:r>
        <w:tab/>
      </w:r>
      <w:r>
        <w:tab/>
        <w:t xml:space="preserve">The return period of a registered insurer is —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1563" w:name="_Toc128285602"/>
      <w:r>
        <w:tab/>
        <w:t>[Section 94B inserted by No. 36 of 2005 s. 6.]</w:t>
      </w:r>
    </w:p>
    <w:p>
      <w:pPr>
        <w:pStyle w:val="Heading3"/>
      </w:pPr>
      <w:bookmarkStart w:id="1564" w:name="_Toc131415936"/>
      <w:bookmarkStart w:id="1565" w:name="_Toc131416235"/>
      <w:bookmarkStart w:id="1566" w:name="_Toc170193418"/>
      <w:r>
        <w:rPr>
          <w:rStyle w:val="CharDivNo"/>
        </w:rPr>
        <w:t>Division 4</w:t>
      </w:r>
      <w:r>
        <w:t> — </w:t>
      </w:r>
      <w:r>
        <w:rPr>
          <w:rStyle w:val="CharDivText"/>
        </w:rPr>
        <w:t>Duty payable by insured persons</w:t>
      </w:r>
      <w:bookmarkEnd w:id="1563"/>
      <w:bookmarkEnd w:id="1564"/>
      <w:bookmarkEnd w:id="1565"/>
      <w:bookmarkEnd w:id="1566"/>
    </w:p>
    <w:p>
      <w:pPr>
        <w:pStyle w:val="Footnoteheading"/>
      </w:pPr>
      <w:bookmarkStart w:id="1567" w:name="_Toc128285603"/>
      <w:r>
        <w:tab/>
        <w:t>[Heading inserted by No. 36 of 2005 s. 6.]</w:t>
      </w:r>
    </w:p>
    <w:p>
      <w:pPr>
        <w:pStyle w:val="Heading5"/>
      </w:pPr>
      <w:bookmarkStart w:id="1568" w:name="_Toc131416236"/>
      <w:bookmarkStart w:id="1569" w:name="_Toc170193419"/>
      <w:r>
        <w:rPr>
          <w:rStyle w:val="CharSectno"/>
        </w:rPr>
        <w:t>95</w:t>
      </w:r>
      <w:r>
        <w:t>.</w:t>
      </w:r>
      <w:r>
        <w:tab/>
        <w:t>Meaning of insurer in this Division</w:t>
      </w:r>
      <w:bookmarkEnd w:id="1567"/>
      <w:bookmarkEnd w:id="1568"/>
      <w:bookmarkEnd w:id="1569"/>
    </w:p>
    <w:p>
      <w:pPr>
        <w:pStyle w:val="Subsection"/>
      </w:pPr>
      <w:r>
        <w:tab/>
      </w:r>
      <w:r>
        <w:tab/>
        <w:t xml:space="preserve">In this Division —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iCs/>
        </w:rPr>
        <w:t>Insurance Act 1973</w:t>
      </w:r>
      <w:r>
        <w:t xml:space="preserve"> of the Commonwealth and not registered under the </w:t>
      </w:r>
      <w:r>
        <w:rPr>
          <w:i/>
          <w:iCs/>
        </w:rPr>
        <w:t>Life Insurance Act 1995</w:t>
      </w:r>
      <w:r>
        <w:t xml:space="preserve"> of the Commonwealth.</w:t>
      </w:r>
    </w:p>
    <w:p>
      <w:pPr>
        <w:pStyle w:val="Footnotesection"/>
      </w:pPr>
      <w:bookmarkStart w:id="1570" w:name="_Toc128285604"/>
      <w:r>
        <w:tab/>
        <w:t>[Section 95 inserted by No. 36 of 2005 s. 6.]</w:t>
      </w:r>
    </w:p>
    <w:p>
      <w:pPr>
        <w:pStyle w:val="Heading5"/>
      </w:pPr>
      <w:bookmarkStart w:id="1571" w:name="_Toc131416237"/>
      <w:bookmarkStart w:id="1572" w:name="_Toc170193420"/>
      <w:r>
        <w:rPr>
          <w:rStyle w:val="CharSectno"/>
        </w:rPr>
        <w:t>95A</w:t>
      </w:r>
      <w:r>
        <w:t>.</w:t>
      </w:r>
      <w:r>
        <w:tab/>
        <w:t>Insured person to lodge statement and pay duty</w:t>
      </w:r>
      <w:bookmarkEnd w:id="1570"/>
      <w:bookmarkEnd w:id="1571"/>
      <w:bookmarkEnd w:id="1572"/>
    </w:p>
    <w:p>
      <w:pPr>
        <w:pStyle w:val="Subsection"/>
      </w:pPr>
      <w:r>
        <w:tab/>
        <w:t>(1)</w:t>
      </w:r>
      <w:r>
        <w:tab/>
        <w:t xml:space="preserve">If a person obtains, effects or renews general insurance with a Division 4 insurer, the person must —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pPr>
      <w:r>
        <w:tab/>
        <w:t>(3)</w:t>
      </w:r>
      <w:r>
        <w:tab/>
        <w:t>Section 96 has an effect on the proportion of the premium or instalment that is attributable to general insurance.</w:t>
      </w:r>
    </w:p>
    <w:p>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pPr>
      <w:bookmarkStart w:id="1573" w:name="_Toc128285605"/>
      <w:r>
        <w:tab/>
        <w:t>[Section 95A inserted by No. 36 of 2005 s. 6.]</w:t>
      </w:r>
    </w:p>
    <w:p>
      <w:pPr>
        <w:pStyle w:val="Heading5"/>
      </w:pPr>
      <w:bookmarkStart w:id="1574" w:name="_Toc131416238"/>
      <w:bookmarkStart w:id="1575" w:name="_Toc170193421"/>
      <w:r>
        <w:rPr>
          <w:rStyle w:val="CharSectno"/>
        </w:rPr>
        <w:t>95B</w:t>
      </w:r>
      <w:r>
        <w:t>.</w:t>
      </w:r>
      <w:r>
        <w:tab/>
        <w:t>Insurer and intermediary to notify Commissioner of contracts of insurance</w:t>
      </w:r>
      <w:bookmarkEnd w:id="1573"/>
      <w:bookmarkEnd w:id="1574"/>
      <w:bookmarkEnd w:id="1575"/>
    </w:p>
    <w:p>
      <w:pPr>
        <w:pStyle w:val="Subsection"/>
      </w:pPr>
      <w:r>
        <w:tab/>
        <w:t>(1)</w:t>
      </w:r>
      <w:r>
        <w:tab/>
        <w:t xml:space="preserve">A Division 4 insurer must, for each month in which the insurer is paid a premium or an instalment in respect of a contract of insurance entered into by or on behalf of the insurer, notify the Commissioner in the approved form, of —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(2)</w:t>
      </w:r>
      <w:r>
        <w:tab/>
        <w:t xml:space="preserve">An intermediary of a Division 4 insurer must, for each month in which the intermediary receives a premium or an instalment in respect of a contract of insurance for a Division 4 insurer, notify the Commissioner in the approved form, of —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(3)</w:t>
      </w:r>
      <w:r>
        <w:tab/>
        <w:t>If a person complies with a requirement in subsection (1) or (2) in respect of a contract of insurance then the requirement in the other subsection is to be taken to have been complied with.</w:t>
      </w:r>
    </w:p>
    <w:p>
      <w:pPr>
        <w:pStyle w:val="Footnotesection"/>
      </w:pPr>
      <w:bookmarkStart w:id="1576" w:name="_Toc128285606"/>
      <w:r>
        <w:tab/>
        <w:t>[Section 95B inserted by No. 36 of 2005 s. 6.]</w:t>
      </w:r>
    </w:p>
    <w:p>
      <w:pPr>
        <w:pStyle w:val="Heading3"/>
      </w:pPr>
      <w:bookmarkStart w:id="1577" w:name="_Toc131415940"/>
      <w:bookmarkStart w:id="1578" w:name="_Toc131416239"/>
      <w:bookmarkStart w:id="1579" w:name="_Toc170193422"/>
      <w:r>
        <w:rPr>
          <w:rStyle w:val="CharDivNo"/>
        </w:rPr>
        <w:t>Division 5</w:t>
      </w:r>
      <w:r>
        <w:t> — </w:t>
      </w:r>
      <w:r>
        <w:rPr>
          <w:rStyle w:val="CharDivText"/>
        </w:rPr>
        <w:t>General provisions</w:t>
      </w:r>
      <w:bookmarkEnd w:id="1576"/>
      <w:bookmarkEnd w:id="1577"/>
      <w:bookmarkEnd w:id="1578"/>
      <w:bookmarkEnd w:id="1579"/>
    </w:p>
    <w:p>
      <w:pPr>
        <w:pStyle w:val="Footnoteheading"/>
      </w:pPr>
      <w:bookmarkStart w:id="1580" w:name="_Toc128285607"/>
      <w:r>
        <w:tab/>
        <w:t>[Heading inserted by No. 36 of 2005 s. 6.]</w:t>
      </w:r>
    </w:p>
    <w:p>
      <w:pPr>
        <w:pStyle w:val="Heading5"/>
      </w:pPr>
      <w:bookmarkStart w:id="1581" w:name="_Toc131416240"/>
      <w:bookmarkStart w:id="1582" w:name="_Toc170193423"/>
      <w:r>
        <w:rPr>
          <w:rStyle w:val="CharSectno"/>
        </w:rPr>
        <w:t>96</w:t>
      </w:r>
      <w:r>
        <w:t>.</w:t>
      </w:r>
      <w:r>
        <w:tab/>
        <w:t>Apportionment of premiums and instalments</w:t>
      </w:r>
      <w:bookmarkEnd w:id="1580"/>
      <w:bookmarkEnd w:id="1581"/>
      <w:bookmarkEnd w:id="1582"/>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iCs/>
        </w:rPr>
        <w:t>Taxation Administration Act 2003</w:t>
      </w:r>
      <w:r>
        <w:t>.</w:t>
      </w:r>
    </w:p>
    <w:p>
      <w:pPr>
        <w:pStyle w:val="Subsection"/>
      </w:pPr>
      <w:r>
        <w:tab/>
        <w:t>(3)</w:t>
      </w:r>
      <w:r>
        <w:tab/>
        <w:t xml:space="preserve">A method of apportionment published under section 127 of the </w:t>
      </w:r>
      <w:r>
        <w:rPr>
          <w:i/>
          <w:iCs/>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 xml:space="preserve">If the Commissioner is satisfied that a premium or instalment has not been, or cannot be, appropriately apportioned under this section, the Commissioner may —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1583" w:name="_Toc128285608"/>
      <w:r>
        <w:tab/>
        <w:t>[Section 96 inserted by No. 36 of 2005 s. 6.]</w:t>
      </w:r>
    </w:p>
    <w:p>
      <w:pPr>
        <w:pStyle w:val="Heading5"/>
      </w:pPr>
      <w:bookmarkStart w:id="1584" w:name="_Toc131416241"/>
      <w:bookmarkStart w:id="1585" w:name="_Toc170193424"/>
      <w:r>
        <w:rPr>
          <w:rStyle w:val="CharSectno"/>
        </w:rPr>
        <w:t>96A</w:t>
      </w:r>
      <w:r>
        <w:t>.</w:t>
      </w:r>
      <w:r>
        <w:tab/>
        <w:t>Refunds</w:t>
      </w:r>
      <w:bookmarkEnd w:id="1583"/>
      <w:bookmarkEnd w:id="1584"/>
      <w:bookmarkEnd w:id="1585"/>
    </w:p>
    <w:p>
      <w:pPr>
        <w:pStyle w:val="Subsection"/>
      </w:pPr>
      <w:r>
        <w:tab/>
        <w:t>(1)</w:t>
      </w:r>
      <w:r>
        <w:tab/>
        <w:t xml:space="preserve">If —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 xml:space="preserve">If —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 xml:space="preserve">For the purposes of this section, an insurer (including a Division 4 insurer) refunds an amount of a premium if the insurer or an intermediary of the insurer —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1586" w:name="_Toc128285609"/>
      <w:r>
        <w:tab/>
        <w:t>[Section 96A inserted by No. 36 of 2005 s. 6.]</w:t>
      </w:r>
    </w:p>
    <w:p>
      <w:pPr>
        <w:pStyle w:val="Heading5"/>
      </w:pPr>
      <w:bookmarkStart w:id="1587" w:name="_Toc131416242"/>
      <w:bookmarkStart w:id="1588" w:name="_Toc170193425"/>
      <w:r>
        <w:rPr>
          <w:rStyle w:val="CharSectno"/>
        </w:rPr>
        <w:t>96B</w:t>
      </w:r>
      <w:r>
        <w:t>.</w:t>
      </w:r>
      <w:r>
        <w:tab/>
        <w:t>Records</w:t>
      </w:r>
      <w:bookmarkEnd w:id="1586"/>
      <w:bookmarkEnd w:id="1587"/>
      <w:bookmarkEnd w:id="1588"/>
    </w:p>
    <w:p>
      <w:pPr>
        <w:pStyle w:val="Subsection"/>
      </w:pPr>
      <w:r>
        <w:tab/>
        <w:t>(1)</w:t>
      </w:r>
      <w:r>
        <w:tab/>
        <w:t xml:space="preserve">An insurer and a person who is liable to pay duty under Division 4 must keep —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part"/>
      </w:pPr>
      <w:r>
        <w:t>[Part IV (s. 100</w:t>
      </w:r>
      <w:r>
        <w:noBreakHyphen/>
        <w:t>107) repealed by No. 66 of 2003 s. 84.]</w:t>
      </w:r>
    </w:p>
    <w:p>
      <w:pPr>
        <w:pStyle w:val="Ednotepart"/>
      </w:pPr>
      <w:r>
        <w:t>[Part IVAA (s. 108</w:t>
      </w:r>
      <w:r>
        <w:noBreakHyphen/>
        <w:t>112) repealed by No. 6 of 2000 s. 5.]</w:t>
      </w:r>
    </w:p>
    <w:p>
      <w:pPr>
        <w:pStyle w:val="Ednotepart"/>
      </w:pPr>
      <w:r>
        <w:t>[Part IVA: s. 112A, 112D</w:t>
      </w:r>
      <w:r>
        <w:noBreakHyphen/>
        <w:t>112F repealed by No. 53 of 1999 s. 31; Div. 3, 4, 5 (s. 112FA</w:t>
      </w:r>
      <w:r>
        <w:noBreakHyphen/>
        <w:t>112FQ) repealed by No. 53 of 1999 s. 31; balance repealed by No. 2 of 2003 s. 120.]</w:t>
      </w:r>
    </w:p>
    <w:p>
      <w:pPr>
        <w:pStyle w:val="Ednotepart"/>
      </w:pPr>
      <w:r>
        <w:t>[Part IVAB (s. 112GA</w:t>
      </w:r>
      <w:r>
        <w:noBreakHyphen/>
        <w:t>112GG) repealed by No. 53 of 1999 s. 31.]</w:t>
      </w:r>
    </w:p>
    <w:p>
      <w:pPr>
        <w:pStyle w:val="Ednotepart"/>
      </w:pPr>
      <w:r>
        <w:t>[Part IVAC (s. 112H</w:t>
      </w:r>
      <w:r>
        <w:noBreakHyphen/>
        <w:t>112HA) repealed by No. 66 of 2003 s. 84.]</w:t>
      </w:r>
    </w:p>
    <w:p>
      <w:pPr>
        <w:pStyle w:val="Ednotesection"/>
      </w:pPr>
      <w:r>
        <w:t>[</w:t>
      </w:r>
      <w:r>
        <w:rPr>
          <w:b/>
        </w:rPr>
        <w:t>112HB.</w:t>
      </w:r>
      <w:r>
        <w:rPr>
          <w:b/>
        </w:rPr>
        <w:tab/>
      </w:r>
      <w:r>
        <w:t>Repealed by No. 10 of 2001 s. 185.]</w:t>
      </w:r>
    </w:p>
    <w:p>
      <w:pPr>
        <w:pStyle w:val="Ednotepart"/>
      </w:pPr>
      <w:r>
        <w:t>[Part IVBA repealed by No. 39 of 1994 s. 11.]</w:t>
      </w:r>
    </w:p>
    <w:p>
      <w:pPr>
        <w:pStyle w:val="Heading2"/>
      </w:pPr>
      <w:bookmarkStart w:id="1589" w:name="_Toc76899698"/>
      <w:bookmarkStart w:id="1590" w:name="_Toc78090600"/>
      <w:bookmarkStart w:id="1591" w:name="_Toc88886968"/>
      <w:bookmarkStart w:id="1592" w:name="_Toc90443584"/>
      <w:bookmarkStart w:id="1593" w:name="_Toc90452935"/>
      <w:bookmarkStart w:id="1594" w:name="_Toc100029526"/>
      <w:bookmarkStart w:id="1595" w:name="_Toc100031599"/>
      <w:bookmarkStart w:id="1596" w:name="_Toc100458658"/>
      <w:bookmarkStart w:id="1597" w:name="_Toc101672074"/>
      <w:bookmarkStart w:id="1598" w:name="_Toc101672331"/>
      <w:bookmarkStart w:id="1599" w:name="_Toc102799357"/>
      <w:bookmarkStart w:id="1600" w:name="_Toc102982031"/>
      <w:bookmarkStart w:id="1601" w:name="_Toc103403344"/>
      <w:bookmarkStart w:id="1602" w:name="_Toc103403601"/>
      <w:bookmarkStart w:id="1603" w:name="_Toc103747600"/>
      <w:bookmarkStart w:id="1604" w:name="_Toc107055029"/>
      <w:bookmarkStart w:id="1605" w:name="_Toc113874476"/>
      <w:bookmarkStart w:id="1606" w:name="_Toc113956892"/>
      <w:bookmarkStart w:id="1607" w:name="_Toc116717448"/>
      <w:bookmarkStart w:id="1608" w:name="_Toc116813475"/>
      <w:bookmarkStart w:id="1609" w:name="_Toc122333128"/>
      <w:bookmarkStart w:id="1610" w:name="_Toc122862098"/>
      <w:bookmarkStart w:id="1611" w:name="_Toc122862694"/>
      <w:bookmarkStart w:id="1612" w:name="_Toc122921301"/>
      <w:bookmarkStart w:id="1613" w:name="_Toc122921561"/>
      <w:bookmarkStart w:id="1614" w:name="_Toc122947507"/>
      <w:bookmarkStart w:id="1615" w:name="_Toc124046345"/>
      <w:bookmarkStart w:id="1616" w:name="_Toc131415944"/>
      <w:bookmarkStart w:id="1617" w:name="_Toc131416243"/>
      <w:bookmarkStart w:id="1618" w:name="_Toc170193426"/>
      <w:bookmarkStart w:id="1619" w:name="_Toc58902676"/>
      <w:r>
        <w:rPr>
          <w:rStyle w:val="CharPartNo"/>
        </w:rPr>
        <w:t>Part IVB</w:t>
      </w:r>
      <w:r>
        <w:rPr>
          <w:b w:val="0"/>
        </w:rPr>
        <w:t> </w:t>
      </w:r>
      <w:r>
        <w:t>—</w:t>
      </w:r>
      <w:r>
        <w:rPr>
          <w:b w:val="0"/>
        </w:rPr>
        <w:t> </w:t>
      </w:r>
      <w:r>
        <w:rPr>
          <w:rStyle w:val="CharPartText"/>
        </w:rPr>
        <w:t>Hire of goods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Footnoteheading"/>
        <w:tabs>
          <w:tab w:val="left" w:pos="923"/>
        </w:tabs>
        <w:ind w:left="937" w:hanging="937"/>
        <w:rPr>
          <w:snapToGrid w:val="0"/>
        </w:rPr>
      </w:pPr>
      <w:r>
        <w:rPr>
          <w:snapToGrid w:val="0"/>
        </w:rPr>
        <w:tab/>
        <w:t xml:space="preserve">[Heading inserted by No. 66 of 2003 s. 85.] </w:t>
      </w:r>
    </w:p>
    <w:p>
      <w:pPr>
        <w:pStyle w:val="Heading3"/>
      </w:pPr>
      <w:bookmarkStart w:id="1620" w:name="_Toc76899699"/>
      <w:bookmarkStart w:id="1621" w:name="_Toc78090601"/>
      <w:bookmarkStart w:id="1622" w:name="_Toc88886969"/>
      <w:bookmarkStart w:id="1623" w:name="_Toc90443585"/>
      <w:bookmarkStart w:id="1624" w:name="_Toc90452936"/>
      <w:bookmarkStart w:id="1625" w:name="_Toc100029527"/>
      <w:bookmarkStart w:id="1626" w:name="_Toc100031600"/>
      <w:bookmarkStart w:id="1627" w:name="_Toc100458659"/>
      <w:bookmarkStart w:id="1628" w:name="_Toc101672075"/>
      <w:bookmarkStart w:id="1629" w:name="_Toc101672332"/>
      <w:bookmarkStart w:id="1630" w:name="_Toc102799358"/>
      <w:bookmarkStart w:id="1631" w:name="_Toc102982032"/>
      <w:bookmarkStart w:id="1632" w:name="_Toc103403345"/>
      <w:bookmarkStart w:id="1633" w:name="_Toc103403602"/>
      <w:bookmarkStart w:id="1634" w:name="_Toc103747601"/>
      <w:bookmarkStart w:id="1635" w:name="_Toc107055030"/>
      <w:bookmarkStart w:id="1636" w:name="_Toc113874477"/>
      <w:bookmarkStart w:id="1637" w:name="_Toc113956893"/>
      <w:bookmarkStart w:id="1638" w:name="_Toc116717449"/>
      <w:bookmarkStart w:id="1639" w:name="_Toc116813476"/>
      <w:bookmarkStart w:id="1640" w:name="_Toc122333129"/>
      <w:bookmarkStart w:id="1641" w:name="_Toc122862099"/>
      <w:bookmarkStart w:id="1642" w:name="_Toc122862695"/>
      <w:bookmarkStart w:id="1643" w:name="_Toc122921302"/>
      <w:bookmarkStart w:id="1644" w:name="_Toc122921562"/>
      <w:bookmarkStart w:id="1645" w:name="_Toc122947508"/>
      <w:bookmarkStart w:id="1646" w:name="_Toc124046346"/>
      <w:bookmarkStart w:id="1647" w:name="_Toc131415945"/>
      <w:bookmarkStart w:id="1648" w:name="_Toc131416244"/>
      <w:bookmarkStart w:id="1649" w:name="_Toc170193427"/>
      <w:r>
        <w:rPr>
          <w:rStyle w:val="CharDivNo"/>
        </w:rPr>
        <w:t>Division 1</w:t>
      </w:r>
      <w:r>
        <w:t> — </w:t>
      </w:r>
      <w:r>
        <w:rPr>
          <w:rStyle w:val="CharDivText"/>
        </w:rPr>
        <w:t>Interpretation in Part IVB</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1650" w:name="_Toc107055031"/>
      <w:bookmarkStart w:id="1651" w:name="_Toc131416245"/>
      <w:bookmarkStart w:id="1652" w:name="_Toc170193428"/>
      <w:r>
        <w:rPr>
          <w:rStyle w:val="CharSectno"/>
        </w:rPr>
        <w:t>112I</w:t>
      </w:r>
      <w:r>
        <w:t>.</w:t>
      </w:r>
      <w:r>
        <w:tab/>
        <w:t>Commercial hire business</w:t>
      </w:r>
      <w:bookmarkEnd w:id="1650"/>
      <w:bookmarkEnd w:id="1651"/>
      <w:bookmarkEnd w:id="1652"/>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1653" w:name="_Toc107055032"/>
      <w:bookmarkStart w:id="1654" w:name="_Toc131416246"/>
      <w:bookmarkStart w:id="1655" w:name="_Toc170193429"/>
      <w:r>
        <w:rPr>
          <w:rStyle w:val="CharSectno"/>
        </w:rPr>
        <w:t>112IA</w:t>
      </w:r>
      <w:r>
        <w:t>.</w:t>
      </w:r>
      <w:r>
        <w:tab/>
        <w:t>Goods</w:t>
      </w:r>
      <w:bookmarkEnd w:id="1653"/>
      <w:bookmarkEnd w:id="1654"/>
      <w:bookmarkEnd w:id="1655"/>
    </w:p>
    <w:p>
      <w:pPr>
        <w:pStyle w:val="Subsection"/>
      </w:pPr>
      <w:r>
        <w:tab/>
      </w:r>
      <w:r>
        <w:tab/>
        <w:t xml:space="preserve">For the purposes of this Part, </w:t>
      </w:r>
      <w:r>
        <w:rPr>
          <w:b/>
        </w:rPr>
        <w:t>“</w:t>
      </w:r>
      <w:r>
        <w:rPr>
          <w:rStyle w:val="CharDefText"/>
        </w:rPr>
        <w:t>goods</w:t>
      </w:r>
      <w:r>
        <w:rPr>
          <w:b/>
        </w:rPr>
        <w:t>”</w:t>
      </w:r>
      <w:r>
        <w:t xml:space="preserve"> includes —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1656" w:name="_Toc107055033"/>
      <w:bookmarkStart w:id="1657" w:name="_Toc131416247"/>
      <w:bookmarkStart w:id="1658" w:name="_Toc170193430"/>
      <w:r>
        <w:rPr>
          <w:rStyle w:val="CharSectno"/>
        </w:rPr>
        <w:t>112IB</w:t>
      </w:r>
      <w:r>
        <w:t>.</w:t>
      </w:r>
      <w:r>
        <w:tab/>
        <w:t>Hire of goods</w:t>
      </w:r>
      <w:bookmarkEnd w:id="1656"/>
      <w:bookmarkEnd w:id="1657"/>
      <w:bookmarkEnd w:id="1658"/>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 xml:space="preserve">There are 2 kinds of hire of goods — </w:t>
      </w:r>
    </w:p>
    <w:p>
      <w:pPr>
        <w:pStyle w:val="Indenta"/>
      </w:pPr>
      <w:r>
        <w:tab/>
        <w:t>(a)</w:t>
      </w:r>
      <w:r>
        <w:tab/>
        <w:t>equipment financing arrangements; and</w:t>
      </w:r>
    </w:p>
    <w:p>
      <w:pPr>
        <w:pStyle w:val="Indenta"/>
      </w:pPr>
      <w:r>
        <w:tab/>
        <w:t>(b)</w:t>
      </w:r>
      <w:r>
        <w:tab/>
        <w:t>ordinary hiring arrangements.</w:t>
      </w:r>
    </w:p>
    <w:p>
      <w:pPr>
        <w:pStyle w:val="Subsection"/>
      </w:pPr>
      <w:r>
        <w:tab/>
        <w:t>(3)</w:t>
      </w:r>
      <w:r>
        <w:tab/>
        <w:t xml:space="preserve">A hire of goods does not include any of the following —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1659" w:name="_Toc107055034"/>
      <w:bookmarkStart w:id="1660" w:name="_Toc131416248"/>
      <w:bookmarkStart w:id="1661" w:name="_Toc170193431"/>
      <w:r>
        <w:rPr>
          <w:rStyle w:val="CharSectno"/>
        </w:rPr>
        <w:t>112IC</w:t>
      </w:r>
      <w:r>
        <w:t>.</w:t>
      </w:r>
      <w:r>
        <w:tab/>
        <w:t>State hire of goods</w:t>
      </w:r>
      <w:bookmarkEnd w:id="1659"/>
      <w:bookmarkEnd w:id="1660"/>
      <w:bookmarkEnd w:id="1661"/>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1662" w:name="_Toc107055035"/>
      <w:bookmarkStart w:id="1663" w:name="_Toc131416249"/>
      <w:bookmarkStart w:id="1664" w:name="_Toc170193432"/>
      <w:r>
        <w:rPr>
          <w:rStyle w:val="CharSectno"/>
        </w:rPr>
        <w:t>112ID</w:t>
      </w:r>
      <w:r>
        <w:t>.</w:t>
      </w:r>
      <w:r>
        <w:tab/>
        <w:t>Equipment financing arrangements</w:t>
      </w:r>
      <w:bookmarkEnd w:id="1662"/>
      <w:bookmarkEnd w:id="1663"/>
      <w:bookmarkEnd w:id="1664"/>
    </w:p>
    <w:p>
      <w:pPr>
        <w:pStyle w:val="Subsection"/>
      </w:pPr>
      <w:r>
        <w:tab/>
        <w:t>(1)</w:t>
      </w:r>
      <w:r>
        <w:tab/>
        <w:t xml:space="preserve">An </w:t>
      </w:r>
      <w:r>
        <w:rPr>
          <w:b/>
        </w:rPr>
        <w:t>“</w:t>
      </w:r>
      <w:r>
        <w:rPr>
          <w:rStyle w:val="CharDefText"/>
        </w:rPr>
        <w:t>equipment financing arrangement</w:t>
      </w:r>
      <w:r>
        <w:rPr>
          <w:b/>
        </w:rPr>
        <w:t>”</w:t>
      </w:r>
      <w:r>
        <w:t xml:space="preserve"> is a hire of goods that consists of —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1665" w:name="_Toc107055036"/>
      <w:bookmarkStart w:id="1666" w:name="_Toc131416250"/>
      <w:bookmarkStart w:id="1667" w:name="_Toc170193433"/>
      <w:r>
        <w:rPr>
          <w:rStyle w:val="CharSectno"/>
        </w:rPr>
        <w:t>112IE</w:t>
      </w:r>
      <w:r>
        <w:t>.</w:t>
      </w:r>
      <w:r>
        <w:tab/>
        <w:t>Hiring charges</w:t>
      </w:r>
      <w:bookmarkEnd w:id="1665"/>
      <w:bookmarkEnd w:id="1666"/>
      <w:bookmarkEnd w:id="1667"/>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 xml:space="preserve">The following charges are included as hiring charges —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 xml:space="preserve">The following charges are not included as hiring charges —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1668" w:name="_Toc107055037"/>
      <w:bookmarkStart w:id="1669" w:name="_Toc131416251"/>
      <w:bookmarkStart w:id="1670" w:name="_Toc170193434"/>
      <w:r>
        <w:rPr>
          <w:rStyle w:val="CharSectno"/>
        </w:rPr>
        <w:t>112IF</w:t>
      </w:r>
      <w:r>
        <w:t>.</w:t>
      </w:r>
      <w:r>
        <w:tab/>
        <w:t>Terms used in this Part</w:t>
      </w:r>
      <w:bookmarkEnd w:id="1668"/>
      <w:bookmarkEnd w:id="1669"/>
      <w:bookmarkEnd w:id="1670"/>
    </w:p>
    <w:p>
      <w:pPr>
        <w:pStyle w:val="Subsection"/>
      </w:pPr>
      <w:r>
        <w:tab/>
      </w:r>
      <w:r>
        <w:tab/>
        <w:t xml:space="preserve">In this Part —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1671" w:name="_Toc76899707"/>
      <w:bookmarkStart w:id="1672" w:name="_Toc78090609"/>
      <w:bookmarkStart w:id="1673" w:name="_Toc88886977"/>
      <w:bookmarkStart w:id="1674" w:name="_Toc90443593"/>
      <w:bookmarkStart w:id="1675" w:name="_Toc90452944"/>
      <w:bookmarkStart w:id="1676" w:name="_Toc100029535"/>
      <w:bookmarkStart w:id="1677" w:name="_Toc100031608"/>
      <w:bookmarkStart w:id="1678" w:name="_Toc100458667"/>
      <w:bookmarkStart w:id="1679" w:name="_Toc101672083"/>
      <w:bookmarkStart w:id="1680" w:name="_Toc101672340"/>
      <w:bookmarkStart w:id="1681" w:name="_Toc102799366"/>
      <w:bookmarkStart w:id="1682" w:name="_Toc102982040"/>
      <w:bookmarkStart w:id="1683" w:name="_Toc103403353"/>
      <w:bookmarkStart w:id="1684" w:name="_Toc103403610"/>
      <w:bookmarkStart w:id="1685" w:name="_Toc103747609"/>
      <w:bookmarkStart w:id="1686" w:name="_Toc107055038"/>
      <w:bookmarkStart w:id="1687" w:name="_Toc113874485"/>
      <w:bookmarkStart w:id="1688" w:name="_Toc113956901"/>
      <w:bookmarkStart w:id="1689" w:name="_Toc116717457"/>
      <w:bookmarkStart w:id="1690" w:name="_Toc116813484"/>
      <w:bookmarkStart w:id="1691" w:name="_Toc122333137"/>
      <w:bookmarkStart w:id="1692" w:name="_Toc122862107"/>
      <w:bookmarkStart w:id="1693" w:name="_Toc122862703"/>
      <w:bookmarkStart w:id="1694" w:name="_Toc122921310"/>
      <w:bookmarkStart w:id="1695" w:name="_Toc122921570"/>
      <w:bookmarkStart w:id="1696" w:name="_Toc122947516"/>
      <w:bookmarkStart w:id="1697" w:name="_Toc124046354"/>
      <w:bookmarkStart w:id="1698" w:name="_Toc131415953"/>
      <w:bookmarkStart w:id="1699" w:name="_Toc131416252"/>
      <w:bookmarkStart w:id="1700" w:name="_Toc170193435"/>
      <w:r>
        <w:rPr>
          <w:rStyle w:val="CharDivNo"/>
        </w:rPr>
        <w:t>Division 2</w:t>
      </w:r>
      <w:r>
        <w:t> — </w:t>
      </w:r>
      <w:r>
        <w:rPr>
          <w:rStyle w:val="CharDivText"/>
        </w:rPr>
        <w:t>Registration of commercial hire businesses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1701" w:name="_Toc107055039"/>
      <w:bookmarkStart w:id="1702" w:name="_Toc131416253"/>
      <w:bookmarkStart w:id="1703" w:name="_Toc170193436"/>
      <w:r>
        <w:rPr>
          <w:rStyle w:val="CharSectno"/>
        </w:rPr>
        <w:t>112J</w:t>
      </w:r>
      <w:r>
        <w:t>.</w:t>
      </w:r>
      <w:r>
        <w:tab/>
        <w:t>Commercial hire businesses to be registered</w:t>
      </w:r>
      <w:bookmarkEnd w:id="1701"/>
      <w:bookmarkEnd w:id="1702"/>
      <w:bookmarkEnd w:id="1703"/>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Footnotesection"/>
      </w:pPr>
      <w:r>
        <w:tab/>
        <w:t>[Section 112J inserted by No. 66 of 2003 s. 85.]</w:t>
      </w:r>
    </w:p>
    <w:p>
      <w:pPr>
        <w:pStyle w:val="Heading5"/>
      </w:pPr>
      <w:bookmarkStart w:id="1704" w:name="_Toc107055040"/>
      <w:bookmarkStart w:id="1705" w:name="_Toc131416254"/>
      <w:bookmarkStart w:id="1706" w:name="_Toc170193437"/>
      <w:r>
        <w:rPr>
          <w:rStyle w:val="CharSectno"/>
        </w:rPr>
        <w:t>112JA</w:t>
      </w:r>
      <w:r>
        <w:t>.</w:t>
      </w:r>
      <w:r>
        <w:tab/>
        <w:t>Registration of commercial hire businesses</w:t>
      </w:r>
      <w:bookmarkEnd w:id="1704"/>
      <w:bookmarkEnd w:id="1705"/>
      <w:bookmarkEnd w:id="1706"/>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1707" w:name="_Toc107055041"/>
      <w:bookmarkStart w:id="1708" w:name="_Toc131416255"/>
      <w:bookmarkStart w:id="1709" w:name="_Toc170193438"/>
      <w:r>
        <w:rPr>
          <w:rStyle w:val="CharSectno"/>
        </w:rPr>
        <w:t>112JB</w:t>
      </w:r>
      <w:r>
        <w:t>.</w:t>
      </w:r>
      <w:r>
        <w:tab/>
        <w:t>Cancelling registration of commercial hire businesses</w:t>
      </w:r>
      <w:bookmarkEnd w:id="1707"/>
      <w:bookmarkEnd w:id="1708"/>
      <w:bookmarkEnd w:id="1709"/>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1710" w:name="_Toc76899711"/>
      <w:bookmarkStart w:id="1711" w:name="_Toc78090613"/>
      <w:bookmarkStart w:id="1712" w:name="_Toc88886981"/>
      <w:bookmarkStart w:id="1713" w:name="_Toc90443597"/>
      <w:bookmarkStart w:id="1714" w:name="_Toc90452948"/>
      <w:bookmarkStart w:id="1715" w:name="_Toc100029539"/>
      <w:bookmarkStart w:id="1716" w:name="_Toc100031612"/>
      <w:bookmarkStart w:id="1717" w:name="_Toc100458671"/>
      <w:bookmarkStart w:id="1718" w:name="_Toc101672087"/>
      <w:bookmarkStart w:id="1719" w:name="_Toc101672344"/>
      <w:bookmarkStart w:id="1720" w:name="_Toc102799370"/>
      <w:bookmarkStart w:id="1721" w:name="_Toc102982044"/>
      <w:bookmarkStart w:id="1722" w:name="_Toc103403357"/>
      <w:bookmarkStart w:id="1723" w:name="_Toc103403614"/>
      <w:bookmarkStart w:id="1724" w:name="_Toc103747613"/>
      <w:bookmarkStart w:id="1725" w:name="_Toc107055042"/>
      <w:bookmarkStart w:id="1726" w:name="_Toc113874489"/>
      <w:bookmarkStart w:id="1727" w:name="_Toc113956905"/>
      <w:bookmarkStart w:id="1728" w:name="_Toc116717461"/>
      <w:bookmarkStart w:id="1729" w:name="_Toc116813488"/>
      <w:bookmarkStart w:id="1730" w:name="_Toc122333141"/>
      <w:bookmarkStart w:id="1731" w:name="_Toc122862111"/>
      <w:bookmarkStart w:id="1732" w:name="_Toc122862707"/>
      <w:bookmarkStart w:id="1733" w:name="_Toc122921314"/>
      <w:bookmarkStart w:id="1734" w:name="_Toc122921574"/>
      <w:bookmarkStart w:id="1735" w:name="_Toc122947520"/>
      <w:bookmarkStart w:id="1736" w:name="_Toc124046358"/>
      <w:bookmarkStart w:id="1737" w:name="_Toc131415957"/>
      <w:bookmarkStart w:id="1738" w:name="_Toc131416256"/>
      <w:bookmarkStart w:id="1739" w:name="_Toc170193439"/>
      <w:r>
        <w:rPr>
          <w:rStyle w:val="CharDivNo"/>
        </w:rPr>
        <w:t>Division 3</w:t>
      </w:r>
      <w:r>
        <w:t> — </w:t>
      </w:r>
      <w:r>
        <w:rPr>
          <w:rStyle w:val="CharDivText"/>
        </w:rPr>
        <w:t>Connection to the State</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1740" w:name="_Toc107055043"/>
      <w:bookmarkStart w:id="1741" w:name="_Toc131416257"/>
      <w:bookmarkStart w:id="1742" w:name="_Toc170193440"/>
      <w:r>
        <w:rPr>
          <w:rStyle w:val="CharSectno"/>
        </w:rPr>
        <w:t>112K</w:t>
      </w:r>
      <w:r>
        <w:t>.</w:t>
      </w:r>
      <w:r>
        <w:tab/>
        <w:t>Connection to the State — hire of goods and persons to which this Part applies</w:t>
      </w:r>
      <w:bookmarkEnd w:id="1740"/>
      <w:bookmarkEnd w:id="1741"/>
      <w:bookmarkEnd w:id="1742"/>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spacing w:before="120"/>
      </w:pPr>
      <w:r>
        <w:tab/>
        <w:t>(3)</w:t>
      </w:r>
      <w:r>
        <w:tab/>
        <w:t xml:space="preserve">For the purposes of deciding whether goods are used solely or predominantly in Western Australia —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1743" w:name="_Toc76899713"/>
      <w:bookmarkStart w:id="1744" w:name="_Toc78090615"/>
      <w:bookmarkStart w:id="1745" w:name="_Toc88886983"/>
      <w:bookmarkStart w:id="1746" w:name="_Toc90443599"/>
      <w:bookmarkStart w:id="1747" w:name="_Toc90452950"/>
      <w:bookmarkStart w:id="1748" w:name="_Toc100029541"/>
      <w:bookmarkStart w:id="1749" w:name="_Toc100031614"/>
      <w:bookmarkStart w:id="1750" w:name="_Toc100458673"/>
      <w:bookmarkStart w:id="1751" w:name="_Toc101672089"/>
      <w:bookmarkStart w:id="1752" w:name="_Toc101672346"/>
      <w:bookmarkStart w:id="1753" w:name="_Toc102799372"/>
      <w:bookmarkStart w:id="1754" w:name="_Toc102982046"/>
      <w:bookmarkStart w:id="1755" w:name="_Toc103403359"/>
      <w:bookmarkStart w:id="1756" w:name="_Toc103403616"/>
      <w:bookmarkStart w:id="1757" w:name="_Toc103747615"/>
      <w:bookmarkStart w:id="1758" w:name="_Toc107055044"/>
      <w:bookmarkStart w:id="1759" w:name="_Toc113874491"/>
      <w:bookmarkStart w:id="1760" w:name="_Toc113956907"/>
      <w:bookmarkStart w:id="1761" w:name="_Toc116717463"/>
      <w:bookmarkStart w:id="1762" w:name="_Toc116813490"/>
      <w:bookmarkStart w:id="1763" w:name="_Toc122333143"/>
      <w:bookmarkStart w:id="1764" w:name="_Toc122862113"/>
      <w:bookmarkStart w:id="1765" w:name="_Toc122862709"/>
      <w:bookmarkStart w:id="1766" w:name="_Toc122921316"/>
      <w:bookmarkStart w:id="1767" w:name="_Toc122921576"/>
      <w:bookmarkStart w:id="1768" w:name="_Toc122947522"/>
      <w:bookmarkStart w:id="1769" w:name="_Toc124046360"/>
      <w:bookmarkStart w:id="1770" w:name="_Toc131415959"/>
      <w:bookmarkStart w:id="1771" w:name="_Toc131416258"/>
      <w:bookmarkStart w:id="1772" w:name="_Toc170193441"/>
      <w:r>
        <w:rPr>
          <w:rStyle w:val="CharDivNo"/>
        </w:rPr>
        <w:t>Division 4</w:t>
      </w:r>
      <w:r>
        <w:t> — </w:t>
      </w:r>
      <w:r>
        <w:rPr>
          <w:rStyle w:val="CharDivText"/>
        </w:rPr>
        <w:t>Commercial hire businesses</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Footnoteheading"/>
        <w:tabs>
          <w:tab w:val="left" w:pos="923"/>
        </w:tabs>
        <w:spacing w:before="80"/>
        <w:ind w:left="936" w:hanging="936"/>
        <w:rPr>
          <w:snapToGrid w:val="0"/>
        </w:rPr>
      </w:pPr>
      <w:r>
        <w:rPr>
          <w:snapToGrid w:val="0"/>
        </w:rPr>
        <w:tab/>
        <w:t xml:space="preserve">[Heading inserted by No. 66 of 2003 s. 85.] </w:t>
      </w:r>
    </w:p>
    <w:p>
      <w:pPr>
        <w:pStyle w:val="Heading5"/>
        <w:spacing w:before="180"/>
      </w:pPr>
      <w:bookmarkStart w:id="1773" w:name="_Toc107055045"/>
      <w:bookmarkStart w:id="1774" w:name="_Toc131416259"/>
      <w:bookmarkStart w:id="1775" w:name="_Toc170193442"/>
      <w:r>
        <w:rPr>
          <w:rStyle w:val="CharSectno"/>
        </w:rPr>
        <w:t>112L</w:t>
      </w:r>
      <w:r>
        <w:t>.</w:t>
      </w:r>
      <w:r>
        <w:tab/>
        <w:t>Lodging returns and paying duty</w:t>
      </w:r>
      <w:bookmarkEnd w:id="1773"/>
      <w:bookmarkEnd w:id="1774"/>
      <w:bookmarkEnd w:id="1775"/>
    </w:p>
    <w:p>
      <w:pPr>
        <w:pStyle w:val="Subsection"/>
        <w:spacing w:before="140"/>
      </w:pPr>
      <w:r>
        <w:tab/>
        <w:t>(1)</w:t>
      </w:r>
      <w:r>
        <w:tab/>
        <w:t xml:space="preserve">A registered commercial hire business must —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 xml:space="preserve">A commercial hire business that is not registered under section 112JA must —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112L inserted by No. 66 of 2003 s. 85.]</w:t>
      </w:r>
    </w:p>
    <w:p>
      <w:pPr>
        <w:pStyle w:val="Heading5"/>
      </w:pPr>
      <w:bookmarkStart w:id="1776" w:name="_Toc107055046"/>
      <w:bookmarkStart w:id="1777" w:name="_Toc131416260"/>
      <w:bookmarkStart w:id="1778" w:name="_Toc170193443"/>
      <w:r>
        <w:rPr>
          <w:rStyle w:val="CharSectno"/>
        </w:rPr>
        <w:t>112LA</w:t>
      </w:r>
      <w:r>
        <w:t>.</w:t>
      </w:r>
      <w:r>
        <w:tab/>
        <w:t>Calculating the assessable amount for a return period</w:t>
      </w:r>
      <w:bookmarkEnd w:id="1776"/>
      <w:bookmarkEnd w:id="1777"/>
      <w:bookmarkEnd w:id="1778"/>
    </w:p>
    <w:p>
      <w:pPr>
        <w:pStyle w:val="Subsection"/>
      </w:pPr>
      <w:r>
        <w:tab/>
        <w:t>(1)</w:t>
      </w:r>
      <w:r>
        <w:tab/>
        <w:t xml:space="preserve">The assessable amount for a return period of a commercial hire business is —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1779" w:name="_Toc107055047"/>
      <w:bookmarkStart w:id="1780" w:name="_Toc131416261"/>
      <w:bookmarkStart w:id="1781" w:name="_Toc170193444"/>
      <w:r>
        <w:rPr>
          <w:rStyle w:val="CharSectno"/>
        </w:rPr>
        <w:t>112LB</w:t>
      </w:r>
      <w:r>
        <w:t>.</w:t>
      </w:r>
      <w:r>
        <w:tab/>
        <w:t>Calculating the amount of duty payable on a return</w:t>
      </w:r>
      <w:bookmarkEnd w:id="1779"/>
      <w:bookmarkEnd w:id="1780"/>
      <w:bookmarkEnd w:id="1781"/>
    </w:p>
    <w:p>
      <w:pPr>
        <w:pStyle w:val="Subsection"/>
      </w:pPr>
      <w:r>
        <w:tab/>
        <w:t>(1)</w:t>
      </w:r>
      <w:r>
        <w:tab/>
        <w:t xml:space="preserve">The amount of duty payable on the return for a return period is the amount equal to the sum of —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after="60"/>
      </w:pPr>
      <w:r>
        <w:tab/>
        <w:t>(2)</w:t>
      </w:r>
      <w:r>
        <w:tab/>
        <w:t>The duty</w:t>
      </w:r>
      <w:r>
        <w:noBreakHyphen/>
        <w:t xml:space="preserve">free threshold for a return period is — </w:t>
      </w:r>
    </w:p>
    <w:p>
      <w:pPr>
        <w:pStyle w:val="Equation"/>
        <w:tabs>
          <w:tab w:val="left" w:pos="1134"/>
        </w:tabs>
        <w:spacing w:before="60"/>
        <w:ind w:left="839"/>
      </w:pPr>
      <w:r>
        <w:rPr>
          <w:position w:val="-20"/>
          <w:sz w:val="20"/>
        </w:rPr>
        <w:object w:dxaOrig="6060" w:dyaOrig="520">
          <v:shape id="_x0000_i1034" type="#_x0000_t75" style="width:303pt;height:26.25pt" o:ole="">
            <v:imagedata r:id="rId36" o:title=""/>
          </v:shape>
          <o:OLEObject Type="Embed" ProgID="Equation.3" ShapeID="_x0000_i1034" DrawAspect="Content" ObjectID="_1643744737" r:id="rId37"/>
        </w:object>
      </w:r>
    </w:p>
    <w:p>
      <w:pPr>
        <w:pStyle w:val="Subsection"/>
        <w:spacing w:after="60"/>
      </w:pPr>
      <w:r>
        <w:tab/>
      </w:r>
      <w:r>
        <w:tab/>
        <w:t xml:space="preserve">where —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1782" w:name="_Toc107055048"/>
      <w:bookmarkStart w:id="1783" w:name="_Toc131416262"/>
      <w:bookmarkStart w:id="1784" w:name="_Toc170193445"/>
      <w:r>
        <w:rPr>
          <w:rStyle w:val="CharSectno"/>
        </w:rPr>
        <w:t>112LC</w:t>
      </w:r>
      <w:r>
        <w:t>.</w:t>
      </w:r>
      <w:r>
        <w:tab/>
        <w:t>Return period for a commercial hire business</w:t>
      </w:r>
      <w:bookmarkEnd w:id="1782"/>
      <w:bookmarkEnd w:id="1783"/>
      <w:bookmarkEnd w:id="1784"/>
    </w:p>
    <w:p>
      <w:pPr>
        <w:pStyle w:val="Subsection"/>
      </w:pPr>
      <w:r>
        <w:tab/>
      </w:r>
      <w:r>
        <w:tab/>
        <w:t xml:space="preserve">The return period of a registered commercial hire business is —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1785" w:name="_Toc107055049"/>
      <w:bookmarkStart w:id="1786" w:name="_Toc131416263"/>
      <w:bookmarkStart w:id="1787" w:name="_Toc170193446"/>
      <w:r>
        <w:rPr>
          <w:rStyle w:val="CharSectno"/>
        </w:rPr>
        <w:t>112LD</w:t>
      </w:r>
      <w:r>
        <w:t>.</w:t>
      </w:r>
      <w:r>
        <w:tab/>
        <w:t>Annual reconciliation</w:t>
      </w:r>
      <w:bookmarkEnd w:id="1785"/>
      <w:bookmarkEnd w:id="1786"/>
      <w:bookmarkEnd w:id="1787"/>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 xml:space="preserve">If —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 xml:space="preserve">If —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 xml:space="preserve">In subsection (3)(d) —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 xml:space="preserve">free threshold for the commercial hire business is reduced as follows — </w:t>
      </w:r>
    </w:p>
    <w:p>
      <w:pPr>
        <w:pStyle w:val="Equation"/>
        <w:jc w:val="right"/>
      </w:pPr>
      <w:r>
        <w:rPr>
          <w:position w:val="-26"/>
        </w:rPr>
        <w:object w:dxaOrig="8100" w:dyaOrig="600">
          <v:shape id="_x0000_i1035" type="#_x0000_t75" style="width:353.25pt;height:26.25pt" o:ole="">
            <v:imagedata r:id="rId38" o:title=""/>
          </v:shape>
          <o:OLEObject Type="Embed" ProgID="Equation.3" ShapeID="_x0000_i1035" DrawAspect="Content" ObjectID="_1643744738" r:id="rId39"/>
        </w:obje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1788" w:name="_Toc76899719"/>
      <w:bookmarkStart w:id="1789" w:name="_Toc78090621"/>
      <w:bookmarkStart w:id="1790" w:name="_Toc88886989"/>
      <w:bookmarkStart w:id="1791" w:name="_Toc90443605"/>
      <w:bookmarkStart w:id="1792" w:name="_Toc90452956"/>
      <w:bookmarkStart w:id="1793" w:name="_Toc100029547"/>
      <w:bookmarkStart w:id="1794" w:name="_Toc100031620"/>
      <w:bookmarkStart w:id="1795" w:name="_Toc100458679"/>
      <w:bookmarkStart w:id="1796" w:name="_Toc101672095"/>
      <w:bookmarkStart w:id="1797" w:name="_Toc101672352"/>
      <w:bookmarkStart w:id="1798" w:name="_Toc102799378"/>
      <w:bookmarkStart w:id="1799" w:name="_Toc102982052"/>
      <w:bookmarkStart w:id="1800" w:name="_Toc103403365"/>
      <w:bookmarkStart w:id="1801" w:name="_Toc103403622"/>
      <w:bookmarkStart w:id="1802" w:name="_Toc103747621"/>
      <w:bookmarkStart w:id="1803" w:name="_Toc107055050"/>
      <w:bookmarkStart w:id="1804" w:name="_Toc113874497"/>
      <w:bookmarkStart w:id="1805" w:name="_Toc113956913"/>
      <w:bookmarkStart w:id="1806" w:name="_Toc116717469"/>
      <w:bookmarkStart w:id="1807" w:name="_Toc116813496"/>
      <w:bookmarkStart w:id="1808" w:name="_Toc122333149"/>
      <w:bookmarkStart w:id="1809" w:name="_Toc122862119"/>
      <w:bookmarkStart w:id="1810" w:name="_Toc122862715"/>
      <w:bookmarkStart w:id="1811" w:name="_Toc122921322"/>
      <w:bookmarkStart w:id="1812" w:name="_Toc122921582"/>
      <w:bookmarkStart w:id="1813" w:name="_Toc122947528"/>
      <w:bookmarkStart w:id="1814" w:name="_Toc124046366"/>
      <w:bookmarkStart w:id="1815" w:name="_Toc131415965"/>
      <w:bookmarkStart w:id="1816" w:name="_Toc131416264"/>
      <w:bookmarkStart w:id="1817" w:name="_Toc170193447"/>
      <w:r>
        <w:rPr>
          <w:rStyle w:val="CharDivNo"/>
        </w:rPr>
        <w:t>Division 5</w:t>
      </w:r>
      <w:r>
        <w:t> — </w:t>
      </w:r>
      <w:r>
        <w:rPr>
          <w:rStyle w:val="CharDivText"/>
        </w:rPr>
        <w:t>Persons other than commercial hire businesses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p>
    <w:p>
      <w:pPr>
        <w:pStyle w:val="Footnoteheading"/>
        <w:keepNext/>
        <w:tabs>
          <w:tab w:val="left" w:pos="923"/>
        </w:tabs>
        <w:ind w:left="937" w:hanging="937"/>
        <w:rPr>
          <w:snapToGrid w:val="0"/>
        </w:rPr>
      </w:pPr>
      <w:r>
        <w:rPr>
          <w:snapToGrid w:val="0"/>
        </w:rPr>
        <w:tab/>
        <w:t xml:space="preserve">[Heading inserted by No. 66 of 2003 s. 85.] </w:t>
      </w:r>
    </w:p>
    <w:p>
      <w:pPr>
        <w:pStyle w:val="Heading5"/>
      </w:pPr>
      <w:bookmarkStart w:id="1818" w:name="_Toc107055051"/>
      <w:bookmarkStart w:id="1819" w:name="_Toc131416265"/>
      <w:bookmarkStart w:id="1820" w:name="_Toc170193448"/>
      <w:r>
        <w:rPr>
          <w:rStyle w:val="CharSectno"/>
        </w:rPr>
        <w:t>112M</w:t>
      </w:r>
      <w:r>
        <w:t>.</w:t>
      </w:r>
      <w:r>
        <w:tab/>
        <w:t>Statement of transaction</w:t>
      </w:r>
      <w:bookmarkEnd w:id="1818"/>
      <w:bookmarkEnd w:id="1819"/>
      <w:bookmarkEnd w:id="1820"/>
    </w:p>
    <w:p>
      <w:pPr>
        <w:pStyle w:val="Subsection"/>
        <w:spacing w:before="140"/>
      </w:pPr>
      <w:r>
        <w:tab/>
        <w:t>(1)</w:t>
      </w:r>
      <w:r>
        <w:tab/>
        <w:t xml:space="preserve">If a hirer hires goods under a hire of goods from a person who is not a commercial hire business and the total amount of hiring charges paid or payable for the hire of the goods is at least $1 000, the hirer must prepare a statement that includes particulars of the following —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 xml:space="preserve">The statement must be prepared at or before the earlier of —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Footnotesection"/>
      </w:pPr>
      <w:r>
        <w:tab/>
        <w:t>[Section 112M inserted by No. 66 of 2003 s. 85.]</w:t>
      </w:r>
    </w:p>
    <w:p>
      <w:pPr>
        <w:pStyle w:val="Heading5"/>
      </w:pPr>
      <w:bookmarkStart w:id="1821" w:name="_Toc107055052"/>
      <w:bookmarkStart w:id="1822" w:name="_Toc131416266"/>
      <w:bookmarkStart w:id="1823" w:name="_Toc170193449"/>
      <w:r>
        <w:rPr>
          <w:rStyle w:val="CharSectno"/>
        </w:rPr>
        <w:t>112MA</w:t>
      </w:r>
      <w:r>
        <w:t>.</w:t>
      </w:r>
      <w:r>
        <w:tab/>
        <w:t>Lodging statements and paying duty</w:t>
      </w:r>
      <w:bookmarkEnd w:id="1821"/>
      <w:bookmarkEnd w:id="1822"/>
      <w:bookmarkEnd w:id="1823"/>
    </w:p>
    <w:p>
      <w:pPr>
        <w:pStyle w:val="Subsection"/>
      </w:pPr>
      <w:r>
        <w:tab/>
        <w:t>(1)</w:t>
      </w:r>
      <w:r>
        <w:tab/>
        <w:t xml:space="preserve">Within 3 months after the statement is required to be prepared, the hirer must —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keepNext/>
      </w:pPr>
      <w:r>
        <w:tab/>
        <w:t>(2)</w:t>
      </w:r>
      <w:r>
        <w:tab/>
        <w:t xml:space="preserve">Duty payable on a statement is —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1824" w:name="_Toc107055053"/>
      <w:bookmarkStart w:id="1825" w:name="_Toc131416267"/>
      <w:bookmarkStart w:id="1826" w:name="_Toc170193450"/>
      <w:r>
        <w:rPr>
          <w:rStyle w:val="CharSectno"/>
        </w:rPr>
        <w:t>112MB</w:t>
      </w:r>
      <w:r>
        <w:t>.</w:t>
      </w:r>
      <w:r>
        <w:tab/>
        <w:t>Method of calculating total hiring charges if they are not readily ascertainable</w:t>
      </w:r>
      <w:bookmarkEnd w:id="1824"/>
      <w:bookmarkEnd w:id="1825"/>
      <w:bookmarkEnd w:id="1826"/>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 xml:space="preserve">Within 3 months after a statement is required to be prepared, the hirer must —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1827" w:name="_Toc76899723"/>
      <w:bookmarkStart w:id="1828" w:name="_Toc78090625"/>
      <w:bookmarkStart w:id="1829" w:name="_Toc88886993"/>
      <w:bookmarkStart w:id="1830" w:name="_Toc90443609"/>
      <w:bookmarkStart w:id="1831" w:name="_Toc90452960"/>
      <w:bookmarkStart w:id="1832" w:name="_Toc100029551"/>
      <w:bookmarkStart w:id="1833" w:name="_Toc100031624"/>
      <w:bookmarkStart w:id="1834" w:name="_Toc100458683"/>
      <w:bookmarkStart w:id="1835" w:name="_Toc101672099"/>
      <w:bookmarkStart w:id="1836" w:name="_Toc101672356"/>
      <w:bookmarkStart w:id="1837" w:name="_Toc102799382"/>
      <w:bookmarkStart w:id="1838" w:name="_Toc102982056"/>
      <w:bookmarkStart w:id="1839" w:name="_Toc103403369"/>
      <w:bookmarkStart w:id="1840" w:name="_Toc103403626"/>
      <w:bookmarkStart w:id="1841" w:name="_Toc103747625"/>
      <w:bookmarkStart w:id="1842" w:name="_Toc107055054"/>
      <w:bookmarkStart w:id="1843" w:name="_Toc113874501"/>
      <w:bookmarkStart w:id="1844" w:name="_Toc113956917"/>
      <w:bookmarkStart w:id="1845" w:name="_Toc116717473"/>
      <w:bookmarkStart w:id="1846" w:name="_Toc116813500"/>
      <w:bookmarkStart w:id="1847" w:name="_Toc122333153"/>
      <w:bookmarkStart w:id="1848" w:name="_Toc122862123"/>
      <w:bookmarkStart w:id="1849" w:name="_Toc122862719"/>
      <w:bookmarkStart w:id="1850" w:name="_Toc122921326"/>
      <w:bookmarkStart w:id="1851" w:name="_Toc122921586"/>
      <w:bookmarkStart w:id="1852" w:name="_Toc122947532"/>
      <w:bookmarkStart w:id="1853" w:name="_Toc124046370"/>
      <w:bookmarkStart w:id="1854" w:name="_Toc131415969"/>
      <w:bookmarkStart w:id="1855" w:name="_Toc131416268"/>
      <w:bookmarkStart w:id="1856" w:name="_Toc170193451"/>
      <w:r>
        <w:rPr>
          <w:rStyle w:val="CharDivNo"/>
        </w:rPr>
        <w:t>Division 6</w:t>
      </w:r>
      <w:r>
        <w:t> — </w:t>
      </w:r>
      <w:r>
        <w:rPr>
          <w:rStyle w:val="CharDivText"/>
        </w:rPr>
        <w:t>General provisions</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1857" w:name="_Toc107055055"/>
      <w:bookmarkStart w:id="1858" w:name="_Toc131416269"/>
      <w:bookmarkStart w:id="1859" w:name="_Toc170193452"/>
      <w:r>
        <w:rPr>
          <w:rStyle w:val="CharSectno"/>
        </w:rPr>
        <w:t>112N</w:t>
      </w:r>
      <w:r>
        <w:t>.</w:t>
      </w:r>
      <w:r>
        <w:tab/>
        <w:t>Credit for duty paid in another Australian jurisdiction</w:t>
      </w:r>
      <w:bookmarkEnd w:id="1857"/>
      <w:bookmarkEnd w:id="1858"/>
      <w:bookmarkEnd w:id="1859"/>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1860" w:name="_Toc107055056"/>
      <w:bookmarkStart w:id="1861" w:name="_Toc131416270"/>
      <w:bookmarkStart w:id="1862" w:name="_Toc170193453"/>
      <w:r>
        <w:t>112NA.</w:t>
      </w:r>
      <w:r>
        <w:tab/>
        <w:t>Splitting or redirecting hiring charges — anti</w:t>
      </w:r>
      <w:r>
        <w:noBreakHyphen/>
        <w:t>avoidance provision</w:t>
      </w:r>
      <w:bookmarkEnd w:id="1860"/>
      <w:bookmarkEnd w:id="1861"/>
      <w:bookmarkEnd w:id="1862"/>
    </w:p>
    <w:p>
      <w:pPr>
        <w:pStyle w:val="Subsection"/>
      </w:pPr>
      <w:r>
        <w:tab/>
        <w:t>(1)</w:t>
      </w:r>
      <w:r>
        <w:tab/>
        <w:t xml:space="preserve">The Commissioner may include in an assessment or reassessment, as part of an amount received as hiring charges, any of the following —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pPr>
      <w:r>
        <w:tab/>
        <w:t>[Section 112NA inserted by No. 66 of 2003 s. 85.]</w:t>
      </w:r>
    </w:p>
    <w:p>
      <w:pPr>
        <w:pStyle w:val="Heading5"/>
      </w:pPr>
      <w:bookmarkStart w:id="1863" w:name="_Toc107055057"/>
      <w:bookmarkStart w:id="1864" w:name="_Toc131416271"/>
      <w:bookmarkStart w:id="1865" w:name="_Toc170193454"/>
      <w:r>
        <w:rPr>
          <w:rStyle w:val="CharSectno"/>
        </w:rPr>
        <w:t>112NB</w:t>
      </w:r>
      <w:r>
        <w:t>.</w:t>
      </w:r>
      <w:r>
        <w:tab/>
        <w:t>Ascertainment and disclosure of place of use of goods</w:t>
      </w:r>
      <w:bookmarkEnd w:id="1863"/>
      <w:bookmarkEnd w:id="1864"/>
      <w:bookmarkEnd w:id="1865"/>
    </w:p>
    <w:p>
      <w:pPr>
        <w:pStyle w:val="Subsection"/>
      </w:pPr>
      <w:r>
        <w:tab/>
        <w:t>(1)</w:t>
      </w:r>
      <w:r>
        <w:tab/>
        <w:t xml:space="preserve">A commercial hire business may, in determining the commercial hire business’s liability to duty, rely on a statement of the hirer as to —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1866" w:name="_Toc107055058"/>
      <w:bookmarkStart w:id="1867" w:name="_Toc131416272"/>
      <w:bookmarkStart w:id="1868" w:name="_Toc170193455"/>
      <w:r>
        <w:rPr>
          <w:rStyle w:val="CharSectno"/>
        </w:rPr>
        <w:t>112NC</w:t>
      </w:r>
      <w:r>
        <w:t>.</w:t>
      </w:r>
      <w:r>
        <w:tab/>
        <w:t>Records</w:t>
      </w:r>
      <w:bookmarkEnd w:id="1866"/>
      <w:bookmarkEnd w:id="1867"/>
      <w:bookmarkEnd w:id="1868"/>
    </w:p>
    <w:p>
      <w:pPr>
        <w:pStyle w:val="Subsection"/>
      </w:pPr>
      <w:r>
        <w:tab/>
      </w:r>
      <w:r>
        <w:tab/>
        <w:t xml:space="preserve">A commercial hire business and a hirer who must prepare a statement under Division 5 must keep —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pPr>
      <w:r>
        <w:tab/>
        <w:t>[Section 112NC inserted by No. 66 of 2003 s. 85.]</w:t>
      </w:r>
    </w:p>
    <w:p>
      <w:pPr>
        <w:pStyle w:val="Ednotesection"/>
        <w:ind w:left="0" w:firstLine="0"/>
      </w:pPr>
      <w:r>
        <w:t>[</w:t>
      </w:r>
      <w:r>
        <w:rPr>
          <w:b/>
        </w:rPr>
        <w:t>112O, 112P.</w:t>
      </w:r>
      <w:r>
        <w:tab/>
        <w:t>Repealed by No. 66 of 2003 s. 85.]</w:t>
      </w:r>
    </w:p>
    <w:p>
      <w:pPr>
        <w:pStyle w:val="Heading2"/>
      </w:pPr>
      <w:bookmarkStart w:id="1869" w:name="_Toc76899728"/>
      <w:bookmarkStart w:id="1870" w:name="_Toc78090630"/>
      <w:bookmarkStart w:id="1871" w:name="_Toc88886998"/>
      <w:bookmarkStart w:id="1872" w:name="_Toc90443614"/>
      <w:bookmarkStart w:id="1873" w:name="_Toc90452965"/>
      <w:bookmarkStart w:id="1874" w:name="_Toc100029556"/>
      <w:bookmarkStart w:id="1875" w:name="_Toc100031629"/>
      <w:bookmarkStart w:id="1876" w:name="_Toc100458688"/>
      <w:bookmarkStart w:id="1877" w:name="_Toc101672104"/>
      <w:bookmarkStart w:id="1878" w:name="_Toc101672361"/>
      <w:bookmarkStart w:id="1879" w:name="_Toc102799387"/>
      <w:bookmarkStart w:id="1880" w:name="_Toc102982061"/>
      <w:bookmarkStart w:id="1881" w:name="_Toc103403374"/>
      <w:bookmarkStart w:id="1882" w:name="_Toc103403631"/>
      <w:bookmarkStart w:id="1883" w:name="_Toc103747630"/>
      <w:bookmarkStart w:id="1884" w:name="_Toc107055059"/>
      <w:bookmarkStart w:id="1885" w:name="_Toc113874506"/>
      <w:bookmarkStart w:id="1886" w:name="_Toc113956922"/>
      <w:bookmarkStart w:id="1887" w:name="_Toc116717478"/>
      <w:bookmarkStart w:id="1888" w:name="_Toc116813505"/>
      <w:bookmarkStart w:id="1889" w:name="_Toc122333158"/>
      <w:bookmarkStart w:id="1890" w:name="_Toc122862128"/>
      <w:bookmarkStart w:id="1891" w:name="_Toc122862724"/>
      <w:bookmarkStart w:id="1892" w:name="_Toc122921331"/>
      <w:bookmarkStart w:id="1893" w:name="_Toc122921591"/>
      <w:bookmarkStart w:id="1894" w:name="_Toc122947537"/>
      <w:bookmarkStart w:id="1895" w:name="_Toc124046375"/>
      <w:bookmarkStart w:id="1896" w:name="_Toc131415974"/>
      <w:bookmarkStart w:id="1897" w:name="_Toc131416273"/>
      <w:bookmarkStart w:id="1898" w:name="_Toc170193456"/>
      <w:r>
        <w:rPr>
          <w:rStyle w:val="CharPartNo"/>
        </w:rPr>
        <w:t>Part IVC</w:t>
      </w:r>
      <w:r>
        <w:rPr>
          <w:rStyle w:val="CharDivNo"/>
        </w:rPr>
        <w:t> </w:t>
      </w:r>
      <w:r>
        <w:t>—</w:t>
      </w:r>
      <w:r>
        <w:rPr>
          <w:rStyle w:val="CharDivText"/>
        </w:rPr>
        <w:t> </w:t>
      </w:r>
      <w:r>
        <w:rPr>
          <w:rStyle w:val="CharPartText"/>
        </w:rPr>
        <w:t>Exemptions in relation to aged or disabled persons</w:t>
      </w:r>
      <w:bookmarkEnd w:id="1619"/>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1899" w:name="_Toc500740069"/>
      <w:bookmarkStart w:id="1900" w:name="_Toc520101232"/>
      <w:bookmarkStart w:id="1901" w:name="_Toc520533131"/>
      <w:bookmarkStart w:id="1902" w:name="_Toc49224011"/>
      <w:bookmarkStart w:id="1903" w:name="_Toc107055060"/>
      <w:bookmarkStart w:id="1904" w:name="_Toc131416274"/>
      <w:bookmarkStart w:id="1905" w:name="_Toc170193457"/>
      <w:r>
        <w:rPr>
          <w:rStyle w:val="CharSectno"/>
        </w:rPr>
        <w:t>112Q</w:t>
      </w:r>
      <w:r>
        <w:rPr>
          <w:snapToGrid w:val="0"/>
        </w:rPr>
        <w:t>.</w:t>
      </w:r>
      <w:r>
        <w:rPr>
          <w:snapToGrid w:val="0"/>
        </w:rPr>
        <w:tab/>
        <w:t>Certain residential agreements with charitable bodies exempt</w:t>
      </w:r>
      <w:bookmarkEnd w:id="1899"/>
      <w:bookmarkEnd w:id="1900"/>
      <w:bookmarkEnd w:id="1901"/>
      <w:bookmarkEnd w:id="1902"/>
      <w:bookmarkEnd w:id="1903"/>
      <w:bookmarkEnd w:id="1904"/>
      <w:bookmarkEnd w:id="1905"/>
      <w:r>
        <w:rPr>
          <w:snapToGrid w:val="0"/>
        </w:rPr>
        <w:t xml:space="preserve"> </w:t>
      </w:r>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qualified person</w:t>
      </w:r>
      <w:r>
        <w:rPr>
          <w:b/>
        </w:rPr>
        <w:t>”</w:t>
      </w:r>
      <w:r>
        <w:t xml:space="preserve"> means a person —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 xml:space="preserve">[Section 112Q inserted by No. 13 of 1997 s. 41(1); amended by No. 2 of 2003 s. 130; No. 28 of 2003 s. 193.] </w:t>
      </w:r>
    </w:p>
    <w:p>
      <w:pPr>
        <w:pStyle w:val="Heading5"/>
      </w:pPr>
      <w:bookmarkStart w:id="1906" w:name="_Toc500740070"/>
      <w:bookmarkStart w:id="1907" w:name="_Toc520101233"/>
      <w:bookmarkStart w:id="1908" w:name="_Toc520533132"/>
      <w:bookmarkStart w:id="1909" w:name="_Toc49224012"/>
      <w:bookmarkStart w:id="1910" w:name="_Toc107055061"/>
      <w:bookmarkStart w:id="1911" w:name="_Toc131416275"/>
      <w:bookmarkStart w:id="1912" w:name="_Toc170193458"/>
      <w:r>
        <w:rPr>
          <w:rStyle w:val="CharSectno"/>
        </w:rPr>
        <w:t>112R</w:t>
      </w:r>
      <w:r>
        <w:rPr>
          <w:snapToGrid w:val="0"/>
        </w:rPr>
        <w:t>.</w:t>
      </w:r>
      <w:r>
        <w:rPr>
          <w:snapToGrid w:val="0"/>
        </w:rPr>
        <w:tab/>
        <w:t>Certain aged care agreements exempt</w:t>
      </w:r>
      <w:bookmarkEnd w:id="1906"/>
      <w:bookmarkEnd w:id="1907"/>
      <w:bookmarkEnd w:id="1908"/>
      <w:bookmarkEnd w:id="1909"/>
      <w:bookmarkEnd w:id="1910"/>
      <w:bookmarkEnd w:id="1911"/>
      <w:bookmarkEnd w:id="1912"/>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1913" w:name="_Toc500740071"/>
      <w:bookmarkStart w:id="1914" w:name="_Toc520101234"/>
      <w:bookmarkStart w:id="1915" w:name="_Toc520533133"/>
      <w:bookmarkStart w:id="1916" w:name="_Toc49224013"/>
      <w:bookmarkStart w:id="1917" w:name="_Toc107055062"/>
      <w:bookmarkStart w:id="1918" w:name="_Toc131416276"/>
      <w:bookmarkStart w:id="1919" w:name="_Toc170193459"/>
      <w:r>
        <w:rPr>
          <w:rStyle w:val="CharSectno"/>
        </w:rPr>
        <w:t>112S</w:t>
      </w:r>
      <w:r>
        <w:rPr>
          <w:snapToGrid w:val="0"/>
        </w:rPr>
        <w:t>.</w:t>
      </w:r>
      <w:r>
        <w:rPr>
          <w:snapToGrid w:val="0"/>
        </w:rPr>
        <w:tab/>
        <w:t>Instruments not required to be lodged</w:t>
      </w:r>
      <w:bookmarkEnd w:id="1913"/>
      <w:bookmarkEnd w:id="1914"/>
      <w:bookmarkEnd w:id="1915"/>
      <w:bookmarkEnd w:id="1916"/>
      <w:bookmarkEnd w:id="1917"/>
      <w:bookmarkEnd w:id="1918"/>
      <w:bookmarkEnd w:id="1919"/>
      <w:r>
        <w:rPr>
          <w:snapToGrid w:val="0"/>
        </w:rPr>
        <w:t xml:space="preserve"> </w:t>
      </w:r>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1920" w:name="_Toc58902680"/>
      <w:bookmarkStart w:id="1921" w:name="_Toc76899732"/>
      <w:bookmarkStart w:id="1922" w:name="_Toc78090634"/>
      <w:bookmarkStart w:id="1923" w:name="_Toc88887002"/>
      <w:bookmarkStart w:id="1924" w:name="_Toc90443618"/>
      <w:bookmarkStart w:id="1925" w:name="_Toc90452969"/>
      <w:bookmarkStart w:id="1926" w:name="_Toc100029560"/>
      <w:bookmarkStart w:id="1927" w:name="_Toc100031633"/>
      <w:bookmarkStart w:id="1928" w:name="_Toc100458692"/>
      <w:bookmarkStart w:id="1929" w:name="_Toc101672108"/>
      <w:bookmarkStart w:id="1930" w:name="_Toc101672365"/>
      <w:bookmarkStart w:id="1931" w:name="_Toc102799391"/>
      <w:bookmarkStart w:id="1932" w:name="_Toc102982065"/>
      <w:bookmarkStart w:id="1933" w:name="_Toc103403378"/>
      <w:bookmarkStart w:id="1934" w:name="_Toc103403635"/>
      <w:bookmarkStart w:id="1935" w:name="_Toc103747634"/>
      <w:bookmarkStart w:id="1936" w:name="_Toc107055063"/>
      <w:bookmarkStart w:id="1937" w:name="_Toc113874510"/>
      <w:bookmarkStart w:id="1938" w:name="_Toc113956926"/>
      <w:bookmarkStart w:id="1939" w:name="_Toc116717482"/>
      <w:bookmarkStart w:id="1940" w:name="_Toc116813509"/>
      <w:bookmarkStart w:id="1941" w:name="_Toc122333162"/>
      <w:bookmarkStart w:id="1942" w:name="_Toc122862132"/>
      <w:bookmarkStart w:id="1943" w:name="_Toc122862728"/>
      <w:bookmarkStart w:id="1944" w:name="_Toc122921335"/>
      <w:bookmarkStart w:id="1945" w:name="_Toc122921595"/>
      <w:bookmarkStart w:id="1946" w:name="_Toc122947541"/>
      <w:bookmarkStart w:id="1947" w:name="_Toc124046379"/>
      <w:bookmarkStart w:id="1948" w:name="_Toc131415978"/>
      <w:bookmarkStart w:id="1949" w:name="_Toc131416277"/>
      <w:bookmarkStart w:id="1950" w:name="_Toc170193460"/>
      <w:r>
        <w:rPr>
          <w:rStyle w:val="CharPartNo"/>
        </w:rPr>
        <w:t>Part IVD</w:t>
      </w:r>
      <w:r>
        <w:rPr>
          <w:rStyle w:val="CharDivNo"/>
        </w:rPr>
        <w:t> </w:t>
      </w:r>
      <w:r>
        <w:t>—</w:t>
      </w:r>
      <w:r>
        <w:rPr>
          <w:rStyle w:val="CharDivText"/>
        </w:rPr>
        <w:t> </w:t>
      </w:r>
      <w:r>
        <w:rPr>
          <w:rStyle w:val="CharPartText"/>
        </w:rPr>
        <w:t>Maintenance agreements and orders</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r>
        <w:rPr>
          <w:rStyle w:val="CharPartText"/>
        </w:rPr>
        <w:t xml:space="preserve"> </w:t>
      </w:r>
    </w:p>
    <w:p>
      <w:pPr>
        <w:pStyle w:val="Footnoteheading"/>
        <w:tabs>
          <w:tab w:val="left" w:pos="923"/>
        </w:tabs>
        <w:ind w:left="937" w:hanging="937"/>
        <w:rPr>
          <w:snapToGrid w:val="0"/>
        </w:rPr>
      </w:pPr>
      <w:r>
        <w:rPr>
          <w:snapToGrid w:val="0"/>
        </w:rPr>
        <w:tab/>
        <w:t xml:space="preserve">[Heading inserted by No. 45 of 1982 s. 3.] </w:t>
      </w:r>
    </w:p>
    <w:p>
      <w:pPr>
        <w:pStyle w:val="Heading5"/>
        <w:rPr>
          <w:snapToGrid w:val="0"/>
        </w:rPr>
      </w:pPr>
      <w:bookmarkStart w:id="1951" w:name="_Toc500740072"/>
      <w:bookmarkStart w:id="1952" w:name="_Toc520101235"/>
      <w:bookmarkStart w:id="1953" w:name="_Toc520533134"/>
      <w:bookmarkStart w:id="1954" w:name="_Toc49224014"/>
      <w:bookmarkStart w:id="1955" w:name="_Toc107055064"/>
      <w:bookmarkStart w:id="1956" w:name="_Toc131416278"/>
      <w:bookmarkStart w:id="1957" w:name="_Toc170193461"/>
      <w:r>
        <w:rPr>
          <w:rStyle w:val="CharSectno"/>
        </w:rPr>
        <w:t>112UA</w:t>
      </w:r>
      <w:r>
        <w:rPr>
          <w:snapToGrid w:val="0"/>
        </w:rPr>
        <w:t>.</w:t>
      </w:r>
      <w:r>
        <w:rPr>
          <w:snapToGrid w:val="0"/>
        </w:rPr>
        <w:tab/>
        <w:t>Interpretation in Part IVD</w:t>
      </w:r>
      <w:bookmarkEnd w:id="1951"/>
      <w:bookmarkEnd w:id="1952"/>
      <w:bookmarkEnd w:id="1953"/>
      <w:bookmarkEnd w:id="1954"/>
      <w:bookmarkEnd w:id="1955"/>
      <w:bookmarkEnd w:id="1956"/>
      <w:bookmarkEnd w:id="1957"/>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 xml:space="preserve">[Section 112UA inserted by No. 45 of 1982 s. 3; amended by No. 41 of 1997 s. 37; No. 25 of 2002 s. 52; No. 2 of 2003 s. 132.] </w:t>
      </w:r>
    </w:p>
    <w:p>
      <w:pPr>
        <w:pStyle w:val="Heading5"/>
        <w:rPr>
          <w:snapToGrid w:val="0"/>
        </w:rPr>
      </w:pPr>
      <w:bookmarkStart w:id="1958" w:name="_Toc500740073"/>
      <w:bookmarkStart w:id="1959" w:name="_Toc520101236"/>
      <w:bookmarkStart w:id="1960" w:name="_Toc520533135"/>
      <w:bookmarkStart w:id="1961" w:name="_Toc49224015"/>
      <w:bookmarkStart w:id="1962" w:name="_Toc107055065"/>
      <w:bookmarkStart w:id="1963" w:name="_Toc131416279"/>
      <w:bookmarkStart w:id="1964" w:name="_Toc170193462"/>
      <w:r>
        <w:rPr>
          <w:rStyle w:val="CharSectno"/>
        </w:rPr>
        <w:t>112UB</w:t>
      </w:r>
      <w:r>
        <w:rPr>
          <w:snapToGrid w:val="0"/>
        </w:rPr>
        <w:t>.</w:t>
      </w:r>
      <w:r>
        <w:rPr>
          <w:snapToGrid w:val="0"/>
        </w:rPr>
        <w:tab/>
        <w:t>Application of Part IVD</w:t>
      </w:r>
      <w:bookmarkEnd w:id="1958"/>
      <w:bookmarkEnd w:id="1959"/>
      <w:bookmarkEnd w:id="1960"/>
      <w:bookmarkEnd w:id="1961"/>
      <w:bookmarkEnd w:id="1962"/>
      <w:bookmarkEnd w:id="1963"/>
      <w:bookmarkEnd w:id="1964"/>
      <w:r>
        <w:rPr>
          <w:snapToGrid w:val="0"/>
        </w:rPr>
        <w:t xml:space="preserve"> </w:t>
      </w:r>
    </w:p>
    <w:p>
      <w:pPr>
        <w:pStyle w:val="Subsection"/>
        <w:rPr>
          <w:snapToGrid w:val="0"/>
        </w:rPr>
      </w:pPr>
      <w:r>
        <w:rPr>
          <w:snapToGrid w:val="0"/>
        </w:rPr>
        <w:tab/>
        <w:t>(1)</w:t>
      </w:r>
      <w:r>
        <w:rPr>
          <w:snapToGrid w:val="0"/>
        </w:rPr>
        <w:tab/>
        <w:t xml:space="preserve">Sections 112UC and 112UD do not apply to or in relation to —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 xml:space="preserve">Sections 112UC and 112UD do not apply to or in relation to —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 xml:space="preserve">A statement in a maintenance agreement to the effect that — </w:t>
      </w:r>
    </w:p>
    <w:p>
      <w:pPr>
        <w:pStyle w:val="Indenta"/>
        <w:spacing w:before="60"/>
      </w:pPr>
      <w:r>
        <w:tab/>
        <w:t>(a)</w:t>
      </w:r>
      <w:r>
        <w:tab/>
        <w:t xml:space="preserve">the </w:t>
      </w:r>
      <w:r>
        <w:rPr>
          <w:snapToGrid w:val="0"/>
        </w:rPr>
        <w:t>parties</w:t>
      </w:r>
      <w:r>
        <w:t xml:space="preserve"> to a marriage are separated or divorced from each other; or </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 xml:space="preserve">[Section 112UB inserted by No. 45 of 1982 s. 3; amended by No. 25 of 2002 s. 52; No. 2 of 2003 s. 133.] </w:t>
      </w:r>
    </w:p>
    <w:p>
      <w:pPr>
        <w:pStyle w:val="Heading5"/>
        <w:rPr>
          <w:snapToGrid w:val="0"/>
        </w:rPr>
      </w:pPr>
      <w:bookmarkStart w:id="1965" w:name="_Toc500740074"/>
      <w:bookmarkStart w:id="1966" w:name="_Toc520101237"/>
      <w:bookmarkStart w:id="1967" w:name="_Toc520533136"/>
      <w:bookmarkStart w:id="1968" w:name="_Toc49224016"/>
      <w:bookmarkStart w:id="1969" w:name="_Toc107055066"/>
      <w:bookmarkStart w:id="1970" w:name="_Toc131416280"/>
      <w:bookmarkStart w:id="1971" w:name="_Toc170193463"/>
      <w:r>
        <w:rPr>
          <w:rStyle w:val="CharSectno"/>
        </w:rPr>
        <w:t>112UC</w:t>
      </w:r>
      <w:r>
        <w:rPr>
          <w:snapToGrid w:val="0"/>
        </w:rPr>
        <w:t>.</w:t>
      </w:r>
      <w:r>
        <w:rPr>
          <w:snapToGrid w:val="0"/>
        </w:rPr>
        <w:tab/>
        <w:t>Duty on maintenance agreements and orders</w:t>
      </w:r>
      <w:bookmarkEnd w:id="1965"/>
      <w:bookmarkEnd w:id="1966"/>
      <w:bookmarkEnd w:id="1967"/>
      <w:bookmarkEnd w:id="1968"/>
      <w:bookmarkEnd w:id="1969"/>
      <w:bookmarkEnd w:id="1970"/>
      <w:bookmarkEnd w:id="1971"/>
      <w:r>
        <w:rPr>
          <w:snapToGrid w:val="0"/>
        </w:rPr>
        <w:t xml:space="preserve"> </w:t>
      </w:r>
    </w:p>
    <w:p>
      <w:pPr>
        <w:pStyle w:val="Subsection"/>
        <w:rPr>
          <w:snapToGrid w:val="0"/>
        </w:rPr>
      </w:pPr>
      <w:r>
        <w:rPr>
          <w:snapToGrid w:val="0"/>
        </w:rPr>
        <w:tab/>
      </w:r>
      <w:r>
        <w:rPr>
          <w:snapToGrid w:val="0"/>
        </w:rPr>
        <w:tab/>
        <w:t>Notwithstanding anything in a stamp Act but subject to section 112UB —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 xml:space="preserve">[Section 112UC inserted by No. 45 of 1982 s. 3; amended by No. 2 of 2003 s. 134.] </w:t>
      </w:r>
    </w:p>
    <w:p>
      <w:pPr>
        <w:pStyle w:val="Heading5"/>
        <w:rPr>
          <w:snapToGrid w:val="0"/>
        </w:rPr>
      </w:pPr>
      <w:bookmarkStart w:id="1972" w:name="_Toc500740075"/>
      <w:bookmarkStart w:id="1973" w:name="_Toc520101238"/>
      <w:bookmarkStart w:id="1974" w:name="_Toc520533137"/>
      <w:bookmarkStart w:id="1975" w:name="_Toc49224017"/>
      <w:bookmarkStart w:id="1976" w:name="_Toc107055067"/>
      <w:bookmarkStart w:id="1977" w:name="_Toc131416281"/>
      <w:bookmarkStart w:id="1978" w:name="_Toc170193464"/>
      <w:r>
        <w:rPr>
          <w:rStyle w:val="CharSectno"/>
        </w:rPr>
        <w:t>112UD</w:t>
      </w:r>
      <w:r>
        <w:rPr>
          <w:snapToGrid w:val="0"/>
        </w:rPr>
        <w:t>.</w:t>
      </w:r>
      <w:r>
        <w:rPr>
          <w:snapToGrid w:val="0"/>
        </w:rPr>
        <w:tab/>
        <w:t>Duty on conveyance or transfer under maintenance agreement or order</w:t>
      </w:r>
      <w:bookmarkEnd w:id="1972"/>
      <w:bookmarkEnd w:id="1973"/>
      <w:bookmarkEnd w:id="1974"/>
      <w:bookmarkEnd w:id="1975"/>
      <w:bookmarkEnd w:id="1976"/>
      <w:bookmarkEnd w:id="1977"/>
      <w:bookmarkEnd w:id="1978"/>
      <w:r>
        <w:rPr>
          <w:snapToGrid w:val="0"/>
        </w:rPr>
        <w:t xml:space="preserve"> </w:t>
      </w:r>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 xml:space="preserve">[Section 112UD inserted by No. 45 of 1982 s. 3; amended by No. 2 of 2003 s. 135.] </w:t>
      </w:r>
    </w:p>
    <w:p>
      <w:pPr>
        <w:pStyle w:val="Heading2"/>
      </w:pPr>
      <w:bookmarkStart w:id="1979" w:name="_Toc58902685"/>
      <w:bookmarkStart w:id="1980" w:name="_Toc76899737"/>
      <w:bookmarkStart w:id="1981" w:name="_Toc78090639"/>
      <w:bookmarkStart w:id="1982" w:name="_Toc88887007"/>
      <w:bookmarkStart w:id="1983" w:name="_Toc90443623"/>
      <w:bookmarkStart w:id="1984" w:name="_Toc90452974"/>
      <w:bookmarkStart w:id="1985" w:name="_Toc100029565"/>
      <w:bookmarkStart w:id="1986" w:name="_Toc100031638"/>
      <w:bookmarkStart w:id="1987" w:name="_Toc100458697"/>
      <w:bookmarkStart w:id="1988" w:name="_Toc101672113"/>
      <w:bookmarkStart w:id="1989" w:name="_Toc101672370"/>
      <w:bookmarkStart w:id="1990" w:name="_Toc102799396"/>
      <w:bookmarkStart w:id="1991" w:name="_Toc102982070"/>
      <w:bookmarkStart w:id="1992" w:name="_Toc103403383"/>
      <w:bookmarkStart w:id="1993" w:name="_Toc103403640"/>
      <w:bookmarkStart w:id="1994" w:name="_Toc103747639"/>
      <w:bookmarkStart w:id="1995" w:name="_Toc107055068"/>
      <w:bookmarkStart w:id="1996" w:name="_Toc113874515"/>
      <w:bookmarkStart w:id="1997" w:name="_Toc113956931"/>
      <w:bookmarkStart w:id="1998" w:name="_Toc116717487"/>
      <w:bookmarkStart w:id="1999" w:name="_Toc116813514"/>
      <w:bookmarkStart w:id="2000" w:name="_Toc122333167"/>
      <w:bookmarkStart w:id="2001" w:name="_Toc122862137"/>
      <w:bookmarkStart w:id="2002" w:name="_Toc122862733"/>
      <w:bookmarkStart w:id="2003" w:name="_Toc122921340"/>
      <w:bookmarkStart w:id="2004" w:name="_Toc122921600"/>
      <w:bookmarkStart w:id="2005" w:name="_Toc122947546"/>
      <w:bookmarkStart w:id="2006" w:name="_Toc124046384"/>
      <w:bookmarkStart w:id="2007" w:name="_Toc131415983"/>
      <w:bookmarkStart w:id="2008" w:name="_Toc131416282"/>
      <w:bookmarkStart w:id="2009" w:name="_Toc170193465"/>
      <w:r>
        <w:rPr>
          <w:rStyle w:val="CharPartNo"/>
        </w:rPr>
        <w:t>Part IVE</w:t>
      </w:r>
      <w:r>
        <w:rPr>
          <w:rStyle w:val="CharDivNo"/>
        </w:rPr>
        <w:t> </w:t>
      </w:r>
      <w:r>
        <w:t>—</w:t>
      </w:r>
      <w:r>
        <w:rPr>
          <w:rStyle w:val="CharDivText"/>
        </w:rPr>
        <w:t> </w:t>
      </w:r>
      <w:r>
        <w:rPr>
          <w:rStyle w:val="CharPartText"/>
        </w:rPr>
        <w:t>Managed investment schemes</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Footnoteheading"/>
        <w:tabs>
          <w:tab w:val="left" w:pos="923"/>
        </w:tabs>
        <w:ind w:left="937" w:hanging="937"/>
      </w:pPr>
      <w:r>
        <w:tab/>
        <w:t>[Heading inserted by No. 24 of 1999 s. 6.]</w:t>
      </w:r>
    </w:p>
    <w:p>
      <w:pPr>
        <w:pStyle w:val="Heading5"/>
      </w:pPr>
      <w:bookmarkStart w:id="2010" w:name="_Toc500740076"/>
      <w:bookmarkStart w:id="2011" w:name="_Toc520101239"/>
      <w:bookmarkStart w:id="2012" w:name="_Toc520533138"/>
      <w:bookmarkStart w:id="2013" w:name="_Toc49224018"/>
      <w:bookmarkStart w:id="2014" w:name="_Toc107055069"/>
      <w:bookmarkStart w:id="2015" w:name="_Toc131416283"/>
      <w:bookmarkStart w:id="2016" w:name="_Toc170193466"/>
      <w:r>
        <w:rPr>
          <w:rStyle w:val="CharSectno"/>
        </w:rPr>
        <w:t>112UE</w:t>
      </w:r>
      <w:r>
        <w:t>.</w:t>
      </w:r>
      <w:r>
        <w:tab/>
        <w:t>Duty on certain instruments for the purpose of managed investment schemes</w:t>
      </w:r>
      <w:bookmarkEnd w:id="2010"/>
      <w:bookmarkEnd w:id="2011"/>
      <w:bookmarkEnd w:id="2012"/>
      <w:bookmarkEnd w:id="2013"/>
      <w:bookmarkEnd w:id="2014"/>
      <w:bookmarkEnd w:id="2015"/>
      <w:bookmarkEnd w:id="2016"/>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017" w:name="_Toc58902687"/>
      <w:bookmarkStart w:id="2018" w:name="_Toc76899739"/>
      <w:bookmarkStart w:id="2019" w:name="_Toc78090641"/>
      <w:bookmarkStart w:id="2020" w:name="_Toc88887009"/>
      <w:bookmarkStart w:id="2021" w:name="_Toc90443625"/>
      <w:bookmarkStart w:id="2022" w:name="_Toc90452976"/>
      <w:bookmarkStart w:id="2023" w:name="_Toc100029567"/>
      <w:bookmarkStart w:id="2024" w:name="_Toc100031640"/>
      <w:bookmarkStart w:id="2025" w:name="_Toc100458699"/>
      <w:bookmarkStart w:id="2026" w:name="_Toc101672115"/>
      <w:bookmarkStart w:id="2027" w:name="_Toc101672372"/>
      <w:bookmarkStart w:id="2028" w:name="_Toc102799398"/>
      <w:bookmarkStart w:id="2029" w:name="_Toc102982072"/>
      <w:bookmarkStart w:id="2030" w:name="_Toc103403385"/>
      <w:bookmarkStart w:id="2031" w:name="_Toc103403642"/>
      <w:bookmarkStart w:id="2032" w:name="_Toc103747641"/>
      <w:bookmarkStart w:id="2033" w:name="_Toc107055070"/>
      <w:bookmarkStart w:id="2034" w:name="_Toc113874517"/>
      <w:bookmarkStart w:id="2035" w:name="_Toc113956933"/>
      <w:bookmarkStart w:id="2036" w:name="_Toc116717489"/>
      <w:bookmarkStart w:id="2037" w:name="_Toc116813516"/>
      <w:bookmarkStart w:id="2038" w:name="_Toc122333169"/>
      <w:bookmarkStart w:id="2039" w:name="_Toc122862139"/>
      <w:bookmarkStart w:id="2040" w:name="_Toc122862735"/>
      <w:bookmarkStart w:id="2041" w:name="_Toc122921342"/>
      <w:bookmarkStart w:id="2042" w:name="_Toc122921602"/>
      <w:bookmarkStart w:id="2043" w:name="_Toc122947548"/>
      <w:bookmarkStart w:id="2044" w:name="_Toc124046386"/>
      <w:bookmarkStart w:id="2045" w:name="_Toc131415985"/>
      <w:bookmarkStart w:id="2046" w:name="_Toc131416284"/>
      <w:bookmarkStart w:id="2047" w:name="_Toc170193467"/>
      <w:r>
        <w:rPr>
          <w:rStyle w:val="CharPartNo"/>
        </w:rPr>
        <w:t>Part V</w:t>
      </w:r>
      <w:r>
        <w:rPr>
          <w:rStyle w:val="CharDivNo"/>
        </w:rPr>
        <w:t> </w:t>
      </w:r>
      <w:r>
        <w:t>—</w:t>
      </w:r>
      <w:r>
        <w:rPr>
          <w:rStyle w:val="CharDivText"/>
        </w:rPr>
        <w:t> </w:t>
      </w:r>
      <w:r>
        <w:rPr>
          <w:rStyle w:val="CharPartText"/>
        </w:rPr>
        <w:t>Miscellaneous</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Ednotesection"/>
      </w:pPr>
      <w:r>
        <w:t>[</w:t>
      </w:r>
      <w:r>
        <w:rPr>
          <w:b/>
        </w:rPr>
        <w:t>112V.</w:t>
      </w:r>
      <w:r>
        <w:tab/>
        <w:t xml:space="preserve">Repealed by No. 2 of 2003 s. 137.] </w:t>
      </w:r>
    </w:p>
    <w:p>
      <w:pPr>
        <w:pStyle w:val="Ednotesection"/>
      </w:pPr>
      <w:r>
        <w:t>[</w:t>
      </w:r>
      <w:r>
        <w:rPr>
          <w:b/>
        </w:rPr>
        <w:t>112W.</w:t>
      </w:r>
      <w:r>
        <w:tab/>
        <w:t xml:space="preserve">Repealed by No. 37 of 1979 s. 99.] </w:t>
      </w:r>
    </w:p>
    <w:p>
      <w:pPr>
        <w:pStyle w:val="Heading5"/>
      </w:pPr>
      <w:bookmarkStart w:id="2048" w:name="_Toc49224019"/>
      <w:bookmarkStart w:id="2049" w:name="_Toc107055071"/>
      <w:bookmarkStart w:id="2050" w:name="_Toc131416285"/>
      <w:bookmarkStart w:id="2051" w:name="_Toc170193468"/>
      <w:bookmarkStart w:id="2052" w:name="_Toc500740084"/>
      <w:bookmarkStart w:id="2053" w:name="_Toc520101247"/>
      <w:bookmarkStart w:id="2054" w:name="_Toc520533146"/>
      <w:r>
        <w:rPr>
          <w:rStyle w:val="CharSectno"/>
        </w:rPr>
        <w:t>113</w:t>
      </w:r>
      <w:r>
        <w:t>.</w:t>
      </w:r>
      <w:r>
        <w:tab/>
        <w:t>Commissioner may impound unstamped documents</w:t>
      </w:r>
      <w:bookmarkEnd w:id="2048"/>
      <w:bookmarkEnd w:id="2049"/>
      <w:bookmarkEnd w:id="2050"/>
      <w:bookmarkEnd w:id="2051"/>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055" w:name="_Toc49224020"/>
      <w:bookmarkStart w:id="2056" w:name="_Toc107055072"/>
      <w:bookmarkStart w:id="2057" w:name="_Toc131416286"/>
      <w:bookmarkStart w:id="2058" w:name="_Toc170193469"/>
      <w:r>
        <w:rPr>
          <w:rStyle w:val="CharSectno"/>
        </w:rPr>
        <w:t>114</w:t>
      </w:r>
      <w:r>
        <w:t>.</w:t>
      </w:r>
      <w:r>
        <w:tab/>
        <w:t>Commissioner may destroy instruments</w:t>
      </w:r>
      <w:bookmarkEnd w:id="2055"/>
      <w:bookmarkEnd w:id="2056"/>
      <w:bookmarkEnd w:id="2057"/>
      <w:bookmarkEnd w:id="2058"/>
    </w:p>
    <w:p>
      <w:pPr>
        <w:pStyle w:val="Subsection"/>
      </w:pPr>
      <w:r>
        <w:tab/>
        <w:t>(1)</w:t>
      </w:r>
      <w:r>
        <w:tab/>
        <w:t xml:space="preserve">The Commissioner may destroy any instrument in the Commissioner’s possession or control if —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 xml:space="preserve">Repealed by No. 2 of 2003 s. 137.] </w:t>
      </w:r>
    </w:p>
    <w:p>
      <w:pPr>
        <w:pStyle w:val="Heading5"/>
        <w:rPr>
          <w:snapToGrid w:val="0"/>
        </w:rPr>
      </w:pPr>
      <w:bookmarkStart w:id="2059" w:name="_Toc49224021"/>
      <w:bookmarkStart w:id="2060" w:name="_Toc107055073"/>
      <w:bookmarkStart w:id="2061" w:name="_Toc131416287"/>
      <w:bookmarkStart w:id="2062" w:name="_Toc170193470"/>
      <w:r>
        <w:rPr>
          <w:rStyle w:val="CharSectno"/>
        </w:rPr>
        <w:t>119</w:t>
      </w:r>
      <w:r>
        <w:rPr>
          <w:snapToGrid w:val="0"/>
        </w:rPr>
        <w:t>.</w:t>
      </w:r>
      <w:r>
        <w:rPr>
          <w:snapToGrid w:val="0"/>
        </w:rPr>
        <w:tab/>
        <w:t>Certain exemptions where the State of Western Australia etc. is a party</w:t>
      </w:r>
      <w:bookmarkEnd w:id="2052"/>
      <w:bookmarkEnd w:id="2053"/>
      <w:bookmarkEnd w:id="2054"/>
      <w:bookmarkEnd w:id="2059"/>
      <w:bookmarkEnd w:id="2060"/>
      <w:bookmarkEnd w:id="2061"/>
      <w:bookmarkEnd w:id="206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exempt body</w:t>
      </w:r>
      <w:r>
        <w:rPr>
          <w:b/>
        </w:rPr>
        <w:t>”</w:t>
      </w:r>
      <w:r>
        <w:t xml:space="preserve"> means —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 xml:space="preserve">[Section 119 inserted by No. 20 of 1996 s. 43; amended by No. 57 of 1997 s. 113(5); No. 2 of 2003 s. 138; No. 66 of 2003 s. 86.] </w:t>
      </w:r>
    </w:p>
    <w:p>
      <w:pPr>
        <w:pStyle w:val="Heading5"/>
      </w:pPr>
      <w:bookmarkStart w:id="2063" w:name="_Toc49224022"/>
      <w:bookmarkStart w:id="2064" w:name="_Toc107055074"/>
      <w:bookmarkStart w:id="2065" w:name="_Toc131416288"/>
      <w:bookmarkStart w:id="2066" w:name="_Toc170193471"/>
      <w:r>
        <w:rPr>
          <w:rStyle w:val="CharSectno"/>
        </w:rPr>
        <w:t>120</w:t>
      </w:r>
      <w:r>
        <w:t>.</w:t>
      </w:r>
      <w:r>
        <w:tab/>
        <w:t>Regulations</w:t>
      </w:r>
      <w:bookmarkEnd w:id="2063"/>
      <w:bookmarkEnd w:id="2064"/>
      <w:bookmarkEnd w:id="2065"/>
      <w:bookmarkEnd w:id="2066"/>
    </w:p>
    <w:p>
      <w:pPr>
        <w:pStyle w:val="Subsection"/>
      </w:pPr>
      <w:r>
        <w:tab/>
        <w:t>(1)</w:t>
      </w:r>
      <w:r>
        <w:tab/>
        <w:t xml:space="preserve">The Governor may make regulations prescribing all matters that are required or permitted by a stamp Act to be prescribed or are necessary or convenient to be prescribed to give effect to a stamp Act. </w:t>
      </w:r>
    </w:p>
    <w:p>
      <w:pPr>
        <w:pStyle w:val="Subsection"/>
      </w:pPr>
      <w:r>
        <w:tab/>
        <w:t>(2)</w:t>
      </w:r>
      <w:r>
        <w:tab/>
        <w:t>Regulations may be made in relation to any or all of the following matters —</w:t>
      </w:r>
    </w:p>
    <w:p>
      <w:pPr>
        <w:pStyle w:val="Indenta"/>
      </w:pPr>
      <w:r>
        <w:tab/>
        <w:t>(a)</w:t>
      </w:r>
      <w:r>
        <w:tab/>
        <w:t xml:space="preserve">the fees payable under a stamp Act; </w:t>
      </w:r>
    </w:p>
    <w:p>
      <w:pPr>
        <w:pStyle w:val="Indenta"/>
      </w:pPr>
      <w:r>
        <w:tab/>
        <w:t>(b)</w:t>
      </w:r>
      <w:r>
        <w:tab/>
        <w:t>the records required to be kept for the purposes of a stamp Act.</w:t>
      </w:r>
    </w:p>
    <w:p>
      <w:pPr>
        <w:pStyle w:val="Subsection"/>
      </w:pPr>
      <w:r>
        <w:tab/>
        <w:t>(3)</w:t>
      </w:r>
      <w:r>
        <w:tab/>
        <w:t xml:space="preserve">Regulations may create offences and provide, in respect of an offence so created, for the imposition of a fine not exceeding $5 000. </w:t>
      </w:r>
    </w:p>
    <w:p>
      <w:pPr>
        <w:pStyle w:val="Subsection"/>
      </w:pPr>
      <w:r>
        <w:tab/>
        <w:t>(4)</w:t>
      </w:r>
      <w:r>
        <w:tab/>
        <w:t xml:space="preserve">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 </w:t>
      </w:r>
    </w:p>
    <w:p>
      <w:pPr>
        <w:pStyle w:val="Footnotesection"/>
      </w:pPr>
      <w:r>
        <w:tab/>
        <w:t>[Section 120 inserted by No. 2 of 2003 s. 139; amended by No. 12 of 2004 s. 34.]</w:t>
      </w:r>
    </w:p>
    <w:p>
      <w:pPr>
        <w:pStyle w:val="Heading5"/>
      </w:pPr>
      <w:bookmarkStart w:id="2067" w:name="_Toc49224023"/>
      <w:bookmarkStart w:id="2068" w:name="_Toc107055075"/>
      <w:bookmarkStart w:id="2069" w:name="_Toc131416289"/>
      <w:bookmarkStart w:id="2070" w:name="_Toc170193472"/>
      <w:r>
        <w:rPr>
          <w:rStyle w:val="CharSectno"/>
        </w:rPr>
        <w:t>121</w:t>
      </w:r>
      <w:r>
        <w:t>.</w:t>
      </w:r>
      <w:r>
        <w:tab/>
        <w:t>Application of section 1070A of the Corporations Act limited</w:t>
      </w:r>
      <w:bookmarkEnd w:id="2067"/>
      <w:bookmarkEnd w:id="2068"/>
      <w:bookmarkEnd w:id="2069"/>
      <w:bookmarkEnd w:id="2070"/>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yEdnoteschedule"/>
      </w:pPr>
      <w:r>
        <w:t>[First Schedule repealed by No. 2 of 2003 s. 140.]</w:t>
      </w:r>
    </w:p>
    <w:p>
      <w:pPr>
        <w:rPr>
          <w:rStyle w:val="CharDivText"/>
        </w:rPr>
        <w:sectPr>
          <w:headerReference w:type="even" r:id="rId40"/>
          <w:headerReference w:type="default" r:id="rId41"/>
          <w:footerReference w:type="even" r:id="rId42"/>
          <w:footerReference w:type="default" r:id="rId43"/>
          <w:headerReference w:type="first" r:id="rId44"/>
          <w:footerReference w:type="first" r:id="rId45"/>
          <w:pgSz w:w="11906" w:h="16838" w:code="9"/>
          <w:pgMar w:top="2381" w:right="2409" w:bottom="3543" w:left="2409" w:header="720" w:footer="3380" w:gutter="0"/>
          <w:pgNumType w:start="1"/>
          <w:cols w:space="720"/>
          <w:noEndnote/>
          <w:titlePg/>
          <w:docGrid w:linePitch="326"/>
        </w:sectPr>
      </w:pPr>
    </w:p>
    <w:p>
      <w:pPr>
        <w:pStyle w:val="yScheduleHeading"/>
      </w:pPr>
      <w:bookmarkStart w:id="2071" w:name="_Toc520101250"/>
      <w:bookmarkStart w:id="2072" w:name="_Toc49224024"/>
      <w:bookmarkStart w:id="2073" w:name="_Toc49332683"/>
      <w:bookmarkStart w:id="2074" w:name="_Toc51126861"/>
      <w:bookmarkStart w:id="2075" w:name="_Toc101672378"/>
      <w:bookmarkStart w:id="2076" w:name="_Toc103403648"/>
      <w:bookmarkStart w:id="2077" w:name="_Toc103747647"/>
      <w:bookmarkStart w:id="2078" w:name="_Toc107055076"/>
      <w:bookmarkStart w:id="2079" w:name="_Toc113874523"/>
      <w:bookmarkStart w:id="2080" w:name="_Toc113956939"/>
      <w:bookmarkStart w:id="2081" w:name="_Toc116717495"/>
      <w:bookmarkStart w:id="2082" w:name="_Toc116813522"/>
      <w:bookmarkStart w:id="2083" w:name="_Toc122333175"/>
      <w:bookmarkStart w:id="2084" w:name="_Toc122862145"/>
      <w:bookmarkStart w:id="2085" w:name="_Toc122862741"/>
      <w:bookmarkStart w:id="2086" w:name="_Toc122921348"/>
      <w:bookmarkStart w:id="2087" w:name="_Toc122921608"/>
      <w:bookmarkStart w:id="2088" w:name="_Toc122947554"/>
      <w:bookmarkStart w:id="2089" w:name="_Toc124046392"/>
      <w:bookmarkStart w:id="2090" w:name="_Toc131415991"/>
      <w:bookmarkStart w:id="2091" w:name="_Toc131416290"/>
      <w:bookmarkStart w:id="2092" w:name="_Toc170193473"/>
      <w:r>
        <w:rPr>
          <w:rStyle w:val="CharSchNo"/>
        </w:rPr>
        <w:t>Second Schedule</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yShoulderClause"/>
        <w:spacing w:before="0"/>
        <w:rPr>
          <w:snapToGrid w:val="0"/>
        </w:rPr>
      </w:pPr>
      <w:r>
        <w:rPr>
          <w:snapToGrid w:val="0"/>
        </w:rPr>
        <w:t>[Section 16(1)]</w:t>
      </w:r>
    </w:p>
    <w:p>
      <w:pPr>
        <w:pStyle w:val="yHeading2"/>
      </w:pPr>
      <w:bookmarkStart w:id="2093" w:name="_Toc49569867"/>
      <w:bookmarkStart w:id="2094" w:name="_Toc51491318"/>
      <w:bookmarkStart w:id="2095" w:name="_Toc51659581"/>
      <w:bookmarkStart w:id="2096" w:name="_Toc100458706"/>
      <w:bookmarkStart w:id="2097" w:name="_Toc101672379"/>
      <w:bookmarkStart w:id="2098" w:name="_Toc102982079"/>
      <w:bookmarkStart w:id="2099" w:name="_Toc103403649"/>
      <w:bookmarkStart w:id="2100" w:name="_Toc103747648"/>
      <w:bookmarkStart w:id="2101" w:name="_Toc107055077"/>
      <w:bookmarkStart w:id="2102" w:name="_Toc113874524"/>
      <w:bookmarkStart w:id="2103" w:name="_Toc113956940"/>
      <w:bookmarkStart w:id="2104" w:name="_Toc116717496"/>
      <w:bookmarkStart w:id="2105" w:name="_Toc116813523"/>
      <w:bookmarkStart w:id="2106" w:name="_Toc122333176"/>
      <w:bookmarkStart w:id="2107" w:name="_Toc122862146"/>
      <w:bookmarkStart w:id="2108" w:name="_Toc122862742"/>
      <w:bookmarkStart w:id="2109" w:name="_Toc122921349"/>
      <w:bookmarkStart w:id="2110" w:name="_Toc122921609"/>
      <w:bookmarkStart w:id="2111" w:name="_Toc122947555"/>
      <w:bookmarkStart w:id="2112" w:name="_Toc124046393"/>
      <w:bookmarkStart w:id="2113" w:name="_Toc131415992"/>
      <w:bookmarkStart w:id="2114" w:name="_Toc131416291"/>
      <w:bookmarkStart w:id="2115" w:name="_Toc170193474"/>
      <w:r>
        <w:rPr>
          <w:rStyle w:val="CharSchText"/>
        </w:rPr>
        <w:t>Duties payable on instruments</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0"/>
              <w:jc w:val="center"/>
              <w:rPr>
                <w:b/>
                <w:sz w:val="16"/>
              </w:rPr>
            </w:pPr>
            <w:r>
              <w:rPr>
                <w:b/>
                <w:sz w:val="16"/>
              </w:rPr>
              <w:t>Item</w:t>
            </w:r>
          </w:p>
        </w:tc>
        <w:tc>
          <w:tcPr>
            <w:tcW w:w="3402" w:type="dxa"/>
            <w:gridSpan w:val="2"/>
            <w:tcBorders>
              <w:top w:val="nil"/>
              <w:left w:val="nil"/>
              <w:bottom w:val="nil"/>
              <w:right w:val="nil"/>
            </w:tcBorders>
          </w:tcPr>
          <w:p>
            <w:pPr>
              <w:pStyle w:val="yTable"/>
              <w:spacing w:before="0"/>
              <w:jc w:val="center"/>
              <w:rPr>
                <w:b/>
                <w:sz w:val="18"/>
              </w:rPr>
            </w:pPr>
            <w:r>
              <w:rPr>
                <w:b/>
                <w:sz w:val="18"/>
              </w:rPr>
              <w:t>Nature of instrument</w:t>
            </w:r>
          </w:p>
        </w:tc>
        <w:tc>
          <w:tcPr>
            <w:tcW w:w="1563" w:type="dxa"/>
            <w:tcBorders>
              <w:top w:val="nil"/>
              <w:left w:val="nil"/>
              <w:bottom w:val="nil"/>
              <w:right w:val="nil"/>
            </w:tcBorders>
          </w:tcPr>
          <w:p>
            <w:pPr>
              <w:pStyle w:val="yTable"/>
              <w:spacing w:before="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r>
              <w:rPr>
                <w:i/>
                <w:spacing w:val="-2"/>
                <w:sz w:val="18"/>
              </w:rPr>
              <w:t>[1-2</w:t>
            </w:r>
          </w:p>
        </w:tc>
        <w:tc>
          <w:tcPr>
            <w:tcW w:w="3402" w:type="dxa"/>
            <w:gridSpan w:val="2"/>
          </w:tcPr>
          <w:p>
            <w:pPr>
              <w:pStyle w:val="yTable"/>
              <w:spacing w:before="0"/>
              <w:rPr>
                <w:i/>
                <w:spacing w:val="-2"/>
                <w:sz w:val="18"/>
              </w:rPr>
            </w:pPr>
            <w:r>
              <w:rPr>
                <w:i/>
                <w:spacing w:val="-2"/>
                <w:sz w:val="18"/>
              </w:rPr>
              <w:t>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r>
              <w:rPr>
                <w:spacing w:val="-2"/>
                <w:sz w:val="18"/>
              </w:rPr>
              <w:t>3.</w:t>
            </w:r>
          </w:p>
        </w:tc>
        <w:tc>
          <w:tcPr>
            <w:tcW w:w="3402" w:type="dxa"/>
            <w:gridSpan w:val="2"/>
          </w:tcPr>
          <w:p>
            <w:pPr>
              <w:pStyle w:val="yTable"/>
              <w:rPr>
                <w:spacing w:val="-2"/>
                <w:sz w:val="18"/>
              </w:rPr>
            </w:pPr>
            <w:r>
              <w:rPr>
                <w:spacing w:val="-2"/>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14"/>
              </w:tabs>
              <w:spacing w:before="0"/>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r>
              <w:rPr>
                <w:spacing w:val="-2"/>
                <w:sz w:val="18"/>
              </w:rPr>
              <w:t>4.</w:t>
            </w:r>
          </w:p>
        </w:tc>
        <w:tc>
          <w:tcPr>
            <w:tcW w:w="3402" w:type="dxa"/>
            <w:gridSpan w:val="2"/>
          </w:tcPr>
          <w:p>
            <w:pPr>
              <w:pStyle w:val="yTable"/>
              <w:keepNext/>
              <w:spacing w:before="0"/>
              <w:rPr>
                <w:spacing w:val="-2"/>
                <w:sz w:val="18"/>
              </w:rPr>
            </w:pPr>
            <w:r>
              <w:rPr>
                <w:spacing w:val="-2"/>
                <w:sz w:val="18"/>
              </w:rPr>
              <w:t>CONVEYANCE OR TRANSFER ON SALE OF PROPERTY</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14" w:hanging="414"/>
              <w:rPr>
                <w:sz w:val="18"/>
              </w:rPr>
            </w:pPr>
            <w:r>
              <w:rPr>
                <w:sz w:val="18"/>
              </w:rPr>
              <w:t>(2)</w:t>
            </w:r>
            <w:r>
              <w:rPr>
                <w:sz w:val="18"/>
              </w:rPr>
              <w:tab/>
              <w:t xml:space="preserve">Expressions used in this item have the same meaning as they have in the </w:t>
            </w:r>
            <w:r>
              <w:rPr>
                <w:i/>
                <w:iCs/>
                <w:sz w:val="18"/>
              </w:rPr>
              <w:t>Planning and Development Act 2005</w:t>
            </w:r>
            <w:r>
              <w:rPr>
                <w:sz w:val="18"/>
              </w:rPr>
              <w: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6.</w:t>
            </w:r>
          </w:p>
        </w:tc>
        <w:tc>
          <w:tcPr>
            <w:tcW w:w="3402" w:type="dxa"/>
            <w:gridSpan w:val="2"/>
          </w:tcPr>
          <w:p>
            <w:pPr>
              <w:pStyle w:val="yTable"/>
              <w:keepNext/>
              <w:spacing w:before="0"/>
              <w:rPr>
                <w:sz w:val="18"/>
              </w:rPr>
            </w:pPr>
            <w:r>
              <w:rPr>
                <w:sz w:val="18"/>
              </w:rPr>
              <w:t>CONVEYANCE OR TRANSFER</w:t>
            </w:r>
          </w:p>
        </w:tc>
        <w:tc>
          <w:tcPr>
            <w:tcW w:w="1563" w:type="dxa"/>
          </w:tcPr>
          <w:p>
            <w:pPr>
              <w:pStyle w:val="yTable"/>
              <w:keepNext/>
              <w:spacing w:before="0"/>
              <w:rPr>
                <w:sz w:val="18"/>
              </w:rPr>
            </w:pPr>
          </w:p>
        </w:tc>
        <w:tc>
          <w:tcPr>
            <w:tcW w:w="1419" w:type="dxa"/>
            <w:gridSpan w:val="2"/>
          </w:tcPr>
          <w:p>
            <w:pPr>
              <w:pStyle w:val="yTable"/>
              <w:keepNext/>
              <w:spacing w:before="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i/>
                <w:sz w:val="18"/>
              </w:rPr>
            </w:pPr>
            <w:r>
              <w:rPr>
                <w:i/>
                <w:sz w:val="18"/>
              </w:rPr>
              <w:t>[7.</w:t>
            </w:r>
          </w:p>
        </w:tc>
        <w:tc>
          <w:tcPr>
            <w:tcW w:w="3402" w:type="dxa"/>
            <w:gridSpan w:val="2"/>
          </w:tcPr>
          <w:p>
            <w:pPr>
              <w:pStyle w:val="yTable"/>
              <w:spacing w:before="0"/>
              <w:rPr>
                <w:sz w:val="18"/>
              </w:rPr>
            </w:pPr>
            <w:r>
              <w:rPr>
                <w:i/>
                <w:sz w:val="18"/>
              </w:rPr>
              <w:t>deleted]</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r>
              <w:rPr>
                <w:sz w:val="18"/>
              </w:rPr>
              <w:t>8.</w:t>
            </w:r>
          </w:p>
        </w:tc>
        <w:tc>
          <w:tcPr>
            <w:tcW w:w="3402" w:type="dxa"/>
            <w:gridSpan w:val="2"/>
          </w:tcPr>
          <w:p>
            <w:pPr>
              <w:pStyle w:val="yTable"/>
              <w:spacing w:before="0"/>
              <w:rPr>
                <w:sz w:val="18"/>
              </w:rPr>
            </w:pPr>
            <w:r>
              <w:rPr>
                <w:sz w:val="18"/>
              </w:rPr>
              <w:t>DEED OR DECLARATION</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r>
              <w:rPr>
                <w:sz w:val="18"/>
              </w:rPr>
              <w:t>9.</w:t>
            </w:r>
          </w:p>
        </w:tc>
        <w:tc>
          <w:tcPr>
            <w:tcW w:w="3402" w:type="dxa"/>
            <w:gridSpan w:val="2"/>
          </w:tcPr>
          <w:p>
            <w:pPr>
              <w:pStyle w:val="yTable"/>
              <w:spacing w:before="0"/>
              <w:rPr>
                <w:sz w:val="18"/>
              </w:rPr>
            </w:pPr>
            <w:r>
              <w:rPr>
                <w:sz w:val="18"/>
              </w:rPr>
              <w:t>DUPLICATE OR COUNTERPART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10.</w:t>
            </w:r>
          </w:p>
        </w:tc>
        <w:tc>
          <w:tcPr>
            <w:tcW w:w="3402" w:type="dxa"/>
            <w:gridSpan w:val="2"/>
          </w:tcPr>
          <w:p>
            <w:pPr>
              <w:pStyle w:val="yTable"/>
              <w:keepNext/>
              <w:spacing w:before="0"/>
              <w:rPr>
                <w:sz w:val="18"/>
              </w:rPr>
            </w:pPr>
            <w:r>
              <w:rPr>
                <w:sz w:val="18"/>
              </w:rPr>
              <w:t>EXCHANGE</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i/>
                <w:sz w:val="18"/>
              </w:rPr>
            </w:pPr>
            <w:r>
              <w:rPr>
                <w:i/>
                <w:sz w:val="18"/>
              </w:rPr>
              <w:t>[11.</w:t>
            </w:r>
          </w:p>
        </w:tc>
        <w:tc>
          <w:tcPr>
            <w:tcW w:w="3402" w:type="dxa"/>
            <w:gridSpan w:val="2"/>
          </w:tcPr>
          <w:p>
            <w:pPr>
              <w:pStyle w:val="yTable"/>
              <w:spacing w:before="0"/>
              <w:rPr>
                <w:sz w:val="18"/>
              </w:rPr>
            </w:pPr>
            <w:r>
              <w:rPr>
                <w:i/>
                <w:sz w:val="18"/>
              </w:rPr>
              <w:t>deleted]</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12.</w:t>
            </w:r>
          </w:p>
        </w:tc>
        <w:tc>
          <w:tcPr>
            <w:tcW w:w="3402" w:type="dxa"/>
            <w:gridSpan w:val="2"/>
          </w:tcPr>
          <w:p>
            <w:pPr>
              <w:pStyle w:val="yTable"/>
              <w:keepNext/>
              <w:spacing w:before="0"/>
              <w:rPr>
                <w:sz w:val="18"/>
              </w:rPr>
            </w:pPr>
            <w:r>
              <w:rPr>
                <w:sz w:val="18"/>
              </w:rPr>
              <w:t>LEASE OR AGREEMENT FOR LEASE</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r>
              <w:rPr>
                <w:sz w:val="18"/>
              </w:rPr>
              <w:t>13.</w:t>
            </w:r>
          </w:p>
        </w:tc>
        <w:tc>
          <w:tcPr>
            <w:tcW w:w="3402" w:type="dxa"/>
            <w:gridSpan w:val="2"/>
          </w:tcPr>
          <w:p>
            <w:pPr>
              <w:pStyle w:val="yTable"/>
              <w:keepNext/>
              <w:keepLines/>
              <w:spacing w:before="0"/>
              <w:rPr>
                <w:sz w:val="18"/>
              </w:rPr>
            </w:pPr>
            <w:r>
              <w:rPr>
                <w:sz w:val="18"/>
              </w:rPr>
              <w:t>MORTGAGES (INCLUDING HOME MORTGAGES)</w:t>
            </w:r>
          </w:p>
        </w:tc>
        <w:tc>
          <w:tcPr>
            <w:tcW w:w="1563" w:type="dxa"/>
          </w:tcPr>
          <w:p>
            <w:pPr>
              <w:pStyle w:val="yTable"/>
              <w:keepNext/>
              <w:keepLines/>
              <w:spacing w:before="0"/>
              <w:rPr>
                <w:sz w:val="18"/>
              </w:rPr>
            </w:pPr>
            <w:r>
              <w:rPr>
                <w:sz w:val="18"/>
              </w:rPr>
              <w:t xml:space="preserve"> </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$5 000,</w:t>
            </w:r>
          </w:p>
          <w:p>
            <w:pPr>
              <w:pStyle w:val="yTable"/>
              <w:rPr>
                <w:spacing w:val="-2"/>
                <w:sz w:val="18"/>
              </w:rPr>
            </w:pPr>
            <w:r>
              <w:rPr>
                <w:spacing w:val="-2"/>
                <w:sz w:val="18"/>
              </w:rPr>
              <w:t>plus $0.40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$8 000</w:t>
            </w:r>
          </w:p>
          <w:p>
            <w:pPr>
              <w:pStyle w:val="yTable"/>
              <w:spacing w:before="0"/>
              <w:rPr>
                <w:spacing w:val="-2"/>
                <w:sz w:val="16"/>
              </w:rPr>
            </w:pPr>
            <w:r>
              <w:rPr>
                <w:spacing w:val="-2"/>
                <w:sz w:val="18"/>
              </w:rPr>
              <w:t>plus $0.25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 xml:space="preserve">$20.00 for any amount up to and including $8 000 </w:t>
            </w:r>
          </w:p>
          <w:p>
            <w:pPr>
              <w:pStyle w:val="yTable"/>
              <w:keepNext/>
              <w:rPr>
                <w:spacing w:val="-2"/>
                <w:sz w:val="18"/>
              </w:rPr>
            </w:pPr>
            <w:r>
              <w:rPr>
                <w:spacing w:val="-2"/>
                <w:sz w:val="18"/>
              </w:rPr>
              <w:t xml:space="preserve">plus $0.25 for each additional $100 and every fractional part of $100 that is used for the mortgagor’s dwellinghouse, </w:t>
            </w:r>
          </w:p>
          <w:p>
            <w:pPr>
              <w:pStyle w:val="yTable"/>
              <w:keepNext/>
              <w:spacing w:before="40"/>
              <w:rPr>
                <w:spacing w:val="-2"/>
                <w:sz w:val="18"/>
              </w:rPr>
            </w:pPr>
            <w:r>
              <w:rPr>
                <w:spacing w:val="-2"/>
                <w:sz w:val="18"/>
              </w:rPr>
              <w:t>plus $0.40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caps/>
                <w:sz w:val="18"/>
              </w:rPr>
            </w:pPr>
            <w:r>
              <w:rPr>
                <w:caps/>
                <w:sz w:val="18"/>
              </w:rPr>
              <w:t>14.</w:t>
            </w:r>
          </w:p>
        </w:tc>
        <w:tc>
          <w:tcPr>
            <w:tcW w:w="3402" w:type="dxa"/>
            <w:gridSpan w:val="2"/>
          </w:tcPr>
          <w:p>
            <w:pPr>
              <w:pStyle w:val="yTable"/>
              <w:tabs>
                <w:tab w:val="right" w:leader="dot" w:pos="3205"/>
              </w:tabs>
              <w:spacing w:before="40"/>
              <w:ind w:right="448"/>
              <w:rPr>
                <w:caps/>
                <w:sz w:val="18"/>
              </w:rPr>
            </w:pPr>
            <w:r>
              <w:rPr>
                <w:caps/>
                <w:sz w:val="18"/>
              </w:rPr>
              <w:t>VEHICLE LICENCES, GRANT OR TRANSFER</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40"/>
              <w:ind w:right="1531"/>
              <w:rPr>
                <w:sz w:val="18"/>
              </w:rPr>
            </w:pPr>
          </w:p>
          <w:p>
            <w:pPr>
              <w:pStyle w:val="yTable"/>
              <w:spacing w:before="40"/>
              <w:ind w:right="465"/>
              <w:rPr>
                <w:sz w:val="18"/>
              </w:rPr>
            </w:pPr>
            <w:r>
              <w:rPr>
                <w:position w:val="-28"/>
                <w:sz w:val="18"/>
              </w:rPr>
              <w:object w:dxaOrig="2260" w:dyaOrig="660">
                <v:shape id="_x0000_i1036" type="#_x0000_t75" style="width:113.25pt;height:33pt" o:ole="">
                  <v:imagedata r:id="rId46" o:title=""/>
                </v:shape>
                <o:OLEObject Type="Embed" ProgID="Equation.3" ShapeID="_x0000_i1036" DrawAspect="Content" ObjectID="_1643744739" r:id="rId47"/>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 xml:space="preserve">The lesser of —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yTable"/>
              <w:tabs>
                <w:tab w:val="left" w:pos="454"/>
              </w:tabs>
              <w:spacing w:before="0"/>
              <w:ind w:left="454" w:hanging="454"/>
              <w:rPr>
                <w:sz w:val="18"/>
              </w:rPr>
            </w:pPr>
          </w:p>
          <w:p>
            <w:pPr>
              <w:pStyle w:val="yTable"/>
              <w:spacing w:before="0"/>
            </w:pPr>
            <w:bookmarkStart w:id="2116" w:name="_Toc113874525"/>
            <w:bookmarkStart w:id="2117" w:name="_Toc113956941"/>
            <w:bookmarkStart w:id="2118" w:name="_Toc116717497"/>
            <w:bookmarkStart w:id="2119" w:name="_Toc116813524"/>
            <w:bookmarkStart w:id="2120" w:name="_Toc122333177"/>
            <w:bookmarkStart w:id="2121" w:name="_Toc122862147"/>
            <w:bookmarkStart w:id="2122" w:name="_Toc122862743"/>
            <w:bookmarkStart w:id="2123" w:name="_Toc122921350"/>
            <w:bookmarkStart w:id="2124" w:name="_Toc122921610"/>
            <w:bookmarkStart w:id="2125" w:name="_Toc122947556"/>
            <w:bookmarkStart w:id="2126" w:name="_Toc124046394"/>
            <w:bookmarkStart w:id="2127" w:name="_Toc131415993"/>
            <w:r>
              <w:rPr>
                <w:sz w:val="18"/>
              </w:rPr>
              <w:t>2.5% of the market value</w:t>
            </w:r>
            <w:bookmarkEnd w:id="2116"/>
            <w:bookmarkEnd w:id="2117"/>
            <w:bookmarkEnd w:id="2118"/>
            <w:bookmarkEnd w:id="2119"/>
            <w:bookmarkEnd w:id="2120"/>
            <w:bookmarkEnd w:id="2121"/>
            <w:bookmarkEnd w:id="2122"/>
            <w:bookmarkEnd w:id="2123"/>
            <w:bookmarkEnd w:id="2124"/>
            <w:bookmarkEnd w:id="2125"/>
            <w:bookmarkEnd w:id="2126"/>
            <w:bookmarkEnd w:id="2127"/>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rPr>
                <w:sz w:val="18"/>
              </w:rPr>
            </w:pPr>
            <w:r>
              <w:rPr>
                <w:position w:val="-28"/>
                <w:sz w:val="18"/>
              </w:rPr>
              <w:object w:dxaOrig="2160" w:dyaOrig="660">
                <v:shape id="_x0000_i1037" type="#_x0000_t75" style="width:108pt;height:33pt" o:ole="">
                  <v:imagedata r:id="rId48" o:title=""/>
                </v:shape>
                <o:OLEObject Type="Embed" ProgID="Equation.3" ShapeID="_x0000_i1037" DrawAspect="Content" ObjectID="_1643744740" r:id="rId49"/>
              </w:object>
            </w:r>
          </w:p>
          <w:p>
            <w:pPr>
              <w:pStyle w:val="yTable"/>
            </w:pPr>
            <w:bookmarkStart w:id="2128" w:name="_Toc113874526"/>
            <w:bookmarkStart w:id="2129" w:name="_Toc113956942"/>
            <w:bookmarkStart w:id="2130" w:name="_Toc116717498"/>
            <w:bookmarkStart w:id="2131" w:name="_Toc116813525"/>
            <w:r>
              <w:rPr>
                <w:sz w:val="18"/>
              </w:rPr>
              <w:t>(rounded to 2 decimal places) of the market value (MV)</w:t>
            </w:r>
            <w:bookmarkEnd w:id="2128"/>
            <w:bookmarkEnd w:id="2129"/>
            <w:bookmarkEnd w:id="2130"/>
            <w:bookmarkEnd w:id="2131"/>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 xml:space="preserve">The lesser of —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r>
              <w:rPr>
                <w:spacing w:val="-2"/>
                <w:sz w:val="18"/>
              </w:rPr>
              <w:t>14A.</w:t>
            </w:r>
          </w:p>
        </w:tc>
        <w:tc>
          <w:tcPr>
            <w:tcW w:w="3402" w:type="dxa"/>
            <w:gridSpan w:val="2"/>
          </w:tcPr>
          <w:p>
            <w:pPr>
              <w:pStyle w:val="yTable"/>
              <w:keepNext/>
              <w:spacing w:before="0"/>
              <w:rPr>
                <w:spacing w:val="-2"/>
                <w:sz w:val="18"/>
              </w:rPr>
            </w:pPr>
            <w:r>
              <w:rPr>
                <w:spacing w:val="-2"/>
                <w:sz w:val="18"/>
              </w:rPr>
              <w:t>ORDER TO WHICH SECTION 112UB(2) APPLIES</w:t>
            </w:r>
          </w:p>
        </w:tc>
        <w:tc>
          <w:tcPr>
            <w:tcW w:w="1563" w:type="dxa"/>
          </w:tcPr>
          <w:p>
            <w:pPr>
              <w:pStyle w:val="yTable"/>
              <w:spacing w:before="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r>
              <w:rPr>
                <w:spacing w:val="-2"/>
                <w:sz w:val="18"/>
              </w:rPr>
              <w:t>15.</w:t>
            </w:r>
          </w:p>
        </w:tc>
        <w:tc>
          <w:tcPr>
            <w:tcW w:w="3402" w:type="dxa"/>
            <w:gridSpan w:val="2"/>
          </w:tcPr>
          <w:p>
            <w:pPr>
              <w:pStyle w:val="yTable"/>
              <w:spacing w:before="40"/>
              <w:rPr>
                <w:spacing w:val="-2"/>
                <w:sz w:val="18"/>
              </w:rPr>
            </w:pPr>
            <w:r>
              <w:rPr>
                <w:spacing w:val="-2"/>
                <w:sz w:val="18"/>
              </w:rPr>
              <w:t>PARTITION</w:t>
            </w:r>
          </w:p>
        </w:tc>
        <w:tc>
          <w:tcPr>
            <w:tcW w:w="1563" w:type="dxa"/>
          </w:tcPr>
          <w:p>
            <w:pPr>
              <w:pStyle w:val="yTable"/>
              <w:spacing w:before="40"/>
              <w:rPr>
                <w:spacing w:val="-2"/>
                <w:sz w:val="18"/>
              </w:rPr>
            </w:pPr>
            <w:r>
              <w:rPr>
                <w:spacing w:val="-2"/>
                <w:sz w:val="18"/>
              </w:rPr>
              <w:t xml:space="preserve"> </w:t>
            </w: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r>
              <w:rPr>
                <w:sz w:val="18"/>
              </w:rPr>
              <w:t>16.</w:t>
            </w:r>
          </w:p>
        </w:tc>
        <w:tc>
          <w:tcPr>
            <w:tcW w:w="3402" w:type="dxa"/>
            <w:gridSpan w:val="2"/>
          </w:tcPr>
          <w:p>
            <w:pPr>
              <w:pStyle w:val="yTable"/>
              <w:tabs>
                <w:tab w:val="left" w:pos="394"/>
              </w:tabs>
              <w:spacing w:before="40"/>
              <w:ind w:left="414" w:hanging="414"/>
              <w:rPr>
                <w:spacing w:val="-2"/>
                <w:sz w:val="18"/>
              </w:rPr>
            </w:pPr>
            <w:r>
              <w:rPr>
                <w:sz w:val="18"/>
              </w:rPr>
              <w:t>POLICY OF INSURANCE</w:t>
            </w:r>
          </w:p>
        </w:tc>
        <w:tc>
          <w:tcPr>
            <w:tcW w:w="1563" w:type="dxa"/>
          </w:tcPr>
          <w:p>
            <w:pPr>
              <w:pStyle w:val="yTable"/>
              <w:spacing w:before="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pacing w:val="-2"/>
                <w:sz w:val="18"/>
              </w:rPr>
              <w:t>(1)</w:t>
            </w:r>
            <w:r>
              <w:rPr>
                <w:spacing w:val="-2"/>
                <w:sz w:val="18"/>
              </w:rPr>
              <w:tab/>
              <w:t>A return under section 94 …</w:t>
            </w:r>
          </w:p>
        </w:tc>
        <w:tc>
          <w:tcPr>
            <w:tcW w:w="1563" w:type="dxa"/>
          </w:tcPr>
          <w:p>
            <w:pPr>
              <w:pStyle w:val="yTable"/>
              <w:spacing w:before="0"/>
              <w:rPr>
                <w:spacing w:val="-2"/>
                <w:sz w:val="18"/>
              </w:rPr>
            </w:pPr>
            <w:r>
              <w:rPr>
                <w:spacing w:val="-2"/>
                <w:sz w:val="18"/>
              </w:rPr>
              <w:t>See section 94A</w:t>
            </w:r>
          </w:p>
        </w:tc>
        <w:tc>
          <w:tcPr>
            <w:tcW w:w="1419" w:type="dxa"/>
            <w:gridSpan w:val="2"/>
          </w:tcPr>
          <w:p>
            <w:pPr>
              <w:pStyle w:val="yTable"/>
              <w:spacing w:before="40"/>
              <w:rPr>
                <w:spacing w:val="-2"/>
                <w:sz w:val="18"/>
              </w:rPr>
            </w:pPr>
            <w:r>
              <w:rPr>
                <w:spacing w:val="-2"/>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 statement under section 95A ………</w:t>
            </w:r>
          </w:p>
        </w:tc>
        <w:tc>
          <w:tcPr>
            <w:tcW w:w="1563" w:type="dxa"/>
          </w:tcPr>
          <w:p>
            <w:pPr>
              <w:pStyle w:val="yTable"/>
              <w:spacing w:before="0"/>
              <w:rPr>
                <w:spacing w:val="-2"/>
                <w:sz w:val="18"/>
              </w:rPr>
            </w:pPr>
            <w:r>
              <w:rPr>
                <w:spacing w:val="-2"/>
                <w:sz w:val="18"/>
              </w:rPr>
              <w:t>See section 95A</w:t>
            </w:r>
          </w:p>
        </w:tc>
        <w:tc>
          <w:tcPr>
            <w:tcW w:w="1419" w:type="dxa"/>
            <w:gridSpan w:val="2"/>
          </w:tcPr>
          <w:p>
            <w:pPr>
              <w:pStyle w:val="yTable"/>
              <w:spacing w:before="40"/>
              <w:rPr>
                <w:spacing w:val="-2"/>
                <w:sz w:val="18"/>
              </w:rPr>
            </w:pPr>
            <w:r>
              <w:rPr>
                <w:spacing w:val="-2"/>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r>
              <w:rPr>
                <w:sz w:val="18"/>
              </w:rPr>
              <w:t>17.</w:t>
            </w:r>
          </w:p>
        </w:tc>
        <w:tc>
          <w:tcPr>
            <w:tcW w:w="3402" w:type="dxa"/>
            <w:gridSpan w:val="2"/>
          </w:tcPr>
          <w:p>
            <w:pPr>
              <w:pStyle w:val="yTable"/>
              <w:keepNext/>
              <w:spacing w:before="40"/>
              <w:rPr>
                <w:sz w:val="18"/>
              </w:rPr>
            </w:pPr>
            <w:r>
              <w:rPr>
                <w:sz w:val="18"/>
              </w:rPr>
              <w:t>RELEASE OR RENUNCIATION OF ANY PROPERTY OR OF ANY RIGHT OR INTEREST IN ANY PROPERTY</w:t>
            </w:r>
          </w:p>
        </w:tc>
        <w:tc>
          <w:tcPr>
            <w:tcW w:w="1563" w:type="dxa"/>
          </w:tcPr>
          <w:p>
            <w:pPr>
              <w:pStyle w:val="yTable"/>
              <w:keepNext/>
              <w:spacing w:before="40"/>
              <w:rPr>
                <w:sz w:val="18"/>
              </w:rPr>
            </w:pPr>
          </w:p>
        </w:tc>
        <w:tc>
          <w:tcPr>
            <w:tcW w:w="1419" w:type="dxa"/>
            <w:gridSpan w:val="2"/>
          </w:tcPr>
          <w:p>
            <w:pPr>
              <w:pStyle w:val="yTable"/>
              <w:keepNext/>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18.</w:t>
            </w:r>
          </w:p>
        </w:tc>
        <w:tc>
          <w:tcPr>
            <w:tcW w:w="3402" w:type="dxa"/>
            <w:gridSpan w:val="2"/>
          </w:tcPr>
          <w:p>
            <w:pPr>
              <w:pStyle w:val="yTable"/>
              <w:spacing w:before="40"/>
              <w:rPr>
                <w:sz w:val="18"/>
              </w:rPr>
            </w:pPr>
            <w:r>
              <w:rPr>
                <w:sz w:val="18"/>
              </w:rPr>
              <w:t>HIRE OF GOODS</w:t>
            </w:r>
          </w:p>
        </w:tc>
        <w:tc>
          <w:tcPr>
            <w:tcW w:w="1563" w:type="dxa"/>
          </w:tcPr>
          <w:p>
            <w:pPr>
              <w:pStyle w:val="yTable"/>
              <w:spacing w:before="40"/>
              <w:rPr>
                <w:sz w:val="18"/>
              </w:rPr>
            </w:pPr>
          </w:p>
        </w:tc>
        <w:tc>
          <w:tcPr>
            <w:tcW w:w="1419" w:type="dxa"/>
            <w:gridSpan w:val="2"/>
          </w:tcPr>
          <w:p>
            <w:pPr>
              <w:pStyle w:val="yTable"/>
              <w:spacing w:before="4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r>
              <w:rPr>
                <w:sz w:val="18"/>
              </w:rPr>
              <w:t>19.</w:t>
            </w:r>
          </w:p>
        </w:tc>
        <w:tc>
          <w:tcPr>
            <w:tcW w:w="3402" w:type="dxa"/>
            <w:gridSpan w:val="2"/>
          </w:tcPr>
          <w:p>
            <w:pPr>
              <w:pStyle w:val="yTable"/>
              <w:keepNext/>
              <w:spacing w:before="40"/>
              <w:rPr>
                <w:sz w:val="18"/>
              </w:rPr>
            </w:pPr>
            <w:r>
              <w:rPr>
                <w:sz w:val="18"/>
              </w:rPr>
              <w:t>SETTLEMENT, DEED OF, OR DEED OF GIFT</w:t>
            </w:r>
          </w:p>
        </w:tc>
        <w:tc>
          <w:tcPr>
            <w:tcW w:w="1563" w:type="dxa"/>
          </w:tcPr>
          <w:p>
            <w:pPr>
              <w:pStyle w:val="yTable"/>
              <w:keepNext/>
              <w:spacing w:before="40"/>
              <w:ind w:right="-113"/>
              <w:rPr>
                <w:sz w:val="18"/>
              </w:rPr>
            </w:pPr>
            <w:r>
              <w:rPr>
                <w:sz w:val="18"/>
              </w:rPr>
              <w:t xml:space="preserve">See item 4 </w:t>
            </w:r>
          </w:p>
        </w:tc>
        <w:tc>
          <w:tcPr>
            <w:tcW w:w="1419" w:type="dxa"/>
            <w:gridSpan w:val="2"/>
          </w:tcPr>
          <w:p>
            <w:pPr>
              <w:pStyle w:val="yTable"/>
              <w:keepNext/>
              <w:spacing w:before="40"/>
              <w:rPr>
                <w:sz w:val="18"/>
              </w:rPr>
            </w:pPr>
            <w:r>
              <w:rPr>
                <w:sz w:val="18"/>
              </w:rPr>
              <w:t>The settlor or 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i w:val="0"/>
          <w:vertAlign w:val="superscript"/>
        </w:rPr>
        <w:t> 7</w:t>
      </w:r>
      <w:r>
        <w:t>;</w:t>
      </w:r>
      <w:r>
        <w:rPr>
          <w:rStyle w:val="CharDivText"/>
        </w:rPr>
        <w:t xml:space="preserve"> No. 83 of 2004 s. 8; No. 35 of 2005 s. 4; No. 38 of 2005 s. 15</w:t>
      </w:r>
      <w:r>
        <w:t xml:space="preserve">.] </w:t>
      </w:r>
    </w:p>
    <w:p>
      <w:pPr>
        <w:pStyle w:val="yScheduleHeading"/>
      </w:pPr>
      <w:bookmarkStart w:id="2132" w:name="_Toc520101251"/>
      <w:bookmarkStart w:id="2133" w:name="_Toc49224025"/>
      <w:bookmarkStart w:id="2134" w:name="_Toc49332685"/>
      <w:bookmarkStart w:id="2135" w:name="_Toc51126863"/>
      <w:bookmarkStart w:id="2136" w:name="_Toc101672380"/>
      <w:bookmarkStart w:id="2137" w:name="_Toc103403650"/>
      <w:bookmarkStart w:id="2138" w:name="_Toc103747649"/>
      <w:bookmarkStart w:id="2139" w:name="_Toc107055078"/>
      <w:bookmarkStart w:id="2140" w:name="_Toc113874527"/>
      <w:bookmarkStart w:id="2141" w:name="_Toc113956943"/>
      <w:bookmarkStart w:id="2142" w:name="_Toc116717499"/>
      <w:bookmarkStart w:id="2143" w:name="_Toc116813526"/>
      <w:bookmarkStart w:id="2144" w:name="_Toc122333178"/>
      <w:bookmarkStart w:id="2145" w:name="_Toc122862148"/>
      <w:bookmarkStart w:id="2146" w:name="_Toc122862744"/>
      <w:bookmarkStart w:id="2147" w:name="_Toc122921351"/>
      <w:bookmarkStart w:id="2148" w:name="_Toc122921611"/>
      <w:bookmarkStart w:id="2149" w:name="_Toc122947557"/>
      <w:bookmarkStart w:id="2150" w:name="_Toc124046395"/>
      <w:bookmarkStart w:id="2151" w:name="_Toc131415994"/>
      <w:bookmarkStart w:id="2152" w:name="_Toc131416292"/>
      <w:bookmarkStart w:id="2153" w:name="_Toc170193475"/>
      <w:r>
        <w:rPr>
          <w:rStyle w:val="CharSchNo"/>
        </w:rPr>
        <w:t>Third Schedule</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yShoulderClause"/>
        <w:rPr>
          <w:snapToGrid w:val="0"/>
        </w:rPr>
      </w:pPr>
      <w:r>
        <w:rPr>
          <w:snapToGrid w:val="0"/>
        </w:rPr>
        <w:t>[Section 16(2)]</w:t>
      </w:r>
    </w:p>
    <w:p>
      <w:pPr>
        <w:pStyle w:val="yHeading2"/>
      </w:pPr>
      <w:bookmarkStart w:id="2154" w:name="_Toc49569869"/>
      <w:bookmarkStart w:id="2155" w:name="_Toc51491320"/>
      <w:bookmarkStart w:id="2156" w:name="_Toc51659583"/>
      <w:bookmarkStart w:id="2157" w:name="_Toc100458708"/>
      <w:bookmarkStart w:id="2158" w:name="_Toc101672381"/>
      <w:bookmarkStart w:id="2159" w:name="_Toc102982081"/>
      <w:bookmarkStart w:id="2160" w:name="_Toc103403651"/>
      <w:bookmarkStart w:id="2161" w:name="_Toc103747650"/>
      <w:bookmarkStart w:id="2162" w:name="_Toc107055079"/>
      <w:bookmarkStart w:id="2163" w:name="_Toc113874528"/>
      <w:bookmarkStart w:id="2164" w:name="_Toc113956944"/>
      <w:bookmarkStart w:id="2165" w:name="_Toc116717500"/>
      <w:bookmarkStart w:id="2166" w:name="_Toc116813527"/>
      <w:bookmarkStart w:id="2167" w:name="_Toc122333179"/>
      <w:bookmarkStart w:id="2168" w:name="_Toc122862149"/>
      <w:bookmarkStart w:id="2169" w:name="_Toc122862745"/>
      <w:bookmarkStart w:id="2170" w:name="_Toc122921352"/>
      <w:bookmarkStart w:id="2171" w:name="_Toc122921612"/>
      <w:bookmarkStart w:id="2172" w:name="_Toc122947558"/>
      <w:bookmarkStart w:id="2173" w:name="_Toc124046396"/>
      <w:bookmarkStart w:id="2174" w:name="_Toc131415995"/>
      <w:bookmarkStart w:id="2175" w:name="_Toc131416293"/>
      <w:bookmarkStart w:id="2176" w:name="_Toc170193476"/>
      <w:r>
        <w:rPr>
          <w:rStyle w:val="CharSchText"/>
        </w:rPr>
        <w:t>Exemptions from duty</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440" w:hanging="1440"/>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iCs/>
                <w:snapToGrid w:val="0"/>
              </w:rPr>
            </w:pPr>
            <w:r>
              <w:rPr>
                <w:i/>
                <w:iCs/>
                <w:snapToGrid w:val="0"/>
              </w:rPr>
              <w:t>[8.</w:t>
            </w:r>
          </w:p>
        </w:tc>
        <w:tc>
          <w:tcPr>
            <w:tcW w:w="6484" w:type="dxa"/>
          </w:tcPr>
          <w:p>
            <w:pPr>
              <w:pStyle w:val="yTable"/>
              <w:keepNext/>
              <w:tabs>
                <w:tab w:val="left" w:pos="600"/>
              </w:tabs>
              <w:ind w:left="608" w:hanging="608"/>
              <w:rPr>
                <w:i/>
                <w:iCs/>
                <w:snapToGrid w:val="0"/>
                <w:sz w:val="20"/>
              </w:rPr>
            </w:pPr>
            <w:r>
              <w:rPr>
                <w:i/>
                <w:iCs/>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keepNext/>
              <w:rPr>
                <w:snapToGrid w:val="0"/>
              </w:rPr>
            </w:pPr>
          </w:p>
        </w:tc>
        <w:tc>
          <w:tcPr>
            <w:tcW w:w="6484" w:type="dxa"/>
          </w:tcPr>
          <w:p>
            <w:pPr>
              <w:pStyle w:val="yTable"/>
              <w:keepNext/>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w:t>
      </w:r>
    </w:p>
    <w:p>
      <w:pPr>
        <w:pStyle w:val="nHeading2"/>
        <w:sectPr>
          <w:headerReference w:type="even" r:id="rId50"/>
          <w:headerReference w:type="default" r:id="rId51"/>
          <w:headerReference w:type="first" r:id="rId52"/>
          <w:pgSz w:w="11906" w:h="16838" w:code="9"/>
          <w:pgMar w:top="2381" w:right="2409" w:bottom="3543" w:left="2410" w:header="720" w:footer="3380" w:gutter="0"/>
          <w:cols w:space="720"/>
          <w:noEndnote/>
          <w:docGrid w:linePitch="326"/>
        </w:sectPr>
      </w:pPr>
    </w:p>
    <w:p>
      <w:pPr>
        <w:pStyle w:val="nHeading2"/>
      </w:pPr>
      <w:bookmarkStart w:id="2177" w:name="_Toc58902697"/>
      <w:bookmarkStart w:id="2178" w:name="_Toc76899749"/>
      <w:bookmarkStart w:id="2179" w:name="_Toc78090651"/>
      <w:bookmarkStart w:id="2180" w:name="_Toc88887019"/>
      <w:bookmarkStart w:id="2181" w:name="_Toc90443635"/>
      <w:bookmarkStart w:id="2182" w:name="_Toc90452986"/>
      <w:bookmarkStart w:id="2183" w:name="_Toc100029577"/>
      <w:bookmarkStart w:id="2184" w:name="_Toc100031650"/>
      <w:bookmarkStart w:id="2185" w:name="_Toc100458709"/>
      <w:bookmarkStart w:id="2186" w:name="_Toc101672125"/>
      <w:bookmarkStart w:id="2187" w:name="_Toc101672382"/>
      <w:bookmarkStart w:id="2188" w:name="_Toc102799408"/>
      <w:bookmarkStart w:id="2189" w:name="_Toc102982082"/>
      <w:bookmarkStart w:id="2190" w:name="_Toc103403395"/>
      <w:bookmarkStart w:id="2191" w:name="_Toc103403652"/>
      <w:bookmarkStart w:id="2192" w:name="_Toc103747651"/>
      <w:bookmarkStart w:id="2193" w:name="_Toc107055080"/>
      <w:bookmarkStart w:id="2194" w:name="_Toc113874529"/>
      <w:bookmarkStart w:id="2195" w:name="_Toc113956945"/>
      <w:bookmarkStart w:id="2196" w:name="_Toc116717501"/>
      <w:bookmarkStart w:id="2197" w:name="_Toc116813528"/>
      <w:bookmarkStart w:id="2198" w:name="_Toc122333180"/>
      <w:bookmarkStart w:id="2199" w:name="_Toc122862150"/>
      <w:bookmarkStart w:id="2200" w:name="_Toc122862746"/>
      <w:bookmarkStart w:id="2201" w:name="_Toc122921353"/>
      <w:bookmarkStart w:id="2202" w:name="_Toc122921613"/>
      <w:bookmarkStart w:id="2203" w:name="_Toc122947559"/>
      <w:bookmarkStart w:id="2204" w:name="_Toc124046397"/>
      <w:bookmarkStart w:id="2205" w:name="_Toc131415996"/>
      <w:bookmarkStart w:id="2206" w:name="_Toc131416294"/>
      <w:bookmarkStart w:id="2207" w:name="_Toc170193477"/>
      <w:r>
        <w:t>Notes</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9, 10, 11, 12</w:t>
      </w:r>
      <w:r>
        <w:rPr>
          <w:snapToGrid w:val="0"/>
        </w:rPr>
        <w:t>.  The table also contains information about any reprint.</w:t>
      </w:r>
    </w:p>
    <w:p>
      <w:pPr>
        <w:pStyle w:val="nHeading3"/>
        <w:rPr>
          <w:snapToGrid w:val="0"/>
        </w:rPr>
      </w:pPr>
      <w:bookmarkStart w:id="2208" w:name="_Toc107055081"/>
      <w:bookmarkStart w:id="2209" w:name="_Toc131416295"/>
      <w:bookmarkStart w:id="2210" w:name="_Toc170193478"/>
      <w:r>
        <w:rPr>
          <w:snapToGrid w:val="0"/>
        </w:rPr>
        <w:t>Compilation table</w:t>
      </w:r>
      <w:bookmarkEnd w:id="2208"/>
      <w:bookmarkEnd w:id="2209"/>
      <w:bookmarkEnd w:id="2210"/>
    </w:p>
    <w:tbl>
      <w:tblPr>
        <w:tblW w:w="6985" w:type="dxa"/>
        <w:tblInd w:w="56" w:type="dxa"/>
        <w:tblLayout w:type="fixed"/>
        <w:tblCellMar>
          <w:left w:w="56" w:type="dxa"/>
          <w:right w:w="56" w:type="dxa"/>
        </w:tblCellMar>
        <w:tblLook w:val="0000" w:firstRow="0" w:lastRow="0" w:firstColumn="0" w:lastColumn="0" w:noHBand="0" w:noVBand="0"/>
      </w:tblPr>
      <w:tblGrid>
        <w:gridCol w:w="2083"/>
        <w:gridCol w:w="181"/>
        <w:gridCol w:w="894"/>
        <w:gridCol w:w="57"/>
        <w:gridCol w:w="182"/>
        <w:gridCol w:w="951"/>
        <w:gridCol w:w="185"/>
        <w:gridCol w:w="180"/>
        <w:gridCol w:w="2272"/>
      </w:tblGrid>
      <w:tr>
        <w:trPr>
          <w:cantSplit/>
          <w:tblHeader/>
        </w:trPr>
        <w:tc>
          <w:tcPr>
            <w:tcW w:w="208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63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083" w:type="dxa"/>
          </w:tcPr>
          <w:p>
            <w:pPr>
              <w:pStyle w:val="nTable"/>
              <w:spacing w:after="40"/>
              <w:ind w:right="113"/>
              <w:rPr>
                <w:sz w:val="19"/>
              </w:rPr>
            </w:pPr>
            <w:r>
              <w:rPr>
                <w:i/>
                <w:sz w:val="19"/>
              </w:rPr>
              <w:t>Stamp Act 1921</w:t>
            </w:r>
          </w:p>
        </w:tc>
        <w:tc>
          <w:tcPr>
            <w:tcW w:w="1132" w:type="dxa"/>
            <w:gridSpan w:val="3"/>
          </w:tcPr>
          <w:p>
            <w:pPr>
              <w:pStyle w:val="nTable"/>
              <w:spacing w:after="40"/>
              <w:rPr>
                <w:sz w:val="19"/>
              </w:rPr>
            </w:pPr>
            <w:r>
              <w:rPr>
                <w:sz w:val="19"/>
              </w:rPr>
              <w:t>10 of 1922</w:t>
            </w:r>
          </w:p>
        </w:tc>
        <w:tc>
          <w:tcPr>
            <w:tcW w:w="1133" w:type="dxa"/>
            <w:gridSpan w:val="2"/>
          </w:tcPr>
          <w:p>
            <w:pPr>
              <w:pStyle w:val="nTable"/>
              <w:spacing w:after="40"/>
              <w:rPr>
                <w:sz w:val="19"/>
              </w:rPr>
            </w:pPr>
            <w:r>
              <w:rPr>
                <w:sz w:val="19"/>
              </w:rPr>
              <w:t>31 Jan 1922</w:t>
            </w:r>
          </w:p>
        </w:tc>
        <w:tc>
          <w:tcPr>
            <w:tcW w:w="2637"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083" w:type="dxa"/>
          </w:tcPr>
          <w:p>
            <w:pPr>
              <w:pStyle w:val="nTable"/>
              <w:spacing w:after="40"/>
              <w:ind w:right="113"/>
              <w:rPr>
                <w:sz w:val="19"/>
              </w:rPr>
            </w:pPr>
            <w:r>
              <w:rPr>
                <w:i/>
                <w:sz w:val="19"/>
              </w:rPr>
              <w:t>Stamp Act Amendment Act 1923</w:t>
            </w:r>
          </w:p>
        </w:tc>
        <w:tc>
          <w:tcPr>
            <w:tcW w:w="1132" w:type="dxa"/>
            <w:gridSpan w:val="3"/>
          </w:tcPr>
          <w:p>
            <w:pPr>
              <w:pStyle w:val="nTable"/>
              <w:spacing w:after="40"/>
              <w:rPr>
                <w:sz w:val="19"/>
              </w:rPr>
            </w:pPr>
            <w:r>
              <w:rPr>
                <w:sz w:val="19"/>
              </w:rPr>
              <w:t>53 of 1923</w:t>
            </w:r>
          </w:p>
        </w:tc>
        <w:tc>
          <w:tcPr>
            <w:tcW w:w="1133" w:type="dxa"/>
            <w:gridSpan w:val="2"/>
          </w:tcPr>
          <w:p>
            <w:pPr>
              <w:pStyle w:val="nTable"/>
              <w:spacing w:after="40"/>
              <w:rPr>
                <w:sz w:val="19"/>
              </w:rPr>
            </w:pPr>
            <w:r>
              <w:rPr>
                <w:sz w:val="19"/>
              </w:rPr>
              <w:t>22 Dec 1923</w:t>
            </w:r>
          </w:p>
        </w:tc>
        <w:tc>
          <w:tcPr>
            <w:tcW w:w="2637" w:type="dxa"/>
            <w:gridSpan w:val="3"/>
          </w:tcPr>
          <w:p>
            <w:pPr>
              <w:pStyle w:val="nTable"/>
              <w:spacing w:after="40"/>
              <w:rPr>
                <w:sz w:val="19"/>
              </w:rPr>
            </w:pPr>
            <w:r>
              <w:rPr>
                <w:sz w:val="19"/>
              </w:rPr>
              <w:t>22 Dec 1923</w:t>
            </w:r>
          </w:p>
        </w:tc>
      </w:tr>
      <w:tr>
        <w:trPr>
          <w:cantSplit/>
        </w:trPr>
        <w:tc>
          <w:tcPr>
            <w:tcW w:w="2083" w:type="dxa"/>
          </w:tcPr>
          <w:p>
            <w:pPr>
              <w:pStyle w:val="nTable"/>
              <w:spacing w:after="40"/>
              <w:ind w:right="113"/>
              <w:rPr>
                <w:sz w:val="19"/>
              </w:rPr>
            </w:pPr>
            <w:r>
              <w:rPr>
                <w:i/>
                <w:sz w:val="19"/>
              </w:rPr>
              <w:t>Stamp Act Amendment Act 1924</w:t>
            </w:r>
          </w:p>
        </w:tc>
        <w:tc>
          <w:tcPr>
            <w:tcW w:w="1132" w:type="dxa"/>
            <w:gridSpan w:val="3"/>
          </w:tcPr>
          <w:p>
            <w:pPr>
              <w:pStyle w:val="nTable"/>
              <w:spacing w:after="40"/>
              <w:rPr>
                <w:sz w:val="19"/>
              </w:rPr>
            </w:pPr>
            <w:r>
              <w:rPr>
                <w:sz w:val="19"/>
              </w:rPr>
              <w:t>23 of 1924</w:t>
            </w:r>
          </w:p>
        </w:tc>
        <w:tc>
          <w:tcPr>
            <w:tcW w:w="1133" w:type="dxa"/>
            <w:gridSpan w:val="2"/>
          </w:tcPr>
          <w:p>
            <w:pPr>
              <w:pStyle w:val="nTable"/>
              <w:spacing w:after="40"/>
              <w:rPr>
                <w:sz w:val="19"/>
              </w:rPr>
            </w:pPr>
            <w:r>
              <w:rPr>
                <w:sz w:val="19"/>
              </w:rPr>
              <w:t>31 Dec 1924</w:t>
            </w:r>
          </w:p>
        </w:tc>
        <w:tc>
          <w:tcPr>
            <w:tcW w:w="2637" w:type="dxa"/>
            <w:gridSpan w:val="3"/>
          </w:tcPr>
          <w:p>
            <w:pPr>
              <w:pStyle w:val="nTable"/>
              <w:spacing w:after="40"/>
              <w:rPr>
                <w:sz w:val="19"/>
              </w:rPr>
            </w:pPr>
            <w:r>
              <w:rPr>
                <w:sz w:val="19"/>
              </w:rPr>
              <w:t>31 Dec 1924</w:t>
            </w:r>
          </w:p>
        </w:tc>
      </w:tr>
      <w:tr>
        <w:trPr>
          <w:cantSplit/>
        </w:trPr>
        <w:tc>
          <w:tcPr>
            <w:tcW w:w="2083" w:type="dxa"/>
          </w:tcPr>
          <w:p>
            <w:pPr>
              <w:pStyle w:val="nTable"/>
              <w:spacing w:after="40"/>
              <w:ind w:right="113"/>
              <w:rPr>
                <w:sz w:val="19"/>
              </w:rPr>
            </w:pPr>
            <w:r>
              <w:rPr>
                <w:i/>
                <w:sz w:val="19"/>
              </w:rPr>
              <w:t xml:space="preserve">Ministers’ Titles Act 1925 </w:t>
            </w:r>
            <w:r>
              <w:rPr>
                <w:sz w:val="19"/>
              </w:rPr>
              <w:t>s. 2</w:t>
            </w:r>
          </w:p>
        </w:tc>
        <w:tc>
          <w:tcPr>
            <w:tcW w:w="1132" w:type="dxa"/>
            <w:gridSpan w:val="3"/>
          </w:tcPr>
          <w:p>
            <w:pPr>
              <w:pStyle w:val="nTable"/>
              <w:spacing w:after="40"/>
              <w:rPr>
                <w:sz w:val="19"/>
              </w:rPr>
            </w:pPr>
            <w:r>
              <w:rPr>
                <w:sz w:val="19"/>
              </w:rPr>
              <w:t>8 of 1925</w:t>
            </w:r>
          </w:p>
        </w:tc>
        <w:tc>
          <w:tcPr>
            <w:tcW w:w="1133" w:type="dxa"/>
            <w:gridSpan w:val="2"/>
          </w:tcPr>
          <w:p>
            <w:pPr>
              <w:pStyle w:val="nTable"/>
              <w:spacing w:after="40"/>
              <w:rPr>
                <w:sz w:val="19"/>
              </w:rPr>
            </w:pPr>
            <w:r>
              <w:rPr>
                <w:sz w:val="19"/>
              </w:rPr>
              <w:t>24 Sep 1925</w:t>
            </w:r>
          </w:p>
        </w:tc>
        <w:tc>
          <w:tcPr>
            <w:tcW w:w="2637" w:type="dxa"/>
            <w:gridSpan w:val="3"/>
          </w:tcPr>
          <w:p>
            <w:pPr>
              <w:pStyle w:val="nTable"/>
              <w:spacing w:after="40"/>
              <w:rPr>
                <w:sz w:val="19"/>
              </w:rPr>
            </w:pPr>
            <w:r>
              <w:rPr>
                <w:sz w:val="19"/>
              </w:rPr>
              <w:t>24 Sep 1925</w:t>
            </w:r>
          </w:p>
        </w:tc>
      </w:tr>
      <w:tr>
        <w:trPr>
          <w:cantSplit/>
        </w:trPr>
        <w:tc>
          <w:tcPr>
            <w:tcW w:w="2083" w:type="dxa"/>
          </w:tcPr>
          <w:p>
            <w:pPr>
              <w:pStyle w:val="nTable"/>
              <w:spacing w:after="40"/>
              <w:ind w:right="113"/>
              <w:rPr>
                <w:sz w:val="19"/>
              </w:rPr>
            </w:pPr>
            <w:r>
              <w:rPr>
                <w:i/>
                <w:sz w:val="19"/>
              </w:rPr>
              <w:t>Stamp Act Amendment Act 1925</w:t>
            </w:r>
          </w:p>
        </w:tc>
        <w:tc>
          <w:tcPr>
            <w:tcW w:w="1132" w:type="dxa"/>
            <w:gridSpan w:val="3"/>
          </w:tcPr>
          <w:p>
            <w:pPr>
              <w:pStyle w:val="nTable"/>
              <w:spacing w:after="40"/>
              <w:rPr>
                <w:sz w:val="19"/>
              </w:rPr>
            </w:pPr>
            <w:r>
              <w:rPr>
                <w:sz w:val="19"/>
              </w:rPr>
              <w:t>47 of 1925</w:t>
            </w:r>
          </w:p>
        </w:tc>
        <w:tc>
          <w:tcPr>
            <w:tcW w:w="1133" w:type="dxa"/>
            <w:gridSpan w:val="2"/>
          </w:tcPr>
          <w:p>
            <w:pPr>
              <w:pStyle w:val="nTable"/>
              <w:spacing w:after="40"/>
              <w:rPr>
                <w:sz w:val="19"/>
              </w:rPr>
            </w:pPr>
            <w:r>
              <w:rPr>
                <w:sz w:val="19"/>
              </w:rPr>
              <w:t>31 Dec 1925</w:t>
            </w:r>
          </w:p>
        </w:tc>
        <w:tc>
          <w:tcPr>
            <w:tcW w:w="2637" w:type="dxa"/>
            <w:gridSpan w:val="3"/>
          </w:tcPr>
          <w:p>
            <w:pPr>
              <w:pStyle w:val="nTable"/>
              <w:spacing w:after="40"/>
              <w:rPr>
                <w:sz w:val="19"/>
              </w:rPr>
            </w:pPr>
            <w:r>
              <w:rPr>
                <w:sz w:val="19"/>
              </w:rPr>
              <w:t>31 Dec 1925</w:t>
            </w:r>
          </w:p>
        </w:tc>
      </w:tr>
      <w:tr>
        <w:trPr>
          <w:cantSplit/>
        </w:trPr>
        <w:tc>
          <w:tcPr>
            <w:tcW w:w="2083" w:type="dxa"/>
          </w:tcPr>
          <w:p>
            <w:pPr>
              <w:pStyle w:val="nTable"/>
              <w:spacing w:after="40"/>
              <w:ind w:right="113"/>
              <w:rPr>
                <w:sz w:val="19"/>
              </w:rPr>
            </w:pPr>
            <w:r>
              <w:rPr>
                <w:i/>
                <w:sz w:val="19"/>
              </w:rPr>
              <w:t>Stamp Act Amendment Act 1926</w:t>
            </w:r>
          </w:p>
        </w:tc>
        <w:tc>
          <w:tcPr>
            <w:tcW w:w="1132" w:type="dxa"/>
            <w:gridSpan w:val="3"/>
          </w:tcPr>
          <w:p>
            <w:pPr>
              <w:pStyle w:val="nTable"/>
              <w:spacing w:after="40"/>
              <w:rPr>
                <w:sz w:val="19"/>
              </w:rPr>
            </w:pPr>
            <w:r>
              <w:rPr>
                <w:sz w:val="19"/>
              </w:rPr>
              <w:t>17 of 1926</w:t>
            </w:r>
          </w:p>
        </w:tc>
        <w:tc>
          <w:tcPr>
            <w:tcW w:w="1133" w:type="dxa"/>
            <w:gridSpan w:val="2"/>
          </w:tcPr>
          <w:p>
            <w:pPr>
              <w:pStyle w:val="nTable"/>
              <w:spacing w:after="40"/>
              <w:rPr>
                <w:sz w:val="19"/>
              </w:rPr>
            </w:pPr>
            <w:r>
              <w:rPr>
                <w:sz w:val="19"/>
              </w:rPr>
              <w:t>6 Nov 1926</w:t>
            </w:r>
          </w:p>
        </w:tc>
        <w:tc>
          <w:tcPr>
            <w:tcW w:w="2637" w:type="dxa"/>
            <w:gridSpan w:val="3"/>
          </w:tcPr>
          <w:p>
            <w:pPr>
              <w:pStyle w:val="nTable"/>
              <w:spacing w:after="40"/>
              <w:rPr>
                <w:sz w:val="19"/>
              </w:rPr>
            </w:pPr>
            <w:r>
              <w:rPr>
                <w:sz w:val="19"/>
              </w:rPr>
              <w:t>6 Nov 1926</w:t>
            </w:r>
          </w:p>
        </w:tc>
      </w:tr>
      <w:tr>
        <w:trPr>
          <w:cantSplit/>
        </w:trPr>
        <w:tc>
          <w:tcPr>
            <w:tcW w:w="2083" w:type="dxa"/>
          </w:tcPr>
          <w:p>
            <w:pPr>
              <w:pStyle w:val="nTable"/>
              <w:spacing w:after="40"/>
              <w:ind w:right="113"/>
              <w:rPr>
                <w:sz w:val="19"/>
              </w:rPr>
            </w:pPr>
            <w:r>
              <w:rPr>
                <w:i/>
                <w:sz w:val="19"/>
              </w:rPr>
              <w:t>Stamp Act Amendment Act 1927</w:t>
            </w:r>
          </w:p>
        </w:tc>
        <w:tc>
          <w:tcPr>
            <w:tcW w:w="1132" w:type="dxa"/>
            <w:gridSpan w:val="3"/>
          </w:tcPr>
          <w:p>
            <w:pPr>
              <w:pStyle w:val="nTable"/>
              <w:spacing w:after="40"/>
              <w:rPr>
                <w:sz w:val="19"/>
              </w:rPr>
            </w:pPr>
            <w:r>
              <w:rPr>
                <w:sz w:val="19"/>
              </w:rPr>
              <w:t>10 of 1927</w:t>
            </w:r>
          </w:p>
        </w:tc>
        <w:tc>
          <w:tcPr>
            <w:tcW w:w="1133" w:type="dxa"/>
            <w:gridSpan w:val="2"/>
          </w:tcPr>
          <w:p>
            <w:pPr>
              <w:pStyle w:val="nTable"/>
              <w:spacing w:after="40"/>
              <w:rPr>
                <w:sz w:val="19"/>
              </w:rPr>
            </w:pPr>
            <w:r>
              <w:rPr>
                <w:sz w:val="19"/>
              </w:rPr>
              <w:t>6 Dec 1927</w:t>
            </w:r>
          </w:p>
        </w:tc>
        <w:tc>
          <w:tcPr>
            <w:tcW w:w="2637" w:type="dxa"/>
            <w:gridSpan w:val="3"/>
          </w:tcPr>
          <w:p>
            <w:pPr>
              <w:pStyle w:val="nTable"/>
              <w:spacing w:after="40"/>
              <w:rPr>
                <w:sz w:val="19"/>
              </w:rPr>
            </w:pPr>
            <w:r>
              <w:rPr>
                <w:sz w:val="19"/>
              </w:rPr>
              <w:t>6 Dec 1927</w:t>
            </w:r>
          </w:p>
        </w:tc>
      </w:tr>
      <w:tr>
        <w:trPr>
          <w:cantSplit/>
        </w:trPr>
        <w:tc>
          <w:tcPr>
            <w:tcW w:w="2083" w:type="dxa"/>
          </w:tcPr>
          <w:p>
            <w:pPr>
              <w:pStyle w:val="nTable"/>
              <w:spacing w:after="40"/>
              <w:ind w:right="113"/>
              <w:rPr>
                <w:sz w:val="19"/>
              </w:rPr>
            </w:pPr>
            <w:r>
              <w:rPr>
                <w:i/>
                <w:sz w:val="19"/>
              </w:rPr>
              <w:t>Stamp Act Amendment Act 1928</w:t>
            </w:r>
          </w:p>
        </w:tc>
        <w:tc>
          <w:tcPr>
            <w:tcW w:w="1132" w:type="dxa"/>
            <w:gridSpan w:val="3"/>
          </w:tcPr>
          <w:p>
            <w:pPr>
              <w:pStyle w:val="nTable"/>
              <w:spacing w:after="40"/>
              <w:rPr>
                <w:sz w:val="19"/>
              </w:rPr>
            </w:pPr>
            <w:r>
              <w:rPr>
                <w:sz w:val="19"/>
              </w:rPr>
              <w:t>22 of 1928</w:t>
            </w:r>
          </w:p>
        </w:tc>
        <w:tc>
          <w:tcPr>
            <w:tcW w:w="1133" w:type="dxa"/>
            <w:gridSpan w:val="2"/>
          </w:tcPr>
          <w:p>
            <w:pPr>
              <w:pStyle w:val="nTable"/>
              <w:spacing w:after="40"/>
              <w:rPr>
                <w:sz w:val="19"/>
              </w:rPr>
            </w:pPr>
            <w:r>
              <w:rPr>
                <w:sz w:val="19"/>
              </w:rPr>
              <w:t>21 Dec 1928</w:t>
            </w:r>
          </w:p>
        </w:tc>
        <w:tc>
          <w:tcPr>
            <w:tcW w:w="2637" w:type="dxa"/>
            <w:gridSpan w:val="3"/>
          </w:tcPr>
          <w:p>
            <w:pPr>
              <w:pStyle w:val="nTable"/>
              <w:spacing w:after="40"/>
              <w:rPr>
                <w:sz w:val="19"/>
              </w:rPr>
            </w:pPr>
            <w:r>
              <w:rPr>
                <w:sz w:val="19"/>
              </w:rPr>
              <w:t>21 Dec 1928</w:t>
            </w:r>
          </w:p>
        </w:tc>
      </w:tr>
      <w:tr>
        <w:trPr>
          <w:cantSplit/>
        </w:trPr>
        <w:tc>
          <w:tcPr>
            <w:tcW w:w="2083" w:type="dxa"/>
          </w:tcPr>
          <w:p>
            <w:pPr>
              <w:pStyle w:val="nTable"/>
              <w:spacing w:after="40"/>
              <w:ind w:right="113"/>
              <w:rPr>
                <w:sz w:val="19"/>
                <w:vertAlign w:val="superscript"/>
              </w:rPr>
            </w:pPr>
            <w:r>
              <w:rPr>
                <w:i/>
                <w:sz w:val="19"/>
              </w:rPr>
              <w:t>Stamp Act Amendment Act 1929</w:t>
            </w:r>
          </w:p>
        </w:tc>
        <w:tc>
          <w:tcPr>
            <w:tcW w:w="1132" w:type="dxa"/>
            <w:gridSpan w:val="3"/>
          </w:tcPr>
          <w:p>
            <w:pPr>
              <w:pStyle w:val="nTable"/>
              <w:spacing w:after="40"/>
              <w:rPr>
                <w:sz w:val="19"/>
              </w:rPr>
            </w:pPr>
            <w:r>
              <w:rPr>
                <w:sz w:val="19"/>
              </w:rPr>
              <w:t>5 of 1929</w:t>
            </w:r>
          </w:p>
        </w:tc>
        <w:tc>
          <w:tcPr>
            <w:tcW w:w="1133" w:type="dxa"/>
            <w:gridSpan w:val="2"/>
          </w:tcPr>
          <w:p>
            <w:pPr>
              <w:pStyle w:val="nTable"/>
              <w:spacing w:after="40"/>
              <w:rPr>
                <w:sz w:val="19"/>
              </w:rPr>
            </w:pPr>
            <w:r>
              <w:rPr>
                <w:sz w:val="19"/>
              </w:rPr>
              <w:t>7 Oct 1929</w:t>
            </w:r>
          </w:p>
        </w:tc>
        <w:tc>
          <w:tcPr>
            <w:tcW w:w="2637" w:type="dxa"/>
            <w:gridSpan w:val="3"/>
          </w:tcPr>
          <w:p>
            <w:pPr>
              <w:pStyle w:val="nTable"/>
              <w:spacing w:after="40"/>
              <w:rPr>
                <w:sz w:val="19"/>
              </w:rPr>
            </w:pPr>
            <w:r>
              <w:rPr>
                <w:sz w:val="19"/>
              </w:rPr>
              <w:t>7 Oct 1929</w:t>
            </w:r>
          </w:p>
        </w:tc>
      </w:tr>
      <w:tr>
        <w:trPr>
          <w:cantSplit/>
        </w:trPr>
        <w:tc>
          <w:tcPr>
            <w:tcW w:w="2083" w:type="dxa"/>
          </w:tcPr>
          <w:p>
            <w:pPr>
              <w:pStyle w:val="nTable"/>
              <w:spacing w:after="40"/>
              <w:ind w:right="113"/>
              <w:rPr>
                <w:sz w:val="19"/>
              </w:rPr>
            </w:pPr>
            <w:r>
              <w:rPr>
                <w:i/>
                <w:sz w:val="19"/>
              </w:rPr>
              <w:t>Stamp Act Amendment Act (No. 3) 1930</w:t>
            </w:r>
          </w:p>
        </w:tc>
        <w:tc>
          <w:tcPr>
            <w:tcW w:w="1132" w:type="dxa"/>
            <w:gridSpan w:val="3"/>
          </w:tcPr>
          <w:p>
            <w:pPr>
              <w:pStyle w:val="nTable"/>
              <w:spacing w:after="40"/>
              <w:rPr>
                <w:sz w:val="19"/>
              </w:rPr>
            </w:pPr>
            <w:r>
              <w:rPr>
                <w:sz w:val="19"/>
              </w:rPr>
              <w:t>11 of 1930</w:t>
            </w:r>
          </w:p>
        </w:tc>
        <w:tc>
          <w:tcPr>
            <w:tcW w:w="1133" w:type="dxa"/>
            <w:gridSpan w:val="2"/>
          </w:tcPr>
          <w:p>
            <w:pPr>
              <w:pStyle w:val="nTable"/>
              <w:spacing w:after="40"/>
              <w:rPr>
                <w:sz w:val="19"/>
              </w:rPr>
            </w:pPr>
            <w:r>
              <w:rPr>
                <w:sz w:val="19"/>
              </w:rPr>
              <w:t>19 Nov 1930</w:t>
            </w:r>
          </w:p>
        </w:tc>
        <w:tc>
          <w:tcPr>
            <w:tcW w:w="2637" w:type="dxa"/>
            <w:gridSpan w:val="3"/>
          </w:tcPr>
          <w:p>
            <w:pPr>
              <w:pStyle w:val="nTable"/>
              <w:spacing w:after="40"/>
              <w:rPr>
                <w:sz w:val="19"/>
              </w:rPr>
            </w:pPr>
            <w:r>
              <w:rPr>
                <w:sz w:val="19"/>
              </w:rPr>
              <w:t>19 Nov 1930</w:t>
            </w:r>
          </w:p>
        </w:tc>
      </w:tr>
      <w:tr>
        <w:trPr>
          <w:cantSplit/>
        </w:trPr>
        <w:tc>
          <w:tcPr>
            <w:tcW w:w="2083" w:type="dxa"/>
          </w:tcPr>
          <w:p>
            <w:pPr>
              <w:pStyle w:val="nTable"/>
              <w:spacing w:after="40"/>
              <w:ind w:right="113"/>
              <w:rPr>
                <w:sz w:val="19"/>
              </w:rPr>
            </w:pPr>
            <w:r>
              <w:rPr>
                <w:i/>
                <w:sz w:val="19"/>
              </w:rPr>
              <w:t>Stamp Act Amendment Act (No. 1) 1930</w:t>
            </w:r>
          </w:p>
        </w:tc>
        <w:tc>
          <w:tcPr>
            <w:tcW w:w="1132" w:type="dxa"/>
            <w:gridSpan w:val="3"/>
          </w:tcPr>
          <w:p>
            <w:pPr>
              <w:pStyle w:val="nTable"/>
              <w:spacing w:after="40"/>
              <w:rPr>
                <w:sz w:val="19"/>
              </w:rPr>
            </w:pPr>
            <w:r>
              <w:rPr>
                <w:sz w:val="19"/>
              </w:rPr>
              <w:t>12 of 1930</w:t>
            </w:r>
          </w:p>
        </w:tc>
        <w:tc>
          <w:tcPr>
            <w:tcW w:w="1133" w:type="dxa"/>
            <w:gridSpan w:val="2"/>
          </w:tcPr>
          <w:p>
            <w:pPr>
              <w:pStyle w:val="nTable"/>
              <w:spacing w:after="40"/>
              <w:rPr>
                <w:sz w:val="19"/>
              </w:rPr>
            </w:pPr>
            <w:r>
              <w:rPr>
                <w:sz w:val="19"/>
              </w:rPr>
              <w:t>19 Nov 1930</w:t>
            </w:r>
          </w:p>
        </w:tc>
        <w:tc>
          <w:tcPr>
            <w:tcW w:w="2637" w:type="dxa"/>
            <w:gridSpan w:val="3"/>
          </w:tcPr>
          <w:p>
            <w:pPr>
              <w:pStyle w:val="nTable"/>
              <w:spacing w:after="40"/>
              <w:rPr>
                <w:sz w:val="19"/>
              </w:rPr>
            </w:pPr>
            <w:r>
              <w:rPr>
                <w:sz w:val="19"/>
              </w:rPr>
              <w:t>19 Nov 1930</w:t>
            </w:r>
          </w:p>
        </w:tc>
      </w:tr>
      <w:tr>
        <w:trPr>
          <w:cantSplit/>
        </w:trPr>
        <w:tc>
          <w:tcPr>
            <w:tcW w:w="2083" w:type="dxa"/>
          </w:tcPr>
          <w:p>
            <w:pPr>
              <w:pStyle w:val="nTable"/>
              <w:spacing w:after="40"/>
              <w:ind w:right="113"/>
              <w:rPr>
                <w:sz w:val="19"/>
              </w:rPr>
            </w:pPr>
            <w:r>
              <w:rPr>
                <w:i/>
                <w:sz w:val="19"/>
              </w:rPr>
              <w:t>Stamp Act Amendment Act 1931</w:t>
            </w:r>
          </w:p>
        </w:tc>
        <w:tc>
          <w:tcPr>
            <w:tcW w:w="1132" w:type="dxa"/>
            <w:gridSpan w:val="3"/>
          </w:tcPr>
          <w:p>
            <w:pPr>
              <w:pStyle w:val="nTable"/>
              <w:spacing w:after="40"/>
              <w:rPr>
                <w:sz w:val="19"/>
              </w:rPr>
            </w:pPr>
            <w:r>
              <w:rPr>
                <w:sz w:val="19"/>
              </w:rPr>
              <w:t>39 of 1931</w:t>
            </w:r>
          </w:p>
        </w:tc>
        <w:tc>
          <w:tcPr>
            <w:tcW w:w="1133" w:type="dxa"/>
            <w:gridSpan w:val="2"/>
          </w:tcPr>
          <w:p>
            <w:pPr>
              <w:pStyle w:val="nTable"/>
              <w:spacing w:after="40"/>
              <w:rPr>
                <w:sz w:val="19"/>
              </w:rPr>
            </w:pPr>
            <w:r>
              <w:rPr>
                <w:sz w:val="19"/>
              </w:rPr>
              <w:t>26 Nov 1931</w:t>
            </w:r>
          </w:p>
        </w:tc>
        <w:tc>
          <w:tcPr>
            <w:tcW w:w="2637"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13</w:t>
            </w:r>
            <w:r>
              <w:rPr>
                <w:sz w:val="19"/>
              </w:rPr>
              <w:br/>
              <w:t>(includes amendments listed above)</w:t>
            </w:r>
          </w:p>
        </w:tc>
      </w:tr>
      <w:tr>
        <w:trPr>
          <w:cantSplit/>
        </w:trPr>
        <w:tc>
          <w:tcPr>
            <w:tcW w:w="2083" w:type="dxa"/>
          </w:tcPr>
          <w:p>
            <w:pPr>
              <w:pStyle w:val="nTable"/>
              <w:spacing w:after="40"/>
              <w:ind w:right="113"/>
              <w:rPr>
                <w:sz w:val="19"/>
              </w:rPr>
            </w:pPr>
            <w:r>
              <w:rPr>
                <w:i/>
                <w:sz w:val="19"/>
              </w:rPr>
              <w:t>Stamp Act Amendment Act 1941</w:t>
            </w:r>
          </w:p>
        </w:tc>
        <w:tc>
          <w:tcPr>
            <w:tcW w:w="1132" w:type="dxa"/>
            <w:gridSpan w:val="3"/>
          </w:tcPr>
          <w:p>
            <w:pPr>
              <w:pStyle w:val="nTable"/>
              <w:spacing w:after="40"/>
              <w:rPr>
                <w:sz w:val="19"/>
              </w:rPr>
            </w:pPr>
            <w:r>
              <w:rPr>
                <w:sz w:val="19"/>
              </w:rPr>
              <w:t>35 of 1941</w:t>
            </w:r>
          </w:p>
        </w:tc>
        <w:tc>
          <w:tcPr>
            <w:tcW w:w="1133" w:type="dxa"/>
            <w:gridSpan w:val="2"/>
          </w:tcPr>
          <w:p>
            <w:pPr>
              <w:pStyle w:val="nTable"/>
              <w:spacing w:after="40"/>
              <w:rPr>
                <w:sz w:val="19"/>
              </w:rPr>
            </w:pPr>
            <w:r>
              <w:rPr>
                <w:sz w:val="19"/>
              </w:rPr>
              <w:t>19 Dec 1941</w:t>
            </w:r>
          </w:p>
        </w:tc>
        <w:tc>
          <w:tcPr>
            <w:tcW w:w="2637" w:type="dxa"/>
            <w:gridSpan w:val="3"/>
          </w:tcPr>
          <w:p>
            <w:pPr>
              <w:pStyle w:val="nTable"/>
              <w:spacing w:after="40"/>
              <w:rPr>
                <w:sz w:val="19"/>
              </w:rPr>
            </w:pPr>
            <w:r>
              <w:rPr>
                <w:sz w:val="19"/>
              </w:rPr>
              <w:t>19 Dec 1941</w:t>
            </w:r>
          </w:p>
        </w:tc>
      </w:tr>
      <w:tr>
        <w:trPr>
          <w:cantSplit/>
        </w:trPr>
        <w:tc>
          <w:tcPr>
            <w:tcW w:w="2083" w:type="dxa"/>
          </w:tcPr>
          <w:p>
            <w:pPr>
              <w:pStyle w:val="nTable"/>
              <w:spacing w:after="40"/>
              <w:ind w:right="113"/>
              <w:rPr>
                <w:sz w:val="19"/>
              </w:rPr>
            </w:pPr>
            <w:r>
              <w:rPr>
                <w:i/>
                <w:sz w:val="19"/>
              </w:rPr>
              <w:t>Stamp Act Amendment Act 1942</w:t>
            </w:r>
          </w:p>
        </w:tc>
        <w:tc>
          <w:tcPr>
            <w:tcW w:w="1132" w:type="dxa"/>
            <w:gridSpan w:val="3"/>
          </w:tcPr>
          <w:p>
            <w:pPr>
              <w:pStyle w:val="nTable"/>
              <w:spacing w:after="40"/>
              <w:rPr>
                <w:sz w:val="19"/>
              </w:rPr>
            </w:pPr>
            <w:r>
              <w:rPr>
                <w:sz w:val="19"/>
              </w:rPr>
              <w:t>40 of 1942</w:t>
            </w:r>
          </w:p>
        </w:tc>
        <w:tc>
          <w:tcPr>
            <w:tcW w:w="1133" w:type="dxa"/>
            <w:gridSpan w:val="2"/>
          </w:tcPr>
          <w:p>
            <w:pPr>
              <w:pStyle w:val="nTable"/>
              <w:spacing w:after="40"/>
              <w:rPr>
                <w:sz w:val="19"/>
              </w:rPr>
            </w:pPr>
            <w:r>
              <w:rPr>
                <w:sz w:val="19"/>
              </w:rPr>
              <w:t>23 Dec 1942</w:t>
            </w:r>
          </w:p>
        </w:tc>
        <w:tc>
          <w:tcPr>
            <w:tcW w:w="2637" w:type="dxa"/>
            <w:gridSpan w:val="3"/>
          </w:tcPr>
          <w:p>
            <w:pPr>
              <w:pStyle w:val="nTable"/>
              <w:spacing w:after="40"/>
              <w:rPr>
                <w:sz w:val="19"/>
              </w:rPr>
            </w:pPr>
            <w:r>
              <w:rPr>
                <w:sz w:val="19"/>
              </w:rPr>
              <w:t>23 Dec 1942</w:t>
            </w:r>
          </w:p>
        </w:tc>
      </w:tr>
      <w:tr>
        <w:trPr>
          <w:cantSplit/>
        </w:trPr>
        <w:tc>
          <w:tcPr>
            <w:tcW w:w="2083" w:type="dxa"/>
          </w:tcPr>
          <w:p>
            <w:pPr>
              <w:pStyle w:val="nTable"/>
              <w:spacing w:after="40"/>
              <w:ind w:right="113"/>
              <w:rPr>
                <w:sz w:val="19"/>
              </w:rPr>
            </w:pPr>
            <w:r>
              <w:rPr>
                <w:i/>
                <w:sz w:val="19"/>
              </w:rPr>
              <w:t>Stamp Act Amendment Act 1944</w:t>
            </w:r>
          </w:p>
        </w:tc>
        <w:tc>
          <w:tcPr>
            <w:tcW w:w="1132" w:type="dxa"/>
            <w:gridSpan w:val="3"/>
          </w:tcPr>
          <w:p>
            <w:pPr>
              <w:pStyle w:val="nTable"/>
              <w:spacing w:after="40"/>
              <w:rPr>
                <w:sz w:val="19"/>
              </w:rPr>
            </w:pPr>
            <w:r>
              <w:rPr>
                <w:sz w:val="19"/>
              </w:rPr>
              <w:t>20 of 1944</w:t>
            </w:r>
          </w:p>
        </w:tc>
        <w:tc>
          <w:tcPr>
            <w:tcW w:w="1133" w:type="dxa"/>
            <w:gridSpan w:val="2"/>
          </w:tcPr>
          <w:p>
            <w:pPr>
              <w:pStyle w:val="nTable"/>
              <w:spacing w:after="40"/>
              <w:rPr>
                <w:sz w:val="19"/>
              </w:rPr>
            </w:pPr>
            <w:r>
              <w:rPr>
                <w:sz w:val="19"/>
              </w:rPr>
              <w:t>23 Dec 1944</w:t>
            </w:r>
          </w:p>
        </w:tc>
        <w:tc>
          <w:tcPr>
            <w:tcW w:w="2637" w:type="dxa"/>
            <w:gridSpan w:val="3"/>
          </w:tcPr>
          <w:p>
            <w:pPr>
              <w:pStyle w:val="nTable"/>
              <w:spacing w:after="40"/>
              <w:rPr>
                <w:sz w:val="19"/>
              </w:rPr>
            </w:pPr>
            <w:r>
              <w:rPr>
                <w:sz w:val="19"/>
              </w:rPr>
              <w:t>23 Dec 1944</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083" w:type="dxa"/>
          </w:tcPr>
          <w:p>
            <w:pPr>
              <w:pStyle w:val="nTable"/>
              <w:spacing w:after="40"/>
              <w:ind w:right="113"/>
              <w:rPr>
                <w:sz w:val="19"/>
              </w:rPr>
            </w:pPr>
            <w:r>
              <w:rPr>
                <w:i/>
                <w:sz w:val="19"/>
              </w:rPr>
              <w:t>Stamp Act Amendment Act 1950</w:t>
            </w:r>
          </w:p>
        </w:tc>
        <w:tc>
          <w:tcPr>
            <w:tcW w:w="1132" w:type="dxa"/>
            <w:gridSpan w:val="3"/>
          </w:tcPr>
          <w:p>
            <w:pPr>
              <w:pStyle w:val="nTable"/>
              <w:spacing w:after="40"/>
              <w:rPr>
                <w:sz w:val="19"/>
              </w:rPr>
            </w:pPr>
            <w:r>
              <w:rPr>
                <w:sz w:val="19"/>
              </w:rPr>
              <w:t>11 of 1950</w:t>
            </w:r>
          </w:p>
        </w:tc>
        <w:tc>
          <w:tcPr>
            <w:tcW w:w="1133" w:type="dxa"/>
            <w:gridSpan w:val="2"/>
          </w:tcPr>
          <w:p>
            <w:pPr>
              <w:pStyle w:val="nTable"/>
              <w:spacing w:after="40"/>
              <w:rPr>
                <w:sz w:val="19"/>
              </w:rPr>
            </w:pPr>
            <w:r>
              <w:rPr>
                <w:sz w:val="19"/>
              </w:rPr>
              <w:t>17 Nov 1950</w:t>
            </w:r>
          </w:p>
        </w:tc>
        <w:tc>
          <w:tcPr>
            <w:tcW w:w="2637" w:type="dxa"/>
            <w:gridSpan w:val="3"/>
          </w:tcPr>
          <w:p>
            <w:pPr>
              <w:pStyle w:val="nTable"/>
              <w:spacing w:after="40"/>
              <w:rPr>
                <w:sz w:val="19"/>
              </w:rPr>
            </w:pPr>
            <w:r>
              <w:rPr>
                <w:sz w:val="19"/>
              </w:rPr>
              <w:t>17 Nov 1950</w:t>
            </w:r>
          </w:p>
        </w:tc>
      </w:tr>
      <w:tr>
        <w:trPr>
          <w:cantSplit/>
        </w:trPr>
        <w:tc>
          <w:tcPr>
            <w:tcW w:w="2083" w:type="dxa"/>
          </w:tcPr>
          <w:p>
            <w:pPr>
              <w:pStyle w:val="nTable"/>
              <w:spacing w:after="40"/>
              <w:ind w:right="113"/>
              <w:rPr>
                <w:sz w:val="19"/>
              </w:rPr>
            </w:pPr>
            <w:r>
              <w:rPr>
                <w:i/>
                <w:sz w:val="19"/>
              </w:rPr>
              <w:t>Stamp Act Amendment Act 1954</w:t>
            </w:r>
          </w:p>
        </w:tc>
        <w:tc>
          <w:tcPr>
            <w:tcW w:w="1132" w:type="dxa"/>
            <w:gridSpan w:val="3"/>
          </w:tcPr>
          <w:p>
            <w:pPr>
              <w:pStyle w:val="nTable"/>
              <w:spacing w:after="40"/>
              <w:rPr>
                <w:sz w:val="19"/>
              </w:rPr>
            </w:pPr>
            <w:r>
              <w:rPr>
                <w:sz w:val="19"/>
              </w:rPr>
              <w:t>5 of 1954</w:t>
            </w:r>
          </w:p>
        </w:tc>
        <w:tc>
          <w:tcPr>
            <w:tcW w:w="1133" w:type="dxa"/>
            <w:gridSpan w:val="2"/>
          </w:tcPr>
          <w:p>
            <w:pPr>
              <w:pStyle w:val="nTable"/>
              <w:spacing w:after="40"/>
              <w:rPr>
                <w:sz w:val="19"/>
              </w:rPr>
            </w:pPr>
            <w:r>
              <w:rPr>
                <w:sz w:val="19"/>
              </w:rPr>
              <w:t>25 Aug 1954</w:t>
            </w:r>
          </w:p>
        </w:tc>
        <w:tc>
          <w:tcPr>
            <w:tcW w:w="2637" w:type="dxa"/>
            <w:gridSpan w:val="3"/>
          </w:tcPr>
          <w:p>
            <w:pPr>
              <w:pStyle w:val="nTable"/>
              <w:spacing w:after="40"/>
              <w:rPr>
                <w:sz w:val="19"/>
              </w:rPr>
            </w:pPr>
            <w:r>
              <w:rPr>
                <w:sz w:val="19"/>
              </w:rPr>
              <w:t>25 Aug 1954</w:t>
            </w:r>
          </w:p>
        </w:tc>
      </w:tr>
      <w:tr>
        <w:trPr>
          <w:cantSplit/>
        </w:trPr>
        <w:tc>
          <w:tcPr>
            <w:tcW w:w="2083" w:type="dxa"/>
          </w:tcPr>
          <w:p>
            <w:pPr>
              <w:pStyle w:val="nTable"/>
              <w:spacing w:after="40"/>
              <w:ind w:right="113"/>
              <w:rPr>
                <w:sz w:val="19"/>
                <w:vertAlign w:val="superscript"/>
              </w:rPr>
            </w:pPr>
            <w:r>
              <w:rPr>
                <w:i/>
                <w:sz w:val="19"/>
              </w:rPr>
              <w:t xml:space="preserve">Betting Control Act 1954 </w:t>
            </w:r>
            <w:r>
              <w:rPr>
                <w:sz w:val="19"/>
              </w:rPr>
              <w:t>s. 3(2)</w:t>
            </w:r>
          </w:p>
        </w:tc>
        <w:tc>
          <w:tcPr>
            <w:tcW w:w="1132" w:type="dxa"/>
            <w:gridSpan w:val="3"/>
          </w:tcPr>
          <w:p>
            <w:pPr>
              <w:pStyle w:val="nTable"/>
              <w:spacing w:after="40"/>
              <w:rPr>
                <w:sz w:val="19"/>
              </w:rPr>
            </w:pPr>
            <w:r>
              <w:rPr>
                <w:sz w:val="19"/>
              </w:rPr>
              <w:t>63 of 1954</w:t>
            </w:r>
          </w:p>
        </w:tc>
        <w:tc>
          <w:tcPr>
            <w:tcW w:w="1133" w:type="dxa"/>
            <w:gridSpan w:val="2"/>
          </w:tcPr>
          <w:p>
            <w:pPr>
              <w:pStyle w:val="nTable"/>
              <w:spacing w:after="40"/>
              <w:rPr>
                <w:sz w:val="19"/>
              </w:rPr>
            </w:pPr>
            <w:r>
              <w:rPr>
                <w:sz w:val="19"/>
              </w:rPr>
              <w:t>30 Dec 1954</w:t>
            </w:r>
          </w:p>
        </w:tc>
        <w:tc>
          <w:tcPr>
            <w:tcW w:w="2637"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083" w:type="dxa"/>
          </w:tcPr>
          <w:p>
            <w:pPr>
              <w:pStyle w:val="nTable"/>
              <w:spacing w:after="40"/>
              <w:ind w:right="113"/>
              <w:rPr>
                <w:sz w:val="19"/>
              </w:rPr>
            </w:pPr>
            <w:r>
              <w:rPr>
                <w:i/>
                <w:sz w:val="19"/>
              </w:rPr>
              <w:t>Stamp Act Amendment Act 1957</w:t>
            </w:r>
          </w:p>
        </w:tc>
        <w:tc>
          <w:tcPr>
            <w:tcW w:w="1132" w:type="dxa"/>
            <w:gridSpan w:val="3"/>
          </w:tcPr>
          <w:p>
            <w:pPr>
              <w:pStyle w:val="nTable"/>
              <w:spacing w:after="40"/>
              <w:rPr>
                <w:sz w:val="19"/>
              </w:rPr>
            </w:pPr>
            <w:r>
              <w:rPr>
                <w:sz w:val="19"/>
              </w:rPr>
              <w:t>70 of 1957</w:t>
            </w:r>
          </w:p>
        </w:tc>
        <w:tc>
          <w:tcPr>
            <w:tcW w:w="1133" w:type="dxa"/>
            <w:gridSpan w:val="2"/>
          </w:tcPr>
          <w:p>
            <w:pPr>
              <w:pStyle w:val="nTable"/>
              <w:spacing w:after="40"/>
              <w:rPr>
                <w:sz w:val="19"/>
              </w:rPr>
            </w:pPr>
            <w:r>
              <w:rPr>
                <w:sz w:val="19"/>
              </w:rPr>
              <w:t>6 Dec 1957</w:t>
            </w:r>
          </w:p>
        </w:tc>
        <w:tc>
          <w:tcPr>
            <w:tcW w:w="2637"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083" w:type="dxa"/>
          </w:tcPr>
          <w:p>
            <w:pPr>
              <w:pStyle w:val="nTable"/>
              <w:spacing w:after="40"/>
              <w:ind w:right="113"/>
              <w:rPr>
                <w:sz w:val="19"/>
              </w:rPr>
            </w:pPr>
            <w:r>
              <w:rPr>
                <w:i/>
                <w:sz w:val="19"/>
              </w:rPr>
              <w:t>Stamp Act Amendment Act (No. 2) 1959</w:t>
            </w:r>
          </w:p>
        </w:tc>
        <w:tc>
          <w:tcPr>
            <w:tcW w:w="1132" w:type="dxa"/>
            <w:gridSpan w:val="3"/>
          </w:tcPr>
          <w:p>
            <w:pPr>
              <w:pStyle w:val="nTable"/>
              <w:spacing w:after="40"/>
              <w:rPr>
                <w:sz w:val="19"/>
              </w:rPr>
            </w:pPr>
            <w:r>
              <w:rPr>
                <w:sz w:val="19"/>
              </w:rPr>
              <w:t>64 of 1959</w:t>
            </w:r>
          </w:p>
        </w:tc>
        <w:tc>
          <w:tcPr>
            <w:tcW w:w="1133" w:type="dxa"/>
            <w:gridSpan w:val="2"/>
          </w:tcPr>
          <w:p>
            <w:pPr>
              <w:pStyle w:val="nTable"/>
              <w:spacing w:after="40"/>
              <w:rPr>
                <w:sz w:val="19"/>
              </w:rPr>
            </w:pPr>
            <w:r>
              <w:rPr>
                <w:sz w:val="19"/>
              </w:rPr>
              <w:t>10 Dec 1959</w:t>
            </w:r>
          </w:p>
        </w:tc>
        <w:tc>
          <w:tcPr>
            <w:tcW w:w="2637"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264" w:type="dxa"/>
            <w:gridSpan w:val="2"/>
          </w:tcPr>
          <w:p>
            <w:pPr>
              <w:pStyle w:val="nTable"/>
              <w:spacing w:after="40"/>
              <w:ind w:right="113"/>
              <w:rPr>
                <w:sz w:val="19"/>
              </w:rPr>
            </w:pPr>
            <w:r>
              <w:rPr>
                <w:i/>
                <w:sz w:val="19"/>
              </w:rPr>
              <w:t>Stamp Act Amendment Act 1959</w:t>
            </w:r>
          </w:p>
        </w:tc>
        <w:tc>
          <w:tcPr>
            <w:tcW w:w="1133" w:type="dxa"/>
            <w:gridSpan w:val="3"/>
          </w:tcPr>
          <w:p>
            <w:pPr>
              <w:pStyle w:val="nTable"/>
              <w:spacing w:after="40"/>
              <w:rPr>
                <w:sz w:val="19"/>
              </w:rPr>
            </w:pPr>
            <w:r>
              <w:rPr>
                <w:sz w:val="19"/>
              </w:rPr>
              <w:t>72 of 1959</w:t>
            </w:r>
          </w:p>
        </w:tc>
        <w:tc>
          <w:tcPr>
            <w:tcW w:w="1136" w:type="dxa"/>
            <w:gridSpan w:val="2"/>
          </w:tcPr>
          <w:p>
            <w:pPr>
              <w:pStyle w:val="nTable"/>
              <w:spacing w:after="40"/>
              <w:rPr>
                <w:sz w:val="19"/>
              </w:rPr>
            </w:pPr>
            <w:r>
              <w:rPr>
                <w:sz w:val="19"/>
              </w:rPr>
              <w:t>14 Dec 1959</w:t>
            </w:r>
          </w:p>
        </w:tc>
        <w:tc>
          <w:tcPr>
            <w:tcW w:w="2452" w:type="dxa"/>
            <w:gridSpan w:val="2"/>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264" w:type="dxa"/>
            <w:gridSpan w:val="2"/>
          </w:tcPr>
          <w:p>
            <w:pPr>
              <w:pStyle w:val="nTable"/>
              <w:spacing w:after="40"/>
              <w:ind w:right="113"/>
              <w:rPr>
                <w:sz w:val="19"/>
              </w:rPr>
            </w:pPr>
            <w:r>
              <w:rPr>
                <w:i/>
                <w:sz w:val="19"/>
              </w:rPr>
              <w:t>Stamp Act Amendment Act 1960</w:t>
            </w:r>
          </w:p>
        </w:tc>
        <w:tc>
          <w:tcPr>
            <w:tcW w:w="1133" w:type="dxa"/>
            <w:gridSpan w:val="3"/>
          </w:tcPr>
          <w:p>
            <w:pPr>
              <w:pStyle w:val="nTable"/>
              <w:spacing w:after="40"/>
              <w:rPr>
                <w:sz w:val="19"/>
              </w:rPr>
            </w:pPr>
            <w:r>
              <w:rPr>
                <w:sz w:val="19"/>
              </w:rPr>
              <w:t>22 of 1960</w:t>
            </w:r>
          </w:p>
        </w:tc>
        <w:tc>
          <w:tcPr>
            <w:tcW w:w="1136" w:type="dxa"/>
            <w:gridSpan w:val="2"/>
          </w:tcPr>
          <w:p>
            <w:pPr>
              <w:pStyle w:val="nTable"/>
              <w:spacing w:after="40"/>
              <w:rPr>
                <w:sz w:val="19"/>
              </w:rPr>
            </w:pPr>
            <w:r>
              <w:rPr>
                <w:sz w:val="19"/>
              </w:rPr>
              <w:t>11 Oct 1960</w:t>
            </w:r>
          </w:p>
        </w:tc>
        <w:tc>
          <w:tcPr>
            <w:tcW w:w="2452" w:type="dxa"/>
            <w:gridSpan w:val="2"/>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264" w:type="dxa"/>
            <w:gridSpan w:val="2"/>
          </w:tcPr>
          <w:p>
            <w:pPr>
              <w:pStyle w:val="nTable"/>
              <w:spacing w:after="40"/>
              <w:ind w:right="113"/>
              <w:rPr>
                <w:sz w:val="19"/>
              </w:rPr>
            </w:pPr>
            <w:r>
              <w:rPr>
                <w:i/>
                <w:sz w:val="19"/>
              </w:rPr>
              <w:t>Stamp Act Amendment Act (No. 2) 1960</w:t>
            </w:r>
          </w:p>
        </w:tc>
        <w:tc>
          <w:tcPr>
            <w:tcW w:w="1133" w:type="dxa"/>
            <w:gridSpan w:val="3"/>
          </w:tcPr>
          <w:p>
            <w:pPr>
              <w:pStyle w:val="nTable"/>
              <w:spacing w:after="40"/>
              <w:rPr>
                <w:sz w:val="19"/>
              </w:rPr>
            </w:pPr>
            <w:r>
              <w:rPr>
                <w:sz w:val="19"/>
              </w:rPr>
              <w:t>41 of 1960</w:t>
            </w:r>
          </w:p>
        </w:tc>
        <w:tc>
          <w:tcPr>
            <w:tcW w:w="1136" w:type="dxa"/>
            <w:gridSpan w:val="2"/>
          </w:tcPr>
          <w:p>
            <w:pPr>
              <w:pStyle w:val="nTable"/>
              <w:spacing w:after="40"/>
              <w:rPr>
                <w:sz w:val="19"/>
              </w:rPr>
            </w:pPr>
            <w:r>
              <w:rPr>
                <w:sz w:val="19"/>
              </w:rPr>
              <w:t>3 Nov 1960</w:t>
            </w:r>
          </w:p>
        </w:tc>
        <w:tc>
          <w:tcPr>
            <w:tcW w:w="2452" w:type="dxa"/>
            <w:gridSpan w:val="2"/>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264" w:type="dxa"/>
            <w:gridSpan w:val="2"/>
          </w:tcPr>
          <w:p>
            <w:pPr>
              <w:pStyle w:val="nTable"/>
              <w:spacing w:after="40"/>
              <w:ind w:right="113"/>
              <w:rPr>
                <w:sz w:val="19"/>
              </w:rPr>
            </w:pPr>
            <w:r>
              <w:rPr>
                <w:i/>
                <w:sz w:val="19"/>
              </w:rPr>
              <w:t>Stamp Act Amendment Act 1961</w:t>
            </w:r>
          </w:p>
        </w:tc>
        <w:tc>
          <w:tcPr>
            <w:tcW w:w="1133" w:type="dxa"/>
            <w:gridSpan w:val="3"/>
          </w:tcPr>
          <w:p>
            <w:pPr>
              <w:pStyle w:val="nTable"/>
              <w:spacing w:after="40"/>
              <w:rPr>
                <w:sz w:val="19"/>
              </w:rPr>
            </w:pPr>
            <w:r>
              <w:rPr>
                <w:sz w:val="19"/>
              </w:rPr>
              <w:t>21 of 1961</w:t>
            </w:r>
          </w:p>
        </w:tc>
        <w:tc>
          <w:tcPr>
            <w:tcW w:w="1136" w:type="dxa"/>
            <w:gridSpan w:val="2"/>
          </w:tcPr>
          <w:p>
            <w:pPr>
              <w:pStyle w:val="nTable"/>
              <w:spacing w:after="40"/>
              <w:rPr>
                <w:sz w:val="19"/>
              </w:rPr>
            </w:pPr>
            <w:r>
              <w:rPr>
                <w:sz w:val="19"/>
              </w:rPr>
              <w:t>30 Oct 1961</w:t>
            </w:r>
          </w:p>
        </w:tc>
        <w:tc>
          <w:tcPr>
            <w:tcW w:w="2452" w:type="dxa"/>
            <w:gridSpan w:val="2"/>
          </w:tcPr>
          <w:p>
            <w:pPr>
              <w:pStyle w:val="nTable"/>
              <w:spacing w:after="40"/>
              <w:rPr>
                <w:sz w:val="19"/>
              </w:rPr>
            </w:pPr>
            <w:r>
              <w:rPr>
                <w:sz w:val="19"/>
              </w:rPr>
              <w:t>30 Oct 1961</w:t>
            </w:r>
          </w:p>
        </w:tc>
      </w:tr>
      <w:tr>
        <w:trPr>
          <w:cantSplit/>
        </w:trPr>
        <w:tc>
          <w:tcPr>
            <w:tcW w:w="2264" w:type="dxa"/>
            <w:gridSpan w:val="2"/>
          </w:tcPr>
          <w:p>
            <w:pPr>
              <w:pStyle w:val="nTable"/>
              <w:spacing w:after="40"/>
              <w:ind w:right="113"/>
              <w:rPr>
                <w:sz w:val="19"/>
              </w:rPr>
            </w:pPr>
            <w:r>
              <w:rPr>
                <w:i/>
                <w:sz w:val="19"/>
              </w:rPr>
              <w:t>Stamp Act Amendment Act 1962</w:t>
            </w:r>
          </w:p>
        </w:tc>
        <w:tc>
          <w:tcPr>
            <w:tcW w:w="1133" w:type="dxa"/>
            <w:gridSpan w:val="3"/>
          </w:tcPr>
          <w:p>
            <w:pPr>
              <w:pStyle w:val="nTable"/>
              <w:spacing w:after="40"/>
              <w:rPr>
                <w:sz w:val="19"/>
              </w:rPr>
            </w:pPr>
            <w:r>
              <w:rPr>
                <w:sz w:val="19"/>
              </w:rPr>
              <w:t>20 of 1962</w:t>
            </w:r>
          </w:p>
        </w:tc>
        <w:tc>
          <w:tcPr>
            <w:tcW w:w="1136" w:type="dxa"/>
            <w:gridSpan w:val="2"/>
          </w:tcPr>
          <w:p>
            <w:pPr>
              <w:pStyle w:val="nTable"/>
              <w:spacing w:after="40"/>
              <w:rPr>
                <w:sz w:val="19"/>
              </w:rPr>
            </w:pPr>
            <w:r>
              <w:rPr>
                <w:sz w:val="19"/>
              </w:rPr>
              <w:t>1 Oct 1962</w:t>
            </w:r>
          </w:p>
        </w:tc>
        <w:tc>
          <w:tcPr>
            <w:tcW w:w="2452" w:type="dxa"/>
            <w:gridSpan w:val="2"/>
          </w:tcPr>
          <w:p>
            <w:pPr>
              <w:pStyle w:val="nTable"/>
              <w:spacing w:after="40"/>
              <w:rPr>
                <w:sz w:val="19"/>
              </w:rPr>
            </w:pPr>
            <w:r>
              <w:rPr>
                <w:sz w:val="19"/>
              </w:rPr>
              <w:t>1 Oct 1962</w:t>
            </w:r>
          </w:p>
        </w:tc>
      </w:tr>
      <w:tr>
        <w:trPr>
          <w:cantSplit/>
        </w:trPr>
        <w:tc>
          <w:tcPr>
            <w:tcW w:w="2264" w:type="dxa"/>
            <w:gridSpan w:val="2"/>
          </w:tcPr>
          <w:p>
            <w:pPr>
              <w:pStyle w:val="nTable"/>
              <w:spacing w:after="40"/>
              <w:ind w:right="113"/>
              <w:rPr>
                <w:sz w:val="19"/>
              </w:rPr>
            </w:pPr>
            <w:r>
              <w:rPr>
                <w:i/>
                <w:sz w:val="19"/>
              </w:rPr>
              <w:t>Stamp Act Amendment Act (No. 2) 1962</w:t>
            </w:r>
          </w:p>
        </w:tc>
        <w:tc>
          <w:tcPr>
            <w:tcW w:w="1133" w:type="dxa"/>
            <w:gridSpan w:val="3"/>
          </w:tcPr>
          <w:p>
            <w:pPr>
              <w:pStyle w:val="nTable"/>
              <w:spacing w:after="40"/>
              <w:rPr>
                <w:sz w:val="19"/>
              </w:rPr>
            </w:pPr>
            <w:r>
              <w:rPr>
                <w:sz w:val="19"/>
              </w:rPr>
              <w:t>60 of 1962</w:t>
            </w:r>
          </w:p>
        </w:tc>
        <w:tc>
          <w:tcPr>
            <w:tcW w:w="1136" w:type="dxa"/>
            <w:gridSpan w:val="2"/>
          </w:tcPr>
          <w:p>
            <w:pPr>
              <w:pStyle w:val="nTable"/>
              <w:spacing w:after="40"/>
              <w:rPr>
                <w:sz w:val="19"/>
              </w:rPr>
            </w:pPr>
            <w:r>
              <w:rPr>
                <w:sz w:val="19"/>
              </w:rPr>
              <w:t>30 Nov 1962</w:t>
            </w:r>
          </w:p>
        </w:tc>
        <w:tc>
          <w:tcPr>
            <w:tcW w:w="2452" w:type="dxa"/>
            <w:gridSpan w:val="2"/>
          </w:tcPr>
          <w:p>
            <w:pPr>
              <w:pStyle w:val="nTable"/>
              <w:spacing w:after="40"/>
              <w:rPr>
                <w:sz w:val="19"/>
              </w:rPr>
            </w:pPr>
            <w:r>
              <w:rPr>
                <w:sz w:val="19"/>
              </w:rPr>
              <w:t>1 Jan 1963 (see s. 2)</w:t>
            </w:r>
          </w:p>
        </w:tc>
      </w:tr>
      <w:tr>
        <w:trPr>
          <w:cantSplit/>
        </w:trPr>
        <w:tc>
          <w:tcPr>
            <w:tcW w:w="2264" w:type="dxa"/>
            <w:gridSpan w:val="2"/>
          </w:tcPr>
          <w:p>
            <w:pPr>
              <w:pStyle w:val="nTable"/>
              <w:spacing w:after="40"/>
              <w:ind w:right="113"/>
              <w:rPr>
                <w:sz w:val="19"/>
              </w:rPr>
            </w:pPr>
            <w:r>
              <w:rPr>
                <w:i/>
                <w:sz w:val="19"/>
              </w:rPr>
              <w:t>Stamp Act Amendment Act (No. 3) 1962</w:t>
            </w:r>
          </w:p>
        </w:tc>
        <w:tc>
          <w:tcPr>
            <w:tcW w:w="1133" w:type="dxa"/>
            <w:gridSpan w:val="3"/>
          </w:tcPr>
          <w:p>
            <w:pPr>
              <w:pStyle w:val="nTable"/>
              <w:spacing w:after="40"/>
              <w:rPr>
                <w:sz w:val="19"/>
              </w:rPr>
            </w:pPr>
            <w:r>
              <w:rPr>
                <w:sz w:val="19"/>
              </w:rPr>
              <w:t>69 of 1962</w:t>
            </w:r>
          </w:p>
        </w:tc>
        <w:tc>
          <w:tcPr>
            <w:tcW w:w="1136" w:type="dxa"/>
            <w:gridSpan w:val="2"/>
          </w:tcPr>
          <w:p>
            <w:pPr>
              <w:pStyle w:val="nTable"/>
              <w:spacing w:after="40"/>
              <w:rPr>
                <w:sz w:val="19"/>
              </w:rPr>
            </w:pPr>
            <w:r>
              <w:rPr>
                <w:sz w:val="19"/>
              </w:rPr>
              <w:t>30 Nov 1962</w:t>
            </w:r>
          </w:p>
        </w:tc>
        <w:tc>
          <w:tcPr>
            <w:tcW w:w="2452" w:type="dxa"/>
            <w:gridSpan w:val="2"/>
          </w:tcPr>
          <w:p>
            <w:pPr>
              <w:pStyle w:val="nTable"/>
              <w:spacing w:after="40"/>
              <w:rPr>
                <w:sz w:val="19"/>
              </w:rPr>
            </w:pPr>
            <w:r>
              <w:rPr>
                <w:sz w:val="19"/>
              </w:rPr>
              <w:t>30 Nov 1962</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264" w:type="dxa"/>
            <w:gridSpan w:val="2"/>
          </w:tcPr>
          <w:p>
            <w:pPr>
              <w:pStyle w:val="nTable"/>
              <w:spacing w:after="40"/>
              <w:ind w:right="113"/>
              <w:rPr>
                <w:sz w:val="19"/>
              </w:rPr>
            </w:pPr>
            <w:r>
              <w:rPr>
                <w:i/>
                <w:sz w:val="19"/>
              </w:rPr>
              <w:t>Stamp Act Amendment Act 1963</w:t>
            </w:r>
          </w:p>
        </w:tc>
        <w:tc>
          <w:tcPr>
            <w:tcW w:w="1133" w:type="dxa"/>
            <w:gridSpan w:val="3"/>
          </w:tcPr>
          <w:p>
            <w:pPr>
              <w:pStyle w:val="nTable"/>
              <w:spacing w:after="40"/>
              <w:rPr>
                <w:sz w:val="19"/>
              </w:rPr>
            </w:pPr>
            <w:r>
              <w:rPr>
                <w:sz w:val="19"/>
              </w:rPr>
              <w:t>7 of 1963</w:t>
            </w:r>
          </w:p>
        </w:tc>
        <w:tc>
          <w:tcPr>
            <w:tcW w:w="1136" w:type="dxa"/>
            <w:gridSpan w:val="2"/>
          </w:tcPr>
          <w:p>
            <w:pPr>
              <w:pStyle w:val="nTable"/>
              <w:spacing w:after="40"/>
              <w:rPr>
                <w:sz w:val="19"/>
              </w:rPr>
            </w:pPr>
            <w:r>
              <w:rPr>
                <w:sz w:val="19"/>
              </w:rPr>
              <w:t>15 Oct 1963</w:t>
            </w:r>
          </w:p>
        </w:tc>
        <w:tc>
          <w:tcPr>
            <w:tcW w:w="2452" w:type="dxa"/>
            <w:gridSpan w:val="2"/>
          </w:tcPr>
          <w:p>
            <w:pPr>
              <w:pStyle w:val="nTable"/>
              <w:spacing w:after="40"/>
              <w:rPr>
                <w:sz w:val="19"/>
              </w:rPr>
            </w:pPr>
            <w:r>
              <w:rPr>
                <w:sz w:val="19"/>
              </w:rPr>
              <w:t>15 Oct 1963</w:t>
            </w:r>
          </w:p>
        </w:tc>
      </w:tr>
      <w:tr>
        <w:trPr>
          <w:cantSplit/>
        </w:trPr>
        <w:tc>
          <w:tcPr>
            <w:tcW w:w="2264" w:type="dxa"/>
            <w:gridSpan w:val="2"/>
          </w:tcPr>
          <w:p>
            <w:pPr>
              <w:pStyle w:val="nTable"/>
              <w:spacing w:after="40"/>
              <w:ind w:right="113"/>
              <w:rPr>
                <w:sz w:val="19"/>
              </w:rPr>
            </w:pPr>
            <w:r>
              <w:rPr>
                <w:i/>
                <w:sz w:val="19"/>
              </w:rPr>
              <w:t>Stamp Act Amendment Act (No. 2) 1963</w:t>
            </w:r>
          </w:p>
        </w:tc>
        <w:tc>
          <w:tcPr>
            <w:tcW w:w="1133" w:type="dxa"/>
            <w:gridSpan w:val="3"/>
          </w:tcPr>
          <w:p>
            <w:pPr>
              <w:pStyle w:val="nTable"/>
              <w:spacing w:after="40"/>
              <w:rPr>
                <w:sz w:val="19"/>
              </w:rPr>
            </w:pPr>
            <w:r>
              <w:rPr>
                <w:sz w:val="19"/>
              </w:rPr>
              <w:t>37 of 1963</w:t>
            </w:r>
          </w:p>
        </w:tc>
        <w:tc>
          <w:tcPr>
            <w:tcW w:w="1136" w:type="dxa"/>
            <w:gridSpan w:val="2"/>
          </w:tcPr>
          <w:p>
            <w:pPr>
              <w:pStyle w:val="nTable"/>
              <w:spacing w:after="40"/>
              <w:rPr>
                <w:sz w:val="19"/>
              </w:rPr>
            </w:pPr>
            <w:r>
              <w:rPr>
                <w:sz w:val="19"/>
              </w:rPr>
              <w:t>19 Nov 1963</w:t>
            </w:r>
          </w:p>
        </w:tc>
        <w:tc>
          <w:tcPr>
            <w:tcW w:w="2452" w:type="dxa"/>
            <w:gridSpan w:val="2"/>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264" w:type="dxa"/>
            <w:gridSpan w:val="2"/>
          </w:tcPr>
          <w:p>
            <w:pPr>
              <w:pStyle w:val="nTable"/>
              <w:spacing w:after="40"/>
              <w:ind w:right="113"/>
              <w:rPr>
                <w:sz w:val="19"/>
              </w:rPr>
            </w:pPr>
            <w:r>
              <w:rPr>
                <w:i/>
                <w:sz w:val="19"/>
              </w:rPr>
              <w:t>Stamp Act Amendment Act (No. 3) 1963</w:t>
            </w:r>
          </w:p>
        </w:tc>
        <w:tc>
          <w:tcPr>
            <w:tcW w:w="1133" w:type="dxa"/>
            <w:gridSpan w:val="3"/>
          </w:tcPr>
          <w:p>
            <w:pPr>
              <w:pStyle w:val="nTable"/>
              <w:spacing w:after="40"/>
              <w:rPr>
                <w:sz w:val="19"/>
              </w:rPr>
            </w:pPr>
            <w:r>
              <w:rPr>
                <w:sz w:val="19"/>
              </w:rPr>
              <w:t>57 of 1963</w:t>
            </w:r>
          </w:p>
        </w:tc>
        <w:tc>
          <w:tcPr>
            <w:tcW w:w="1136" w:type="dxa"/>
            <w:gridSpan w:val="2"/>
          </w:tcPr>
          <w:p>
            <w:pPr>
              <w:pStyle w:val="nTable"/>
              <w:spacing w:after="40"/>
              <w:rPr>
                <w:sz w:val="19"/>
              </w:rPr>
            </w:pPr>
            <w:r>
              <w:rPr>
                <w:sz w:val="19"/>
              </w:rPr>
              <w:t>17 Dec 1963</w:t>
            </w:r>
          </w:p>
        </w:tc>
        <w:tc>
          <w:tcPr>
            <w:tcW w:w="2452" w:type="dxa"/>
            <w:gridSpan w:val="2"/>
          </w:tcPr>
          <w:p>
            <w:pPr>
              <w:pStyle w:val="nTable"/>
              <w:spacing w:after="40"/>
              <w:rPr>
                <w:sz w:val="19"/>
              </w:rPr>
            </w:pPr>
            <w:r>
              <w:rPr>
                <w:sz w:val="19"/>
              </w:rPr>
              <w:t>17 Dec 1963</w:t>
            </w:r>
          </w:p>
        </w:tc>
      </w:tr>
      <w:tr>
        <w:trPr>
          <w:cantSplit/>
        </w:trPr>
        <w:tc>
          <w:tcPr>
            <w:tcW w:w="2264" w:type="dxa"/>
            <w:gridSpan w:val="2"/>
          </w:tcPr>
          <w:p>
            <w:pPr>
              <w:pStyle w:val="nTable"/>
              <w:spacing w:after="40"/>
              <w:ind w:right="113"/>
              <w:rPr>
                <w:sz w:val="19"/>
              </w:rPr>
            </w:pPr>
            <w:r>
              <w:rPr>
                <w:i/>
                <w:sz w:val="19"/>
              </w:rPr>
              <w:t>Stamp Act Amendment Act (No. 4) 1963</w:t>
            </w:r>
          </w:p>
        </w:tc>
        <w:tc>
          <w:tcPr>
            <w:tcW w:w="1133" w:type="dxa"/>
            <w:gridSpan w:val="3"/>
          </w:tcPr>
          <w:p>
            <w:pPr>
              <w:pStyle w:val="nTable"/>
              <w:spacing w:after="40"/>
              <w:rPr>
                <w:sz w:val="19"/>
              </w:rPr>
            </w:pPr>
            <w:r>
              <w:rPr>
                <w:sz w:val="19"/>
              </w:rPr>
              <w:t>58 of 1963</w:t>
            </w:r>
          </w:p>
        </w:tc>
        <w:tc>
          <w:tcPr>
            <w:tcW w:w="1136" w:type="dxa"/>
            <w:gridSpan w:val="2"/>
          </w:tcPr>
          <w:p>
            <w:pPr>
              <w:pStyle w:val="nTable"/>
              <w:spacing w:after="40"/>
              <w:rPr>
                <w:sz w:val="19"/>
              </w:rPr>
            </w:pPr>
            <w:r>
              <w:rPr>
                <w:sz w:val="19"/>
              </w:rPr>
              <w:t>17 Dec 1963</w:t>
            </w:r>
          </w:p>
        </w:tc>
        <w:tc>
          <w:tcPr>
            <w:tcW w:w="2452" w:type="dxa"/>
            <w:gridSpan w:val="2"/>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4" w:type="dxa"/>
            <w:gridSpan w:val="2"/>
          </w:tcPr>
          <w:p>
            <w:pPr>
              <w:pStyle w:val="nTable"/>
              <w:spacing w:after="40"/>
              <w:ind w:right="113"/>
              <w:rPr>
                <w:sz w:val="19"/>
              </w:rPr>
            </w:pPr>
            <w:r>
              <w:rPr>
                <w:i/>
                <w:sz w:val="19"/>
              </w:rPr>
              <w:t>Stamp Act Amendment Act 1965</w:t>
            </w:r>
          </w:p>
        </w:tc>
        <w:tc>
          <w:tcPr>
            <w:tcW w:w="1133" w:type="dxa"/>
            <w:gridSpan w:val="3"/>
          </w:tcPr>
          <w:p>
            <w:pPr>
              <w:pStyle w:val="nTable"/>
              <w:spacing w:after="40"/>
              <w:rPr>
                <w:sz w:val="19"/>
              </w:rPr>
            </w:pPr>
            <w:r>
              <w:rPr>
                <w:sz w:val="19"/>
              </w:rPr>
              <w:t>72 of 1965</w:t>
            </w:r>
          </w:p>
        </w:tc>
        <w:tc>
          <w:tcPr>
            <w:tcW w:w="1136" w:type="dxa"/>
            <w:gridSpan w:val="2"/>
          </w:tcPr>
          <w:p>
            <w:pPr>
              <w:pStyle w:val="nTable"/>
              <w:spacing w:after="40"/>
              <w:rPr>
                <w:sz w:val="19"/>
              </w:rPr>
            </w:pPr>
            <w:r>
              <w:rPr>
                <w:sz w:val="19"/>
              </w:rPr>
              <w:t>25 Nov 1965</w:t>
            </w:r>
          </w:p>
        </w:tc>
        <w:tc>
          <w:tcPr>
            <w:tcW w:w="2452" w:type="dxa"/>
            <w:gridSpan w:val="2"/>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264" w:type="dxa"/>
            <w:gridSpan w:val="2"/>
          </w:tcPr>
          <w:p>
            <w:pPr>
              <w:pStyle w:val="nTable"/>
              <w:spacing w:after="40"/>
              <w:ind w:right="113"/>
              <w:rPr>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6" w:type="dxa"/>
            <w:gridSpan w:val="2"/>
          </w:tcPr>
          <w:p>
            <w:pPr>
              <w:pStyle w:val="nTable"/>
              <w:spacing w:after="40"/>
              <w:rPr>
                <w:sz w:val="19"/>
              </w:rPr>
            </w:pPr>
            <w:r>
              <w:rPr>
                <w:sz w:val="19"/>
              </w:rPr>
              <w:t>21 Dec 1965</w:t>
            </w:r>
          </w:p>
        </w:tc>
        <w:tc>
          <w:tcPr>
            <w:tcW w:w="2452" w:type="dxa"/>
            <w:gridSpan w:val="2"/>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264" w:type="dxa"/>
            <w:gridSpan w:val="2"/>
          </w:tcPr>
          <w:p>
            <w:pPr>
              <w:pStyle w:val="nTable"/>
              <w:spacing w:after="40"/>
              <w:ind w:right="113"/>
              <w:rPr>
                <w:sz w:val="19"/>
              </w:rPr>
            </w:pPr>
            <w:r>
              <w:rPr>
                <w:i/>
                <w:sz w:val="19"/>
              </w:rPr>
              <w:t>Stamp Act Amendment Act 1966</w:t>
            </w:r>
          </w:p>
        </w:tc>
        <w:tc>
          <w:tcPr>
            <w:tcW w:w="1133" w:type="dxa"/>
            <w:gridSpan w:val="3"/>
          </w:tcPr>
          <w:p>
            <w:pPr>
              <w:pStyle w:val="nTable"/>
              <w:spacing w:after="40"/>
              <w:rPr>
                <w:sz w:val="19"/>
              </w:rPr>
            </w:pPr>
            <w:r>
              <w:rPr>
                <w:sz w:val="19"/>
              </w:rPr>
              <w:t>67 of 1966</w:t>
            </w:r>
          </w:p>
        </w:tc>
        <w:tc>
          <w:tcPr>
            <w:tcW w:w="1136" w:type="dxa"/>
            <w:gridSpan w:val="2"/>
          </w:tcPr>
          <w:p>
            <w:pPr>
              <w:pStyle w:val="nTable"/>
              <w:spacing w:after="40"/>
              <w:rPr>
                <w:sz w:val="19"/>
              </w:rPr>
            </w:pPr>
            <w:r>
              <w:rPr>
                <w:sz w:val="19"/>
              </w:rPr>
              <w:t>12 Dec 1966</w:t>
            </w:r>
          </w:p>
        </w:tc>
        <w:tc>
          <w:tcPr>
            <w:tcW w:w="2452" w:type="dxa"/>
            <w:gridSpan w:val="2"/>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264" w:type="dxa"/>
            <w:gridSpan w:val="2"/>
          </w:tcPr>
          <w:p>
            <w:pPr>
              <w:pStyle w:val="nTable"/>
              <w:spacing w:after="40"/>
              <w:ind w:right="113"/>
              <w:rPr>
                <w:sz w:val="19"/>
              </w:rPr>
            </w:pPr>
            <w:r>
              <w:rPr>
                <w:i/>
                <w:sz w:val="19"/>
              </w:rPr>
              <w:t>Stamp Act Amendment Act (No. 2) 1966</w:t>
            </w:r>
          </w:p>
        </w:tc>
        <w:tc>
          <w:tcPr>
            <w:tcW w:w="1133" w:type="dxa"/>
            <w:gridSpan w:val="3"/>
          </w:tcPr>
          <w:p>
            <w:pPr>
              <w:pStyle w:val="nTable"/>
              <w:spacing w:after="40"/>
              <w:rPr>
                <w:sz w:val="19"/>
              </w:rPr>
            </w:pPr>
            <w:r>
              <w:rPr>
                <w:sz w:val="19"/>
              </w:rPr>
              <w:t>90 of 1966</w:t>
            </w:r>
          </w:p>
        </w:tc>
        <w:tc>
          <w:tcPr>
            <w:tcW w:w="1136" w:type="dxa"/>
            <w:gridSpan w:val="2"/>
          </w:tcPr>
          <w:p>
            <w:pPr>
              <w:pStyle w:val="nTable"/>
              <w:spacing w:after="40"/>
              <w:rPr>
                <w:sz w:val="19"/>
              </w:rPr>
            </w:pPr>
            <w:r>
              <w:rPr>
                <w:sz w:val="19"/>
              </w:rPr>
              <w:t>12 Dec 1966</w:t>
            </w:r>
          </w:p>
        </w:tc>
        <w:tc>
          <w:tcPr>
            <w:tcW w:w="2452" w:type="dxa"/>
            <w:gridSpan w:val="2"/>
          </w:tcPr>
          <w:p>
            <w:pPr>
              <w:pStyle w:val="nTable"/>
              <w:spacing w:after="40"/>
              <w:rPr>
                <w:sz w:val="19"/>
              </w:rPr>
            </w:pPr>
            <w:r>
              <w:rPr>
                <w:sz w:val="19"/>
              </w:rPr>
              <w:t>1 Jan 1967 (see s. 2)</w:t>
            </w:r>
          </w:p>
        </w:tc>
      </w:tr>
      <w:tr>
        <w:trPr>
          <w:cantSplit/>
        </w:trPr>
        <w:tc>
          <w:tcPr>
            <w:tcW w:w="2264" w:type="dxa"/>
            <w:gridSpan w:val="2"/>
          </w:tcPr>
          <w:p>
            <w:pPr>
              <w:pStyle w:val="nTable"/>
              <w:spacing w:after="40"/>
              <w:ind w:right="113"/>
              <w:rPr>
                <w:sz w:val="19"/>
              </w:rPr>
            </w:pPr>
            <w:r>
              <w:rPr>
                <w:i/>
                <w:sz w:val="19"/>
              </w:rPr>
              <w:t>Stamp Act Amendment Act (No. 3) 1966</w:t>
            </w:r>
          </w:p>
        </w:tc>
        <w:tc>
          <w:tcPr>
            <w:tcW w:w="1133" w:type="dxa"/>
            <w:gridSpan w:val="3"/>
          </w:tcPr>
          <w:p>
            <w:pPr>
              <w:pStyle w:val="nTable"/>
              <w:spacing w:after="40"/>
              <w:rPr>
                <w:sz w:val="19"/>
              </w:rPr>
            </w:pPr>
            <w:r>
              <w:rPr>
                <w:sz w:val="19"/>
              </w:rPr>
              <w:t>93 of 1966</w:t>
            </w:r>
          </w:p>
        </w:tc>
        <w:tc>
          <w:tcPr>
            <w:tcW w:w="1136" w:type="dxa"/>
            <w:gridSpan w:val="2"/>
          </w:tcPr>
          <w:p>
            <w:pPr>
              <w:pStyle w:val="nTable"/>
              <w:spacing w:after="40"/>
              <w:rPr>
                <w:sz w:val="19"/>
              </w:rPr>
            </w:pPr>
            <w:r>
              <w:rPr>
                <w:sz w:val="19"/>
              </w:rPr>
              <w:t>12 Dec 1966</w:t>
            </w:r>
          </w:p>
        </w:tc>
        <w:tc>
          <w:tcPr>
            <w:tcW w:w="2452" w:type="dxa"/>
            <w:gridSpan w:val="2"/>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264" w:type="dxa"/>
            <w:gridSpan w:val="2"/>
          </w:tcPr>
          <w:p>
            <w:pPr>
              <w:pStyle w:val="nTable"/>
              <w:spacing w:after="40"/>
              <w:ind w:right="113"/>
              <w:rPr>
                <w:sz w:val="19"/>
              </w:rPr>
            </w:pPr>
            <w:r>
              <w:rPr>
                <w:i/>
                <w:sz w:val="19"/>
              </w:rPr>
              <w:t>Stamp Act Amendment Act 1967</w:t>
            </w:r>
          </w:p>
        </w:tc>
        <w:tc>
          <w:tcPr>
            <w:tcW w:w="1133" w:type="dxa"/>
            <w:gridSpan w:val="3"/>
          </w:tcPr>
          <w:p>
            <w:pPr>
              <w:pStyle w:val="nTable"/>
              <w:spacing w:after="40"/>
              <w:rPr>
                <w:sz w:val="19"/>
              </w:rPr>
            </w:pPr>
            <w:r>
              <w:rPr>
                <w:sz w:val="19"/>
              </w:rPr>
              <w:t>50 of 1967</w:t>
            </w:r>
          </w:p>
        </w:tc>
        <w:tc>
          <w:tcPr>
            <w:tcW w:w="1136" w:type="dxa"/>
            <w:gridSpan w:val="2"/>
          </w:tcPr>
          <w:p>
            <w:pPr>
              <w:pStyle w:val="nTable"/>
              <w:spacing w:after="40"/>
              <w:rPr>
                <w:sz w:val="19"/>
              </w:rPr>
            </w:pPr>
            <w:r>
              <w:rPr>
                <w:sz w:val="19"/>
              </w:rPr>
              <w:t>24 Nov 1967</w:t>
            </w:r>
          </w:p>
        </w:tc>
        <w:tc>
          <w:tcPr>
            <w:tcW w:w="2452" w:type="dxa"/>
            <w:gridSpan w:val="2"/>
          </w:tcPr>
          <w:p>
            <w:pPr>
              <w:pStyle w:val="nTable"/>
              <w:spacing w:after="40"/>
              <w:rPr>
                <w:sz w:val="19"/>
              </w:rPr>
            </w:pPr>
            <w:r>
              <w:rPr>
                <w:sz w:val="19"/>
              </w:rPr>
              <w:t>1 Dec 1967 (see s. 2)</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264" w:type="dxa"/>
            <w:gridSpan w:val="2"/>
          </w:tcPr>
          <w:p>
            <w:pPr>
              <w:pStyle w:val="nTable"/>
              <w:spacing w:after="40"/>
              <w:ind w:right="113"/>
              <w:rPr>
                <w:sz w:val="19"/>
              </w:rPr>
            </w:pPr>
            <w:r>
              <w:rPr>
                <w:i/>
                <w:sz w:val="19"/>
              </w:rPr>
              <w:t>Stamp Act Amendment Act 1968</w:t>
            </w:r>
          </w:p>
        </w:tc>
        <w:tc>
          <w:tcPr>
            <w:tcW w:w="1133" w:type="dxa"/>
            <w:gridSpan w:val="3"/>
          </w:tcPr>
          <w:p>
            <w:pPr>
              <w:pStyle w:val="nTable"/>
              <w:spacing w:after="40"/>
              <w:rPr>
                <w:sz w:val="19"/>
              </w:rPr>
            </w:pPr>
            <w:r>
              <w:rPr>
                <w:sz w:val="19"/>
              </w:rPr>
              <w:t>54 of 1968</w:t>
            </w:r>
          </w:p>
        </w:tc>
        <w:tc>
          <w:tcPr>
            <w:tcW w:w="1136" w:type="dxa"/>
            <w:gridSpan w:val="2"/>
          </w:tcPr>
          <w:p>
            <w:pPr>
              <w:pStyle w:val="nTable"/>
              <w:spacing w:after="40"/>
              <w:rPr>
                <w:sz w:val="19"/>
              </w:rPr>
            </w:pPr>
            <w:r>
              <w:rPr>
                <w:sz w:val="19"/>
              </w:rPr>
              <w:t>13 Nov 1968</w:t>
            </w:r>
          </w:p>
        </w:tc>
        <w:tc>
          <w:tcPr>
            <w:tcW w:w="2452" w:type="dxa"/>
            <w:gridSpan w:val="2"/>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264" w:type="dxa"/>
            <w:gridSpan w:val="2"/>
          </w:tcPr>
          <w:p>
            <w:pPr>
              <w:pStyle w:val="nTable"/>
              <w:spacing w:after="40"/>
              <w:ind w:right="113"/>
              <w:rPr>
                <w:sz w:val="19"/>
              </w:rPr>
            </w:pPr>
            <w:r>
              <w:rPr>
                <w:i/>
                <w:sz w:val="19"/>
              </w:rPr>
              <w:t>Stamp Act Amendment Act 1969</w:t>
            </w:r>
          </w:p>
        </w:tc>
        <w:tc>
          <w:tcPr>
            <w:tcW w:w="1133" w:type="dxa"/>
            <w:gridSpan w:val="3"/>
          </w:tcPr>
          <w:p>
            <w:pPr>
              <w:pStyle w:val="nTable"/>
              <w:spacing w:after="40"/>
              <w:rPr>
                <w:sz w:val="19"/>
              </w:rPr>
            </w:pPr>
            <w:r>
              <w:rPr>
                <w:sz w:val="19"/>
              </w:rPr>
              <w:t>113 of 1969</w:t>
            </w:r>
          </w:p>
        </w:tc>
        <w:tc>
          <w:tcPr>
            <w:tcW w:w="1136" w:type="dxa"/>
            <w:gridSpan w:val="2"/>
          </w:tcPr>
          <w:p>
            <w:pPr>
              <w:pStyle w:val="nTable"/>
              <w:spacing w:after="40"/>
              <w:rPr>
                <w:sz w:val="19"/>
              </w:rPr>
            </w:pPr>
            <w:r>
              <w:rPr>
                <w:sz w:val="19"/>
              </w:rPr>
              <w:t>28 Nov 1969</w:t>
            </w:r>
          </w:p>
        </w:tc>
        <w:tc>
          <w:tcPr>
            <w:tcW w:w="2452" w:type="dxa"/>
            <w:gridSpan w:val="2"/>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264" w:type="dxa"/>
            <w:gridSpan w:val="2"/>
          </w:tcPr>
          <w:p>
            <w:pPr>
              <w:pStyle w:val="nTable"/>
              <w:spacing w:after="40"/>
              <w:ind w:right="113"/>
              <w:rPr>
                <w:sz w:val="19"/>
              </w:rPr>
            </w:pPr>
            <w:r>
              <w:rPr>
                <w:i/>
                <w:sz w:val="19"/>
              </w:rPr>
              <w:t xml:space="preserve">Acts Amendment (Commissioner of State Taxation) Act 1970 </w:t>
            </w:r>
            <w:r>
              <w:rPr>
                <w:sz w:val="19"/>
              </w:rPr>
              <w:t>Pt. VI</w:t>
            </w:r>
          </w:p>
        </w:tc>
        <w:tc>
          <w:tcPr>
            <w:tcW w:w="1133" w:type="dxa"/>
            <w:gridSpan w:val="3"/>
          </w:tcPr>
          <w:p>
            <w:pPr>
              <w:pStyle w:val="nTable"/>
              <w:spacing w:after="40"/>
              <w:rPr>
                <w:sz w:val="19"/>
              </w:rPr>
            </w:pPr>
            <w:r>
              <w:rPr>
                <w:sz w:val="19"/>
              </w:rPr>
              <w:t>21 of 1970</w:t>
            </w:r>
          </w:p>
        </w:tc>
        <w:tc>
          <w:tcPr>
            <w:tcW w:w="1136" w:type="dxa"/>
            <w:gridSpan w:val="2"/>
          </w:tcPr>
          <w:p>
            <w:pPr>
              <w:pStyle w:val="nTable"/>
              <w:spacing w:after="40"/>
              <w:rPr>
                <w:sz w:val="19"/>
              </w:rPr>
            </w:pPr>
            <w:r>
              <w:rPr>
                <w:sz w:val="19"/>
              </w:rPr>
              <w:t>8 May 1970</w:t>
            </w:r>
          </w:p>
        </w:tc>
        <w:tc>
          <w:tcPr>
            <w:tcW w:w="2452" w:type="dxa"/>
            <w:gridSpan w:val="2"/>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4" w:type="dxa"/>
            <w:gridSpan w:val="2"/>
          </w:tcPr>
          <w:p>
            <w:pPr>
              <w:pStyle w:val="nTable"/>
              <w:spacing w:after="40"/>
              <w:ind w:right="113"/>
              <w:rPr>
                <w:sz w:val="19"/>
              </w:rPr>
            </w:pPr>
            <w:r>
              <w:rPr>
                <w:i/>
                <w:sz w:val="19"/>
              </w:rPr>
              <w:t>Stamp Act Amendment Act 1970</w:t>
            </w:r>
          </w:p>
        </w:tc>
        <w:tc>
          <w:tcPr>
            <w:tcW w:w="1133" w:type="dxa"/>
            <w:gridSpan w:val="3"/>
          </w:tcPr>
          <w:p>
            <w:pPr>
              <w:pStyle w:val="nTable"/>
              <w:spacing w:after="40"/>
              <w:rPr>
                <w:sz w:val="19"/>
              </w:rPr>
            </w:pPr>
            <w:r>
              <w:rPr>
                <w:sz w:val="19"/>
              </w:rPr>
              <w:t>102 of 1970</w:t>
            </w:r>
          </w:p>
        </w:tc>
        <w:tc>
          <w:tcPr>
            <w:tcW w:w="1136" w:type="dxa"/>
            <w:gridSpan w:val="2"/>
          </w:tcPr>
          <w:p>
            <w:pPr>
              <w:pStyle w:val="nTable"/>
              <w:spacing w:after="40"/>
              <w:rPr>
                <w:sz w:val="19"/>
              </w:rPr>
            </w:pPr>
            <w:r>
              <w:rPr>
                <w:sz w:val="19"/>
              </w:rPr>
              <w:t>8 Dec 1970</w:t>
            </w:r>
          </w:p>
        </w:tc>
        <w:tc>
          <w:tcPr>
            <w:tcW w:w="2452" w:type="dxa"/>
            <w:gridSpan w:val="2"/>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264" w:type="dxa"/>
            <w:gridSpan w:val="2"/>
          </w:tcPr>
          <w:p>
            <w:pPr>
              <w:pStyle w:val="nTable"/>
              <w:spacing w:after="40"/>
              <w:ind w:right="113"/>
              <w:rPr>
                <w:sz w:val="19"/>
              </w:rPr>
            </w:pPr>
            <w:r>
              <w:rPr>
                <w:i/>
                <w:sz w:val="19"/>
              </w:rPr>
              <w:t>Stamp Act Amendment Act 1971</w:t>
            </w:r>
          </w:p>
        </w:tc>
        <w:tc>
          <w:tcPr>
            <w:tcW w:w="1133" w:type="dxa"/>
            <w:gridSpan w:val="3"/>
          </w:tcPr>
          <w:p>
            <w:pPr>
              <w:pStyle w:val="nTable"/>
              <w:spacing w:after="40"/>
              <w:rPr>
                <w:sz w:val="19"/>
              </w:rPr>
            </w:pPr>
            <w:r>
              <w:rPr>
                <w:sz w:val="19"/>
              </w:rPr>
              <w:t>3 of 1971</w:t>
            </w:r>
          </w:p>
        </w:tc>
        <w:tc>
          <w:tcPr>
            <w:tcW w:w="1136" w:type="dxa"/>
            <w:gridSpan w:val="2"/>
          </w:tcPr>
          <w:p>
            <w:pPr>
              <w:pStyle w:val="nTable"/>
              <w:spacing w:after="40"/>
              <w:rPr>
                <w:sz w:val="19"/>
              </w:rPr>
            </w:pPr>
            <w:r>
              <w:rPr>
                <w:sz w:val="19"/>
              </w:rPr>
              <w:t>13 Sep 1971</w:t>
            </w:r>
          </w:p>
        </w:tc>
        <w:tc>
          <w:tcPr>
            <w:tcW w:w="2452" w:type="dxa"/>
            <w:gridSpan w:val="2"/>
          </w:tcPr>
          <w:p>
            <w:pPr>
              <w:pStyle w:val="nTable"/>
              <w:spacing w:after="40"/>
              <w:rPr>
                <w:sz w:val="19"/>
              </w:rPr>
            </w:pPr>
            <w:r>
              <w:rPr>
                <w:sz w:val="19"/>
              </w:rPr>
              <w:t>13 Sep 1971</w:t>
            </w:r>
          </w:p>
        </w:tc>
      </w:tr>
      <w:tr>
        <w:trPr>
          <w:cantSplit/>
        </w:trPr>
        <w:tc>
          <w:tcPr>
            <w:tcW w:w="2264" w:type="dxa"/>
            <w:gridSpan w:val="2"/>
          </w:tcPr>
          <w:p>
            <w:pPr>
              <w:pStyle w:val="nTable"/>
              <w:spacing w:after="40"/>
              <w:ind w:right="113"/>
              <w:rPr>
                <w:sz w:val="19"/>
              </w:rPr>
            </w:pPr>
            <w:r>
              <w:rPr>
                <w:i/>
                <w:sz w:val="19"/>
              </w:rPr>
              <w:t>Stamp Act Amendment Act (No. 2) 1971</w:t>
            </w:r>
          </w:p>
        </w:tc>
        <w:tc>
          <w:tcPr>
            <w:tcW w:w="1133" w:type="dxa"/>
            <w:gridSpan w:val="3"/>
          </w:tcPr>
          <w:p>
            <w:pPr>
              <w:pStyle w:val="nTable"/>
              <w:spacing w:after="40"/>
              <w:rPr>
                <w:sz w:val="19"/>
              </w:rPr>
            </w:pPr>
            <w:r>
              <w:rPr>
                <w:sz w:val="19"/>
              </w:rPr>
              <w:t>29 of 1971</w:t>
            </w:r>
          </w:p>
        </w:tc>
        <w:tc>
          <w:tcPr>
            <w:tcW w:w="1136" w:type="dxa"/>
            <w:gridSpan w:val="2"/>
          </w:tcPr>
          <w:p>
            <w:pPr>
              <w:pStyle w:val="nTable"/>
              <w:spacing w:after="40"/>
              <w:rPr>
                <w:sz w:val="19"/>
              </w:rPr>
            </w:pPr>
            <w:r>
              <w:rPr>
                <w:sz w:val="19"/>
              </w:rPr>
              <w:t>1 Dec 1971</w:t>
            </w:r>
          </w:p>
        </w:tc>
        <w:tc>
          <w:tcPr>
            <w:tcW w:w="2452" w:type="dxa"/>
            <w:gridSpan w:val="2"/>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264" w:type="dxa"/>
            <w:gridSpan w:val="2"/>
          </w:tcPr>
          <w:p>
            <w:pPr>
              <w:pStyle w:val="nTable"/>
              <w:spacing w:after="40"/>
              <w:ind w:right="113"/>
              <w:rPr>
                <w:sz w:val="19"/>
              </w:rPr>
            </w:pPr>
            <w:r>
              <w:rPr>
                <w:i/>
                <w:sz w:val="19"/>
              </w:rPr>
              <w:t>Stamp Act Amendment Act 1972</w:t>
            </w:r>
          </w:p>
        </w:tc>
        <w:tc>
          <w:tcPr>
            <w:tcW w:w="1133" w:type="dxa"/>
            <w:gridSpan w:val="3"/>
          </w:tcPr>
          <w:p>
            <w:pPr>
              <w:pStyle w:val="nTable"/>
              <w:spacing w:after="40"/>
              <w:rPr>
                <w:sz w:val="19"/>
              </w:rPr>
            </w:pPr>
            <w:r>
              <w:rPr>
                <w:sz w:val="19"/>
              </w:rPr>
              <w:t>32 of 1972</w:t>
            </w:r>
          </w:p>
        </w:tc>
        <w:tc>
          <w:tcPr>
            <w:tcW w:w="1136" w:type="dxa"/>
            <w:gridSpan w:val="2"/>
          </w:tcPr>
          <w:p>
            <w:pPr>
              <w:pStyle w:val="nTable"/>
              <w:spacing w:after="40"/>
              <w:rPr>
                <w:sz w:val="19"/>
              </w:rPr>
            </w:pPr>
            <w:r>
              <w:rPr>
                <w:sz w:val="19"/>
              </w:rPr>
              <w:t>16 Jun 1972</w:t>
            </w:r>
          </w:p>
        </w:tc>
        <w:tc>
          <w:tcPr>
            <w:tcW w:w="2452" w:type="dxa"/>
            <w:gridSpan w:val="2"/>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4" w:type="dxa"/>
            <w:gridSpan w:val="2"/>
          </w:tcPr>
          <w:p>
            <w:pPr>
              <w:pStyle w:val="nTable"/>
              <w:spacing w:after="40"/>
              <w:ind w:right="113"/>
              <w:rPr>
                <w:sz w:val="19"/>
              </w:rPr>
            </w:pPr>
            <w:r>
              <w:rPr>
                <w:i/>
                <w:sz w:val="19"/>
              </w:rPr>
              <w:t>Metric Conversion Act 1972</w:t>
            </w:r>
          </w:p>
        </w:tc>
        <w:tc>
          <w:tcPr>
            <w:tcW w:w="1133" w:type="dxa"/>
            <w:gridSpan w:val="3"/>
          </w:tcPr>
          <w:p>
            <w:pPr>
              <w:pStyle w:val="nTable"/>
              <w:spacing w:after="40"/>
              <w:rPr>
                <w:sz w:val="19"/>
              </w:rPr>
            </w:pPr>
            <w:r>
              <w:rPr>
                <w:sz w:val="19"/>
              </w:rPr>
              <w:t>94 of 1972 (as amended by No. 19 of 1973 s. 4)</w:t>
            </w:r>
          </w:p>
        </w:tc>
        <w:tc>
          <w:tcPr>
            <w:tcW w:w="1136" w:type="dxa"/>
            <w:gridSpan w:val="2"/>
          </w:tcPr>
          <w:p>
            <w:pPr>
              <w:pStyle w:val="nTable"/>
              <w:spacing w:after="40"/>
              <w:rPr>
                <w:sz w:val="19"/>
              </w:rPr>
            </w:pPr>
            <w:r>
              <w:rPr>
                <w:sz w:val="19"/>
              </w:rPr>
              <w:t>4 Dec 1972</w:t>
            </w:r>
          </w:p>
        </w:tc>
        <w:tc>
          <w:tcPr>
            <w:tcW w:w="2452" w:type="dxa"/>
            <w:gridSpan w:val="2"/>
          </w:tcPr>
          <w:p>
            <w:pPr>
              <w:pStyle w:val="nTable"/>
              <w:spacing w:after="40"/>
              <w:rPr>
                <w:sz w:val="19"/>
              </w:rPr>
            </w:pPr>
            <w:r>
              <w:rPr>
                <w:sz w:val="19"/>
              </w:rPr>
              <w:t xml:space="preserve">Relevant amendments (see Second Sch. </w:t>
            </w:r>
            <w:r>
              <w:rPr>
                <w:sz w:val="19"/>
                <w:vertAlign w:val="superscript"/>
              </w:rPr>
              <w:t>14</w:t>
            </w:r>
            <w:r>
              <w:rPr>
                <w:sz w:val="19"/>
              </w:rPr>
              <w:t xml:space="preserve">) took effect on 1 Jul 1973 (see s. 4(2) and </w:t>
            </w:r>
            <w:r>
              <w:rPr>
                <w:i/>
                <w:sz w:val="19"/>
              </w:rPr>
              <w:t>Gazette</w:t>
            </w:r>
            <w:r>
              <w:rPr>
                <w:sz w:val="19"/>
              </w:rPr>
              <w:t xml:space="preserve"> 22 Jun 1973 p. 2379)</w:t>
            </w:r>
          </w:p>
        </w:tc>
      </w:tr>
      <w:tr>
        <w:trPr>
          <w:cantSplit/>
        </w:trPr>
        <w:tc>
          <w:tcPr>
            <w:tcW w:w="2264" w:type="dxa"/>
            <w:gridSpan w:val="2"/>
          </w:tcPr>
          <w:p>
            <w:pPr>
              <w:pStyle w:val="nTable"/>
              <w:spacing w:after="40"/>
              <w:ind w:right="113"/>
              <w:rPr>
                <w:sz w:val="19"/>
              </w:rPr>
            </w:pPr>
            <w:r>
              <w:rPr>
                <w:i/>
                <w:sz w:val="19"/>
              </w:rPr>
              <w:t>Stamp Act Amendment Act 1974</w:t>
            </w:r>
          </w:p>
        </w:tc>
        <w:tc>
          <w:tcPr>
            <w:tcW w:w="1133" w:type="dxa"/>
            <w:gridSpan w:val="3"/>
          </w:tcPr>
          <w:p>
            <w:pPr>
              <w:pStyle w:val="nTable"/>
              <w:spacing w:after="40"/>
              <w:rPr>
                <w:sz w:val="19"/>
              </w:rPr>
            </w:pPr>
            <w:r>
              <w:rPr>
                <w:sz w:val="19"/>
              </w:rPr>
              <w:t>9 of 1974</w:t>
            </w:r>
          </w:p>
        </w:tc>
        <w:tc>
          <w:tcPr>
            <w:tcW w:w="1136" w:type="dxa"/>
            <w:gridSpan w:val="2"/>
          </w:tcPr>
          <w:p>
            <w:pPr>
              <w:pStyle w:val="nTable"/>
              <w:spacing w:after="40"/>
              <w:rPr>
                <w:sz w:val="19"/>
              </w:rPr>
            </w:pPr>
            <w:r>
              <w:rPr>
                <w:sz w:val="19"/>
              </w:rPr>
              <w:t xml:space="preserve">27 Sep 1974 </w:t>
            </w:r>
          </w:p>
        </w:tc>
        <w:tc>
          <w:tcPr>
            <w:tcW w:w="2452" w:type="dxa"/>
            <w:gridSpan w:val="2"/>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264" w:type="dxa"/>
            <w:gridSpan w:val="2"/>
          </w:tcPr>
          <w:p>
            <w:pPr>
              <w:pStyle w:val="nTable"/>
              <w:spacing w:after="40"/>
              <w:ind w:right="113"/>
              <w:rPr>
                <w:sz w:val="19"/>
              </w:rPr>
            </w:pPr>
            <w:r>
              <w:rPr>
                <w:i/>
                <w:sz w:val="19"/>
              </w:rPr>
              <w:t>Stamp Act Amendment Act (No. 2) 1974</w:t>
            </w:r>
          </w:p>
        </w:tc>
        <w:tc>
          <w:tcPr>
            <w:tcW w:w="1133" w:type="dxa"/>
            <w:gridSpan w:val="3"/>
          </w:tcPr>
          <w:p>
            <w:pPr>
              <w:pStyle w:val="nTable"/>
              <w:spacing w:after="40"/>
              <w:rPr>
                <w:sz w:val="19"/>
              </w:rPr>
            </w:pPr>
            <w:r>
              <w:rPr>
                <w:sz w:val="19"/>
              </w:rPr>
              <w:t>46 of 1974</w:t>
            </w:r>
          </w:p>
        </w:tc>
        <w:tc>
          <w:tcPr>
            <w:tcW w:w="1136" w:type="dxa"/>
            <w:gridSpan w:val="2"/>
          </w:tcPr>
          <w:p>
            <w:pPr>
              <w:pStyle w:val="nTable"/>
              <w:spacing w:after="40"/>
              <w:rPr>
                <w:sz w:val="19"/>
              </w:rPr>
            </w:pPr>
            <w:r>
              <w:rPr>
                <w:sz w:val="19"/>
              </w:rPr>
              <w:t>18 Nov 1974</w:t>
            </w:r>
          </w:p>
        </w:tc>
        <w:tc>
          <w:tcPr>
            <w:tcW w:w="2452" w:type="dxa"/>
            <w:gridSpan w:val="2"/>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264" w:type="dxa"/>
            <w:gridSpan w:val="2"/>
          </w:tcPr>
          <w:p>
            <w:pPr>
              <w:pStyle w:val="nTable"/>
              <w:spacing w:after="40"/>
              <w:ind w:right="113"/>
              <w:rPr>
                <w:sz w:val="19"/>
              </w:rPr>
            </w:pPr>
            <w:r>
              <w:rPr>
                <w:i/>
                <w:sz w:val="19"/>
              </w:rPr>
              <w:t>Stamp Act Amendment Act 1976</w:t>
            </w:r>
          </w:p>
        </w:tc>
        <w:tc>
          <w:tcPr>
            <w:tcW w:w="1133" w:type="dxa"/>
            <w:gridSpan w:val="3"/>
          </w:tcPr>
          <w:p>
            <w:pPr>
              <w:pStyle w:val="nTable"/>
              <w:spacing w:after="40"/>
              <w:rPr>
                <w:sz w:val="19"/>
              </w:rPr>
            </w:pPr>
            <w:r>
              <w:rPr>
                <w:sz w:val="19"/>
              </w:rPr>
              <w:t>96 of 1976</w:t>
            </w:r>
          </w:p>
        </w:tc>
        <w:tc>
          <w:tcPr>
            <w:tcW w:w="1136" w:type="dxa"/>
            <w:gridSpan w:val="2"/>
          </w:tcPr>
          <w:p>
            <w:pPr>
              <w:pStyle w:val="nTable"/>
              <w:spacing w:after="40"/>
              <w:rPr>
                <w:sz w:val="19"/>
              </w:rPr>
            </w:pPr>
            <w:r>
              <w:rPr>
                <w:sz w:val="19"/>
              </w:rPr>
              <w:t>12 Nov 1976</w:t>
            </w:r>
          </w:p>
        </w:tc>
        <w:tc>
          <w:tcPr>
            <w:tcW w:w="2452" w:type="dxa"/>
            <w:gridSpan w:val="2"/>
          </w:tcPr>
          <w:p>
            <w:pPr>
              <w:pStyle w:val="nTable"/>
              <w:spacing w:after="40"/>
              <w:rPr>
                <w:sz w:val="19"/>
              </w:rPr>
            </w:pPr>
            <w:r>
              <w:rPr>
                <w:sz w:val="19"/>
              </w:rPr>
              <w:t>1 Jan 1977 (see s. 2)</w:t>
            </w:r>
          </w:p>
        </w:tc>
      </w:tr>
      <w:tr>
        <w:trPr>
          <w:cantSplit/>
        </w:trPr>
        <w:tc>
          <w:tcPr>
            <w:tcW w:w="2264" w:type="dxa"/>
            <w:gridSpan w:val="2"/>
          </w:tcPr>
          <w:p>
            <w:pPr>
              <w:pStyle w:val="nTable"/>
              <w:spacing w:after="40"/>
              <w:ind w:right="113"/>
              <w:rPr>
                <w:sz w:val="19"/>
              </w:rPr>
            </w:pPr>
            <w:r>
              <w:rPr>
                <w:i/>
                <w:sz w:val="19"/>
              </w:rPr>
              <w:t>Stamp Act Amendment Act 1977</w:t>
            </w:r>
          </w:p>
        </w:tc>
        <w:tc>
          <w:tcPr>
            <w:tcW w:w="1133" w:type="dxa"/>
            <w:gridSpan w:val="3"/>
          </w:tcPr>
          <w:p>
            <w:pPr>
              <w:pStyle w:val="nTable"/>
              <w:spacing w:after="40"/>
              <w:rPr>
                <w:sz w:val="19"/>
              </w:rPr>
            </w:pPr>
            <w:r>
              <w:rPr>
                <w:sz w:val="19"/>
              </w:rPr>
              <w:t>63 of 1977</w:t>
            </w:r>
          </w:p>
        </w:tc>
        <w:tc>
          <w:tcPr>
            <w:tcW w:w="1136" w:type="dxa"/>
            <w:gridSpan w:val="2"/>
          </w:tcPr>
          <w:p>
            <w:pPr>
              <w:pStyle w:val="nTable"/>
              <w:spacing w:after="40"/>
              <w:rPr>
                <w:sz w:val="19"/>
              </w:rPr>
            </w:pPr>
            <w:r>
              <w:rPr>
                <w:sz w:val="19"/>
              </w:rPr>
              <w:t>23 Nov 1977</w:t>
            </w:r>
          </w:p>
        </w:tc>
        <w:tc>
          <w:tcPr>
            <w:tcW w:w="2452" w:type="dxa"/>
            <w:gridSpan w:val="2"/>
          </w:tcPr>
          <w:p>
            <w:pPr>
              <w:pStyle w:val="nTable"/>
              <w:spacing w:after="40"/>
              <w:rPr>
                <w:sz w:val="19"/>
              </w:rPr>
            </w:pPr>
            <w:r>
              <w:rPr>
                <w:sz w:val="19"/>
              </w:rPr>
              <w:t>23 Nov 1977</w:t>
            </w:r>
          </w:p>
        </w:tc>
      </w:tr>
      <w:tr>
        <w:trPr>
          <w:cantSplit/>
        </w:trPr>
        <w:tc>
          <w:tcPr>
            <w:tcW w:w="2264" w:type="dxa"/>
            <w:gridSpan w:val="2"/>
          </w:tcPr>
          <w:p>
            <w:pPr>
              <w:pStyle w:val="nTable"/>
              <w:spacing w:after="40"/>
              <w:ind w:right="113"/>
              <w:rPr>
                <w:sz w:val="19"/>
              </w:rPr>
            </w:pPr>
            <w:r>
              <w:rPr>
                <w:i/>
                <w:sz w:val="19"/>
              </w:rPr>
              <w:t>Stamp Act Amendment Act 1979</w:t>
            </w:r>
          </w:p>
        </w:tc>
        <w:tc>
          <w:tcPr>
            <w:tcW w:w="1133" w:type="dxa"/>
            <w:gridSpan w:val="3"/>
          </w:tcPr>
          <w:p>
            <w:pPr>
              <w:pStyle w:val="nTable"/>
              <w:spacing w:after="40"/>
              <w:rPr>
                <w:sz w:val="19"/>
              </w:rPr>
            </w:pPr>
            <w:r>
              <w:rPr>
                <w:sz w:val="19"/>
              </w:rPr>
              <w:t>37 of 1979</w:t>
            </w:r>
          </w:p>
        </w:tc>
        <w:tc>
          <w:tcPr>
            <w:tcW w:w="1136" w:type="dxa"/>
            <w:gridSpan w:val="2"/>
          </w:tcPr>
          <w:p>
            <w:pPr>
              <w:pStyle w:val="nTable"/>
              <w:spacing w:after="40"/>
              <w:rPr>
                <w:sz w:val="19"/>
              </w:rPr>
            </w:pPr>
            <w:r>
              <w:rPr>
                <w:sz w:val="19"/>
              </w:rPr>
              <w:t>18 Oct 1979</w:t>
            </w:r>
          </w:p>
        </w:tc>
        <w:tc>
          <w:tcPr>
            <w:tcW w:w="2452" w:type="dxa"/>
            <w:gridSpan w:val="2"/>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cantSplit/>
        </w:trPr>
        <w:tc>
          <w:tcPr>
            <w:tcW w:w="2264" w:type="dxa"/>
            <w:gridSpan w:val="2"/>
          </w:tcPr>
          <w:p>
            <w:pPr>
              <w:pStyle w:val="nTable"/>
              <w:spacing w:after="40"/>
              <w:ind w:right="113"/>
              <w:rPr>
                <w:sz w:val="19"/>
              </w:rPr>
            </w:pPr>
            <w:r>
              <w:rPr>
                <w:i/>
                <w:sz w:val="19"/>
              </w:rPr>
              <w:t xml:space="preserve">Credit Unions (Consequential Provisions) Act 1979 </w:t>
            </w:r>
            <w:r>
              <w:rPr>
                <w:sz w:val="19"/>
              </w:rPr>
              <w:t>Pt. 1</w:t>
            </w:r>
          </w:p>
        </w:tc>
        <w:tc>
          <w:tcPr>
            <w:tcW w:w="1133" w:type="dxa"/>
            <w:gridSpan w:val="3"/>
          </w:tcPr>
          <w:p>
            <w:pPr>
              <w:pStyle w:val="nTable"/>
              <w:spacing w:after="40"/>
              <w:rPr>
                <w:sz w:val="19"/>
              </w:rPr>
            </w:pPr>
            <w:r>
              <w:rPr>
                <w:sz w:val="19"/>
              </w:rPr>
              <w:t>47 of 1979</w:t>
            </w:r>
          </w:p>
        </w:tc>
        <w:tc>
          <w:tcPr>
            <w:tcW w:w="1136" w:type="dxa"/>
            <w:gridSpan w:val="2"/>
          </w:tcPr>
          <w:p>
            <w:pPr>
              <w:pStyle w:val="nTable"/>
              <w:spacing w:after="40"/>
              <w:rPr>
                <w:sz w:val="19"/>
              </w:rPr>
            </w:pPr>
            <w:r>
              <w:rPr>
                <w:sz w:val="19"/>
              </w:rPr>
              <w:t>7 Nov 1979</w:t>
            </w:r>
          </w:p>
        </w:tc>
        <w:tc>
          <w:tcPr>
            <w:tcW w:w="2452" w:type="dxa"/>
            <w:gridSpan w:val="2"/>
          </w:tcPr>
          <w:p>
            <w:pPr>
              <w:pStyle w:val="nTable"/>
              <w:spacing w:after="40"/>
              <w:rPr>
                <w:sz w:val="19"/>
              </w:rPr>
            </w:pPr>
            <w:r>
              <w:rPr>
                <w:sz w:val="19"/>
              </w:rPr>
              <w:t>1 Jul 1980 (see s. 2)</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264" w:type="dxa"/>
            <w:gridSpan w:val="2"/>
          </w:tcPr>
          <w:p>
            <w:pPr>
              <w:pStyle w:val="nTable"/>
              <w:spacing w:after="40"/>
              <w:ind w:right="113"/>
              <w:rPr>
                <w:sz w:val="19"/>
              </w:rPr>
            </w:pPr>
            <w:r>
              <w:rPr>
                <w:i/>
                <w:sz w:val="19"/>
              </w:rPr>
              <w:t>Stamp Amendment Act 1980</w:t>
            </w:r>
          </w:p>
        </w:tc>
        <w:tc>
          <w:tcPr>
            <w:tcW w:w="1133" w:type="dxa"/>
            <w:gridSpan w:val="3"/>
          </w:tcPr>
          <w:p>
            <w:pPr>
              <w:pStyle w:val="nTable"/>
              <w:spacing w:after="40"/>
              <w:rPr>
                <w:sz w:val="19"/>
              </w:rPr>
            </w:pPr>
            <w:r>
              <w:rPr>
                <w:sz w:val="19"/>
              </w:rPr>
              <w:t>63 of 1980</w:t>
            </w:r>
          </w:p>
        </w:tc>
        <w:tc>
          <w:tcPr>
            <w:tcW w:w="1136" w:type="dxa"/>
            <w:gridSpan w:val="2"/>
          </w:tcPr>
          <w:p>
            <w:pPr>
              <w:pStyle w:val="nTable"/>
              <w:spacing w:after="40"/>
              <w:rPr>
                <w:sz w:val="19"/>
              </w:rPr>
            </w:pPr>
            <w:r>
              <w:rPr>
                <w:sz w:val="19"/>
              </w:rPr>
              <w:t>26 Nov 1980</w:t>
            </w:r>
          </w:p>
        </w:tc>
        <w:tc>
          <w:tcPr>
            <w:tcW w:w="2452" w:type="dxa"/>
            <w:gridSpan w:val="2"/>
          </w:tcPr>
          <w:p>
            <w:pPr>
              <w:pStyle w:val="nTable"/>
              <w:spacing w:after="40"/>
              <w:rPr>
                <w:sz w:val="19"/>
              </w:rPr>
            </w:pPr>
            <w:r>
              <w:rPr>
                <w:sz w:val="19"/>
              </w:rPr>
              <w:t>4 Nov 1980 (see s. 1(4))</w:t>
            </w:r>
          </w:p>
        </w:tc>
      </w:tr>
      <w:tr>
        <w:trPr>
          <w:cantSplit/>
        </w:trPr>
        <w:tc>
          <w:tcPr>
            <w:tcW w:w="2264" w:type="dxa"/>
            <w:gridSpan w:val="2"/>
          </w:tcPr>
          <w:p>
            <w:pPr>
              <w:pStyle w:val="nTable"/>
              <w:spacing w:after="40"/>
              <w:ind w:right="113"/>
              <w:rPr>
                <w:sz w:val="19"/>
              </w:rPr>
            </w:pPr>
            <w:r>
              <w:rPr>
                <w:i/>
                <w:sz w:val="19"/>
              </w:rPr>
              <w:t>Stamp Amendment Act 1981 </w:t>
            </w:r>
            <w:r>
              <w:rPr>
                <w:sz w:val="19"/>
                <w:vertAlign w:val="superscript"/>
              </w:rPr>
              <w:t>15</w:t>
            </w:r>
          </w:p>
        </w:tc>
        <w:tc>
          <w:tcPr>
            <w:tcW w:w="1133" w:type="dxa"/>
            <w:gridSpan w:val="3"/>
          </w:tcPr>
          <w:p>
            <w:pPr>
              <w:pStyle w:val="nTable"/>
              <w:spacing w:after="40"/>
              <w:rPr>
                <w:sz w:val="19"/>
              </w:rPr>
            </w:pPr>
            <w:r>
              <w:rPr>
                <w:sz w:val="19"/>
              </w:rPr>
              <w:t>81 of 1981</w:t>
            </w:r>
          </w:p>
        </w:tc>
        <w:tc>
          <w:tcPr>
            <w:tcW w:w="1136" w:type="dxa"/>
            <w:gridSpan w:val="2"/>
          </w:tcPr>
          <w:p>
            <w:pPr>
              <w:pStyle w:val="nTable"/>
              <w:spacing w:after="40"/>
              <w:rPr>
                <w:sz w:val="19"/>
              </w:rPr>
            </w:pPr>
            <w:r>
              <w:rPr>
                <w:sz w:val="19"/>
              </w:rPr>
              <w:t>9 Nov 1981</w:t>
            </w:r>
          </w:p>
        </w:tc>
        <w:tc>
          <w:tcPr>
            <w:tcW w:w="2452" w:type="dxa"/>
            <w:gridSpan w:val="2"/>
          </w:tcPr>
          <w:p>
            <w:pPr>
              <w:pStyle w:val="nTable"/>
              <w:spacing w:after="40"/>
              <w:rPr>
                <w:sz w:val="19"/>
              </w:rPr>
            </w:pPr>
            <w:r>
              <w:rPr>
                <w:sz w:val="19"/>
              </w:rPr>
              <w:t>Act other than s. 3 and 8: 1 Dec 1981 (see s. 2(1));</w:t>
            </w:r>
            <w:r>
              <w:rPr>
                <w:sz w:val="19"/>
              </w:rPr>
              <w:br/>
              <w:t>s. 3 and 8: 1 Jan 1982 (see s. 2(2))</w:t>
            </w:r>
          </w:p>
        </w:tc>
      </w:tr>
      <w:tr>
        <w:trPr>
          <w:cantSplit/>
        </w:trPr>
        <w:tc>
          <w:tcPr>
            <w:tcW w:w="2264" w:type="dxa"/>
            <w:gridSpan w:val="2"/>
          </w:tcPr>
          <w:p>
            <w:pPr>
              <w:pStyle w:val="nTable"/>
              <w:spacing w:after="40"/>
              <w:ind w:right="113"/>
              <w:rPr>
                <w:sz w:val="19"/>
              </w:rPr>
            </w:pPr>
            <w:r>
              <w:rPr>
                <w:i/>
                <w:sz w:val="19"/>
              </w:rPr>
              <w:t xml:space="preserve">Acts Amendment (Traffic Board) Act 1981 </w:t>
            </w:r>
            <w:r>
              <w:rPr>
                <w:sz w:val="19"/>
              </w:rPr>
              <w:t>Pt. VIII</w:t>
            </w:r>
          </w:p>
        </w:tc>
        <w:tc>
          <w:tcPr>
            <w:tcW w:w="1133" w:type="dxa"/>
            <w:gridSpan w:val="3"/>
          </w:tcPr>
          <w:p>
            <w:pPr>
              <w:pStyle w:val="nTable"/>
              <w:spacing w:after="40"/>
              <w:rPr>
                <w:sz w:val="19"/>
              </w:rPr>
            </w:pPr>
            <w:r>
              <w:rPr>
                <w:sz w:val="19"/>
              </w:rPr>
              <w:t>106 of 1981</w:t>
            </w:r>
          </w:p>
        </w:tc>
        <w:tc>
          <w:tcPr>
            <w:tcW w:w="1136" w:type="dxa"/>
            <w:gridSpan w:val="2"/>
          </w:tcPr>
          <w:p>
            <w:pPr>
              <w:pStyle w:val="nTable"/>
              <w:spacing w:after="40"/>
              <w:rPr>
                <w:sz w:val="19"/>
              </w:rPr>
            </w:pPr>
            <w:r>
              <w:rPr>
                <w:sz w:val="19"/>
              </w:rPr>
              <w:t>4 Dec 1981</w:t>
            </w:r>
          </w:p>
        </w:tc>
        <w:tc>
          <w:tcPr>
            <w:tcW w:w="2452" w:type="dxa"/>
            <w:gridSpan w:val="2"/>
          </w:tcPr>
          <w:p>
            <w:pPr>
              <w:pStyle w:val="nTable"/>
              <w:spacing w:after="40"/>
              <w:rPr>
                <w:sz w:val="19"/>
              </w:rPr>
            </w:pPr>
            <w:r>
              <w:rPr>
                <w:sz w:val="19"/>
              </w:rPr>
              <w:t>2 Feb 1982 (see s. 2)</w:t>
            </w:r>
          </w:p>
        </w:tc>
      </w:tr>
      <w:tr>
        <w:trPr>
          <w:cantSplit/>
        </w:trPr>
        <w:tc>
          <w:tcPr>
            <w:tcW w:w="2264" w:type="dxa"/>
            <w:gridSpan w:val="2"/>
          </w:tcPr>
          <w:p>
            <w:pPr>
              <w:pStyle w:val="nTable"/>
              <w:spacing w:after="40"/>
              <w:ind w:right="113"/>
              <w:rPr>
                <w:sz w:val="19"/>
              </w:rPr>
            </w:pPr>
            <w:r>
              <w:rPr>
                <w:i/>
                <w:sz w:val="19"/>
              </w:rPr>
              <w:t>Stamp Amendment Act 1982</w:t>
            </w:r>
          </w:p>
        </w:tc>
        <w:tc>
          <w:tcPr>
            <w:tcW w:w="1133" w:type="dxa"/>
            <w:gridSpan w:val="3"/>
          </w:tcPr>
          <w:p>
            <w:pPr>
              <w:pStyle w:val="nTable"/>
              <w:spacing w:after="40"/>
              <w:rPr>
                <w:sz w:val="19"/>
              </w:rPr>
            </w:pPr>
            <w:r>
              <w:rPr>
                <w:sz w:val="19"/>
              </w:rPr>
              <w:t>1 of 1982</w:t>
            </w:r>
          </w:p>
        </w:tc>
        <w:tc>
          <w:tcPr>
            <w:tcW w:w="1136" w:type="dxa"/>
            <w:gridSpan w:val="2"/>
          </w:tcPr>
          <w:p>
            <w:pPr>
              <w:pStyle w:val="nTable"/>
              <w:spacing w:after="40"/>
              <w:rPr>
                <w:sz w:val="19"/>
              </w:rPr>
            </w:pPr>
            <w:r>
              <w:rPr>
                <w:sz w:val="19"/>
              </w:rPr>
              <w:t>8 Apr 1982</w:t>
            </w:r>
          </w:p>
        </w:tc>
        <w:tc>
          <w:tcPr>
            <w:tcW w:w="2452" w:type="dxa"/>
            <w:gridSpan w:val="2"/>
          </w:tcPr>
          <w:p>
            <w:pPr>
              <w:pStyle w:val="nTable"/>
              <w:spacing w:after="40"/>
              <w:rPr>
                <w:sz w:val="19"/>
              </w:rPr>
            </w:pPr>
            <w:r>
              <w:rPr>
                <w:sz w:val="19"/>
              </w:rPr>
              <w:t>8 Apr 1982</w:t>
            </w:r>
          </w:p>
        </w:tc>
      </w:tr>
      <w:tr>
        <w:trPr>
          <w:cantSplit/>
        </w:trPr>
        <w:tc>
          <w:tcPr>
            <w:tcW w:w="2264" w:type="dxa"/>
            <w:gridSpan w:val="2"/>
          </w:tcPr>
          <w:p>
            <w:pPr>
              <w:pStyle w:val="nTable"/>
              <w:spacing w:after="40"/>
              <w:ind w:right="113"/>
              <w:rPr>
                <w:sz w:val="19"/>
              </w:rPr>
            </w:pPr>
            <w:r>
              <w:rPr>
                <w:i/>
                <w:sz w:val="19"/>
              </w:rPr>
              <w:t xml:space="preserve">Companies (Consequential Amendments) Act 1982 </w:t>
            </w:r>
            <w:r>
              <w:rPr>
                <w:sz w:val="19"/>
              </w:rPr>
              <w:t xml:space="preserve">s. 28 </w:t>
            </w:r>
          </w:p>
        </w:tc>
        <w:tc>
          <w:tcPr>
            <w:tcW w:w="1133" w:type="dxa"/>
            <w:gridSpan w:val="3"/>
          </w:tcPr>
          <w:p>
            <w:pPr>
              <w:pStyle w:val="nTable"/>
              <w:spacing w:after="40"/>
              <w:rPr>
                <w:sz w:val="19"/>
              </w:rPr>
            </w:pPr>
            <w:r>
              <w:rPr>
                <w:sz w:val="19"/>
              </w:rPr>
              <w:t>10 of 1982</w:t>
            </w:r>
          </w:p>
        </w:tc>
        <w:tc>
          <w:tcPr>
            <w:tcW w:w="1136" w:type="dxa"/>
            <w:gridSpan w:val="2"/>
          </w:tcPr>
          <w:p>
            <w:pPr>
              <w:pStyle w:val="nTable"/>
              <w:spacing w:after="40"/>
              <w:rPr>
                <w:sz w:val="19"/>
              </w:rPr>
            </w:pPr>
            <w:r>
              <w:rPr>
                <w:sz w:val="19"/>
              </w:rPr>
              <w:t>14 May 1982</w:t>
            </w:r>
          </w:p>
        </w:tc>
        <w:tc>
          <w:tcPr>
            <w:tcW w:w="2452" w:type="dxa"/>
            <w:gridSpan w:val="2"/>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4" w:type="dxa"/>
            <w:gridSpan w:val="2"/>
          </w:tcPr>
          <w:p>
            <w:pPr>
              <w:pStyle w:val="nTable"/>
              <w:spacing w:after="40"/>
              <w:ind w:right="113"/>
              <w:rPr>
                <w:sz w:val="19"/>
              </w:rPr>
            </w:pPr>
            <w:r>
              <w:rPr>
                <w:i/>
                <w:sz w:val="19"/>
              </w:rPr>
              <w:t>Stamp Amendment Act (No. 2) 1982</w:t>
            </w:r>
          </w:p>
        </w:tc>
        <w:tc>
          <w:tcPr>
            <w:tcW w:w="1133" w:type="dxa"/>
            <w:gridSpan w:val="3"/>
          </w:tcPr>
          <w:p>
            <w:pPr>
              <w:pStyle w:val="nTable"/>
              <w:spacing w:after="40"/>
              <w:rPr>
                <w:sz w:val="19"/>
              </w:rPr>
            </w:pPr>
            <w:r>
              <w:rPr>
                <w:sz w:val="19"/>
              </w:rPr>
              <w:t>15 of 1982</w:t>
            </w:r>
          </w:p>
        </w:tc>
        <w:tc>
          <w:tcPr>
            <w:tcW w:w="1136" w:type="dxa"/>
            <w:gridSpan w:val="2"/>
          </w:tcPr>
          <w:p>
            <w:pPr>
              <w:pStyle w:val="nTable"/>
              <w:spacing w:after="40"/>
              <w:rPr>
                <w:sz w:val="19"/>
              </w:rPr>
            </w:pPr>
            <w:r>
              <w:rPr>
                <w:sz w:val="19"/>
              </w:rPr>
              <w:t>14 May 1982</w:t>
            </w:r>
          </w:p>
        </w:tc>
        <w:tc>
          <w:tcPr>
            <w:tcW w:w="2452" w:type="dxa"/>
            <w:gridSpan w:val="2"/>
          </w:tcPr>
          <w:p>
            <w:pPr>
              <w:pStyle w:val="nTable"/>
              <w:spacing w:after="40"/>
              <w:rPr>
                <w:sz w:val="19"/>
              </w:rPr>
            </w:pPr>
            <w:r>
              <w:rPr>
                <w:sz w:val="19"/>
              </w:rPr>
              <w:t>Act other than s. 4: 8 Apr 1982 (see s. 2(1));</w:t>
            </w:r>
            <w:r>
              <w:rPr>
                <w:sz w:val="19"/>
              </w:rPr>
              <w:br/>
              <w:t>s. 4: 14 May 1982 (see s. 2(2))</w:t>
            </w:r>
          </w:p>
        </w:tc>
      </w:tr>
      <w:tr>
        <w:trPr>
          <w:cantSplit/>
        </w:trPr>
        <w:tc>
          <w:tcPr>
            <w:tcW w:w="2264" w:type="dxa"/>
            <w:gridSpan w:val="2"/>
          </w:tcPr>
          <w:p>
            <w:pPr>
              <w:pStyle w:val="nTable"/>
              <w:spacing w:after="40"/>
              <w:ind w:right="113"/>
              <w:rPr>
                <w:sz w:val="19"/>
              </w:rPr>
            </w:pPr>
            <w:r>
              <w:rPr>
                <w:i/>
                <w:sz w:val="19"/>
              </w:rPr>
              <w:t>Stamp Amendment Act (No. 3) 1982</w:t>
            </w:r>
          </w:p>
        </w:tc>
        <w:tc>
          <w:tcPr>
            <w:tcW w:w="1133" w:type="dxa"/>
            <w:gridSpan w:val="3"/>
          </w:tcPr>
          <w:p>
            <w:pPr>
              <w:pStyle w:val="nTable"/>
              <w:spacing w:after="40"/>
              <w:rPr>
                <w:sz w:val="19"/>
              </w:rPr>
            </w:pPr>
            <w:r>
              <w:rPr>
                <w:sz w:val="19"/>
              </w:rPr>
              <w:t>45 of 1982</w:t>
            </w:r>
          </w:p>
        </w:tc>
        <w:tc>
          <w:tcPr>
            <w:tcW w:w="1136" w:type="dxa"/>
            <w:gridSpan w:val="2"/>
          </w:tcPr>
          <w:p>
            <w:pPr>
              <w:pStyle w:val="nTable"/>
              <w:spacing w:after="40"/>
              <w:rPr>
                <w:sz w:val="19"/>
              </w:rPr>
            </w:pPr>
            <w:r>
              <w:rPr>
                <w:sz w:val="19"/>
              </w:rPr>
              <w:t>26 Aug 1982</w:t>
            </w:r>
          </w:p>
        </w:tc>
        <w:tc>
          <w:tcPr>
            <w:tcW w:w="2452" w:type="dxa"/>
            <w:gridSpan w:val="2"/>
          </w:tcPr>
          <w:p>
            <w:pPr>
              <w:pStyle w:val="nTable"/>
              <w:spacing w:after="40"/>
              <w:rPr>
                <w:sz w:val="19"/>
              </w:rPr>
            </w:pPr>
            <w:r>
              <w:rPr>
                <w:sz w:val="19"/>
              </w:rPr>
              <w:t>24 Dec 1981 (see s. 2)</w:t>
            </w:r>
          </w:p>
        </w:tc>
      </w:tr>
      <w:tr>
        <w:trPr>
          <w:cantSplit/>
        </w:trPr>
        <w:tc>
          <w:tcPr>
            <w:tcW w:w="2264" w:type="dxa"/>
            <w:gridSpan w:val="2"/>
          </w:tcPr>
          <w:p>
            <w:pPr>
              <w:pStyle w:val="nTable"/>
              <w:spacing w:after="40"/>
              <w:ind w:right="113"/>
              <w:rPr>
                <w:sz w:val="19"/>
              </w:rPr>
            </w:pPr>
            <w:r>
              <w:rPr>
                <w:i/>
                <w:sz w:val="19"/>
              </w:rPr>
              <w:t>Stamp Amendment Act (No. 4) 1982</w:t>
            </w:r>
          </w:p>
        </w:tc>
        <w:tc>
          <w:tcPr>
            <w:tcW w:w="1133" w:type="dxa"/>
            <w:gridSpan w:val="3"/>
          </w:tcPr>
          <w:p>
            <w:pPr>
              <w:pStyle w:val="nTable"/>
              <w:spacing w:after="40"/>
              <w:rPr>
                <w:sz w:val="19"/>
              </w:rPr>
            </w:pPr>
            <w:r>
              <w:rPr>
                <w:sz w:val="19"/>
              </w:rPr>
              <w:t>93 of 1982</w:t>
            </w:r>
          </w:p>
        </w:tc>
        <w:tc>
          <w:tcPr>
            <w:tcW w:w="1136" w:type="dxa"/>
            <w:gridSpan w:val="2"/>
          </w:tcPr>
          <w:p>
            <w:pPr>
              <w:pStyle w:val="nTable"/>
              <w:spacing w:after="40"/>
              <w:rPr>
                <w:sz w:val="19"/>
              </w:rPr>
            </w:pPr>
            <w:r>
              <w:rPr>
                <w:sz w:val="19"/>
              </w:rPr>
              <w:t>22 Nov 1982</w:t>
            </w:r>
          </w:p>
        </w:tc>
        <w:tc>
          <w:tcPr>
            <w:tcW w:w="2452" w:type="dxa"/>
            <w:gridSpan w:val="2"/>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264" w:type="dxa"/>
            <w:gridSpan w:val="2"/>
          </w:tcPr>
          <w:p>
            <w:pPr>
              <w:pStyle w:val="nTable"/>
              <w:spacing w:after="40"/>
              <w:ind w:right="113"/>
              <w:rPr>
                <w:sz w:val="19"/>
              </w:rPr>
            </w:pPr>
            <w:r>
              <w:rPr>
                <w:i/>
                <w:sz w:val="19"/>
              </w:rPr>
              <w:t>Stamp Amendment Act (No. 5) 1982</w:t>
            </w:r>
          </w:p>
        </w:tc>
        <w:tc>
          <w:tcPr>
            <w:tcW w:w="1133" w:type="dxa"/>
            <w:gridSpan w:val="3"/>
          </w:tcPr>
          <w:p>
            <w:pPr>
              <w:pStyle w:val="nTable"/>
              <w:spacing w:after="40"/>
              <w:rPr>
                <w:sz w:val="19"/>
              </w:rPr>
            </w:pPr>
            <w:r>
              <w:rPr>
                <w:sz w:val="19"/>
              </w:rPr>
              <w:t>99 of 1982</w:t>
            </w:r>
          </w:p>
        </w:tc>
        <w:tc>
          <w:tcPr>
            <w:tcW w:w="1136" w:type="dxa"/>
            <w:gridSpan w:val="2"/>
          </w:tcPr>
          <w:p>
            <w:pPr>
              <w:pStyle w:val="nTable"/>
              <w:spacing w:after="40"/>
              <w:rPr>
                <w:sz w:val="19"/>
              </w:rPr>
            </w:pPr>
            <w:r>
              <w:rPr>
                <w:sz w:val="19"/>
              </w:rPr>
              <w:t>24 Nov 1982</w:t>
            </w:r>
          </w:p>
        </w:tc>
        <w:tc>
          <w:tcPr>
            <w:tcW w:w="2452" w:type="dxa"/>
            <w:gridSpan w:val="2"/>
          </w:tcPr>
          <w:p>
            <w:pPr>
              <w:pStyle w:val="nTable"/>
              <w:spacing w:after="40"/>
              <w:rPr>
                <w:sz w:val="19"/>
              </w:rPr>
            </w:pPr>
            <w:r>
              <w:rPr>
                <w:sz w:val="19"/>
              </w:rPr>
              <w:t>1 Jan 1983 (see s. 2)</w:t>
            </w:r>
          </w:p>
        </w:tc>
      </w:tr>
      <w:tr>
        <w:trPr>
          <w:cantSplit/>
        </w:trPr>
        <w:tc>
          <w:tcPr>
            <w:tcW w:w="2264" w:type="dxa"/>
            <w:gridSpan w:val="2"/>
          </w:tcPr>
          <w:p>
            <w:pPr>
              <w:pStyle w:val="nTable"/>
              <w:spacing w:after="40"/>
              <w:ind w:right="113"/>
              <w:rPr>
                <w:sz w:val="19"/>
              </w:rPr>
            </w:pPr>
            <w:r>
              <w:rPr>
                <w:i/>
                <w:sz w:val="19"/>
              </w:rPr>
              <w:t>Stamp Amendment Act (No. 6) 1982</w:t>
            </w:r>
          </w:p>
        </w:tc>
        <w:tc>
          <w:tcPr>
            <w:tcW w:w="1133" w:type="dxa"/>
            <w:gridSpan w:val="3"/>
          </w:tcPr>
          <w:p>
            <w:pPr>
              <w:pStyle w:val="nTable"/>
              <w:spacing w:after="40"/>
              <w:rPr>
                <w:sz w:val="19"/>
              </w:rPr>
            </w:pPr>
            <w:r>
              <w:rPr>
                <w:sz w:val="19"/>
              </w:rPr>
              <w:t>112 of 1982</w:t>
            </w:r>
          </w:p>
        </w:tc>
        <w:tc>
          <w:tcPr>
            <w:tcW w:w="1136" w:type="dxa"/>
            <w:gridSpan w:val="2"/>
          </w:tcPr>
          <w:p>
            <w:pPr>
              <w:pStyle w:val="nTable"/>
              <w:spacing w:after="40"/>
              <w:rPr>
                <w:sz w:val="19"/>
              </w:rPr>
            </w:pPr>
            <w:r>
              <w:rPr>
                <w:sz w:val="19"/>
              </w:rPr>
              <w:t>8 Dec 1982</w:t>
            </w:r>
          </w:p>
        </w:tc>
        <w:tc>
          <w:tcPr>
            <w:tcW w:w="2452" w:type="dxa"/>
            <w:gridSpan w:val="2"/>
          </w:tcPr>
          <w:p>
            <w:pPr>
              <w:pStyle w:val="nTable"/>
              <w:spacing w:after="40"/>
              <w:rPr>
                <w:sz w:val="19"/>
              </w:rPr>
            </w:pPr>
            <w:r>
              <w:rPr>
                <w:sz w:val="19"/>
              </w:rPr>
              <w:t>26 Oct 1982 (see s. 2)</w:t>
            </w:r>
          </w:p>
        </w:tc>
      </w:tr>
      <w:tr>
        <w:trPr>
          <w:cantSplit/>
        </w:trPr>
        <w:tc>
          <w:tcPr>
            <w:tcW w:w="2264" w:type="dxa"/>
            <w:gridSpan w:val="2"/>
          </w:tcPr>
          <w:p>
            <w:pPr>
              <w:pStyle w:val="nTable"/>
              <w:spacing w:after="40"/>
              <w:ind w:right="113"/>
              <w:rPr>
                <w:sz w:val="19"/>
              </w:rPr>
            </w:pPr>
            <w:r>
              <w:rPr>
                <w:i/>
                <w:sz w:val="19"/>
              </w:rPr>
              <w:t>Stamp Amendment Act 1983</w:t>
            </w:r>
          </w:p>
        </w:tc>
        <w:tc>
          <w:tcPr>
            <w:tcW w:w="1133" w:type="dxa"/>
            <w:gridSpan w:val="3"/>
          </w:tcPr>
          <w:p>
            <w:pPr>
              <w:pStyle w:val="nTable"/>
              <w:spacing w:after="40"/>
              <w:rPr>
                <w:sz w:val="19"/>
              </w:rPr>
            </w:pPr>
            <w:r>
              <w:rPr>
                <w:sz w:val="19"/>
              </w:rPr>
              <w:t>14 of 1983</w:t>
            </w:r>
          </w:p>
        </w:tc>
        <w:tc>
          <w:tcPr>
            <w:tcW w:w="1136" w:type="dxa"/>
            <w:gridSpan w:val="2"/>
          </w:tcPr>
          <w:p>
            <w:pPr>
              <w:pStyle w:val="nTable"/>
              <w:spacing w:after="40"/>
              <w:rPr>
                <w:sz w:val="19"/>
              </w:rPr>
            </w:pPr>
            <w:r>
              <w:rPr>
                <w:sz w:val="19"/>
              </w:rPr>
              <w:t>31 Oct 1983</w:t>
            </w:r>
          </w:p>
        </w:tc>
        <w:tc>
          <w:tcPr>
            <w:tcW w:w="2452" w:type="dxa"/>
            <w:gridSpan w:val="2"/>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264" w:type="dxa"/>
            <w:gridSpan w:val="2"/>
          </w:tcPr>
          <w:p>
            <w:pPr>
              <w:pStyle w:val="nTable"/>
              <w:spacing w:after="40"/>
              <w:ind w:right="113"/>
              <w:rPr>
                <w:sz w:val="19"/>
              </w:rPr>
            </w:pPr>
            <w:r>
              <w:rPr>
                <w:i/>
                <w:sz w:val="19"/>
              </w:rPr>
              <w:t>Stamp Amendment Act (No. 2) 1983</w:t>
            </w:r>
          </w:p>
        </w:tc>
        <w:tc>
          <w:tcPr>
            <w:tcW w:w="1133" w:type="dxa"/>
            <w:gridSpan w:val="3"/>
          </w:tcPr>
          <w:p>
            <w:pPr>
              <w:pStyle w:val="nTable"/>
              <w:spacing w:after="40"/>
              <w:rPr>
                <w:sz w:val="19"/>
              </w:rPr>
            </w:pPr>
            <w:r>
              <w:rPr>
                <w:sz w:val="19"/>
              </w:rPr>
              <w:t>61 of 1983</w:t>
            </w:r>
          </w:p>
        </w:tc>
        <w:tc>
          <w:tcPr>
            <w:tcW w:w="1136" w:type="dxa"/>
            <w:gridSpan w:val="2"/>
          </w:tcPr>
          <w:p>
            <w:pPr>
              <w:pStyle w:val="nTable"/>
              <w:spacing w:after="40"/>
              <w:rPr>
                <w:sz w:val="19"/>
              </w:rPr>
            </w:pPr>
            <w:r>
              <w:rPr>
                <w:sz w:val="19"/>
              </w:rPr>
              <w:t>13 Dec 1983</w:t>
            </w:r>
          </w:p>
        </w:tc>
        <w:tc>
          <w:tcPr>
            <w:tcW w:w="2452" w:type="dxa"/>
            <w:gridSpan w:val="2"/>
          </w:tcPr>
          <w:p>
            <w:pPr>
              <w:pStyle w:val="nTable"/>
              <w:spacing w:after="40"/>
              <w:rPr>
                <w:sz w:val="19"/>
              </w:rPr>
            </w:pPr>
            <w:r>
              <w:rPr>
                <w:sz w:val="19"/>
              </w:rPr>
              <w:t>s. 1</w:t>
            </w:r>
            <w:r>
              <w:rPr>
                <w:sz w:val="19"/>
              </w:rPr>
              <w:noBreakHyphen/>
              <w:t>4: 13 Dec 1983 (see s. 2(1));</w:t>
            </w:r>
            <w:r>
              <w:rPr>
                <w:sz w:val="19"/>
              </w:rPr>
              <w:br/>
              <w:t>balance: 1 Jan 1984 (see s. 2(2))</w:t>
            </w:r>
          </w:p>
        </w:tc>
      </w:tr>
      <w:tr>
        <w:trPr>
          <w:cantSplit/>
        </w:trPr>
        <w:tc>
          <w:tcPr>
            <w:tcW w:w="2264" w:type="dxa"/>
            <w:gridSpan w:val="2"/>
          </w:tcPr>
          <w:p>
            <w:pPr>
              <w:pStyle w:val="nTable"/>
              <w:spacing w:after="40"/>
              <w:ind w:right="113"/>
              <w:rPr>
                <w:sz w:val="19"/>
              </w:rPr>
            </w:pPr>
            <w:r>
              <w:rPr>
                <w:i/>
                <w:sz w:val="19"/>
              </w:rPr>
              <w:t>Stamp Amendment Act 1984</w:t>
            </w:r>
          </w:p>
        </w:tc>
        <w:tc>
          <w:tcPr>
            <w:tcW w:w="1133" w:type="dxa"/>
            <w:gridSpan w:val="3"/>
          </w:tcPr>
          <w:p>
            <w:pPr>
              <w:pStyle w:val="nTable"/>
              <w:spacing w:after="40"/>
              <w:rPr>
                <w:sz w:val="19"/>
              </w:rPr>
            </w:pPr>
            <w:r>
              <w:rPr>
                <w:sz w:val="19"/>
              </w:rPr>
              <w:t>81 of 1984</w:t>
            </w:r>
          </w:p>
        </w:tc>
        <w:tc>
          <w:tcPr>
            <w:tcW w:w="1136" w:type="dxa"/>
            <w:gridSpan w:val="2"/>
          </w:tcPr>
          <w:p>
            <w:pPr>
              <w:pStyle w:val="nTable"/>
              <w:spacing w:after="40"/>
              <w:rPr>
                <w:sz w:val="19"/>
              </w:rPr>
            </w:pPr>
            <w:r>
              <w:rPr>
                <w:sz w:val="19"/>
              </w:rPr>
              <w:t>7 Dec 1984</w:t>
            </w:r>
          </w:p>
        </w:tc>
        <w:tc>
          <w:tcPr>
            <w:tcW w:w="2452" w:type="dxa"/>
            <w:gridSpan w:val="2"/>
          </w:tcPr>
          <w:p>
            <w:pPr>
              <w:pStyle w:val="nTable"/>
              <w:spacing w:after="40"/>
              <w:rPr>
                <w:sz w:val="19"/>
              </w:rPr>
            </w:pPr>
            <w:r>
              <w:rPr>
                <w:sz w:val="19"/>
              </w:rPr>
              <w:t xml:space="preserve">1 Jan 1985 (see s. 2 and </w:t>
            </w:r>
            <w:r>
              <w:rPr>
                <w:i/>
                <w:sz w:val="19"/>
              </w:rPr>
              <w:t>Gazette</w:t>
            </w:r>
            <w:r>
              <w:rPr>
                <w:sz w:val="19"/>
              </w:rPr>
              <w:t xml:space="preserve"> </w:t>
            </w:r>
            <w:r>
              <w:rPr>
                <w:sz w:val="19"/>
              </w:rPr>
              <w:br/>
              <w:t>28 Dec 1984 p. 4197)</w:t>
            </w:r>
          </w:p>
        </w:tc>
      </w:tr>
      <w:tr>
        <w:trPr>
          <w:cantSplit/>
        </w:trPr>
        <w:tc>
          <w:tcPr>
            <w:tcW w:w="2264" w:type="dxa"/>
            <w:gridSpan w:val="2"/>
          </w:tcPr>
          <w:p>
            <w:pPr>
              <w:pStyle w:val="nTable"/>
              <w:spacing w:after="40"/>
              <w:ind w:right="113"/>
              <w:rPr>
                <w:sz w:val="19"/>
              </w:rPr>
            </w:pPr>
            <w:r>
              <w:rPr>
                <w:i/>
                <w:sz w:val="19"/>
              </w:rPr>
              <w:t>Stamp Amendment Act (No. 2) 1984</w:t>
            </w:r>
          </w:p>
        </w:tc>
        <w:tc>
          <w:tcPr>
            <w:tcW w:w="1133" w:type="dxa"/>
            <w:gridSpan w:val="3"/>
          </w:tcPr>
          <w:p>
            <w:pPr>
              <w:pStyle w:val="nTable"/>
              <w:spacing w:after="40"/>
              <w:rPr>
                <w:sz w:val="19"/>
              </w:rPr>
            </w:pPr>
            <w:r>
              <w:rPr>
                <w:sz w:val="19"/>
              </w:rPr>
              <w:t>109 of 1984</w:t>
            </w:r>
          </w:p>
        </w:tc>
        <w:tc>
          <w:tcPr>
            <w:tcW w:w="1136" w:type="dxa"/>
            <w:gridSpan w:val="2"/>
          </w:tcPr>
          <w:p>
            <w:pPr>
              <w:pStyle w:val="nTable"/>
              <w:spacing w:after="40"/>
              <w:rPr>
                <w:sz w:val="19"/>
              </w:rPr>
            </w:pPr>
            <w:r>
              <w:rPr>
                <w:sz w:val="19"/>
              </w:rPr>
              <w:t>19 Dec 1984</w:t>
            </w:r>
          </w:p>
        </w:tc>
        <w:tc>
          <w:tcPr>
            <w:tcW w:w="2452" w:type="dxa"/>
            <w:gridSpan w:val="2"/>
          </w:tcPr>
          <w:p>
            <w:pPr>
              <w:pStyle w:val="nTable"/>
              <w:spacing w:after="40"/>
              <w:rPr>
                <w:sz w:val="19"/>
              </w:rPr>
            </w:pPr>
            <w:r>
              <w:rPr>
                <w:sz w:val="19"/>
              </w:rPr>
              <w:t>1 Jan 1985 (see s. 2)</w:t>
            </w:r>
          </w:p>
        </w:tc>
      </w:tr>
      <w:tr>
        <w:trPr>
          <w:cantSplit/>
        </w:trPr>
        <w:tc>
          <w:tcPr>
            <w:tcW w:w="2264" w:type="dxa"/>
            <w:gridSpan w:val="2"/>
          </w:tcPr>
          <w:p>
            <w:pPr>
              <w:pStyle w:val="nTable"/>
              <w:spacing w:after="40"/>
              <w:ind w:right="113"/>
              <w:rPr>
                <w:sz w:val="19"/>
              </w:rPr>
            </w:pPr>
            <w:r>
              <w:rPr>
                <w:i/>
                <w:sz w:val="19"/>
              </w:rPr>
              <w:t>Acts Amendment (Lotteries) Act 1985</w:t>
            </w:r>
            <w:r>
              <w:rPr>
                <w:sz w:val="19"/>
              </w:rPr>
              <w:t xml:space="preserve"> Pt. V</w:t>
            </w:r>
          </w:p>
        </w:tc>
        <w:tc>
          <w:tcPr>
            <w:tcW w:w="1133" w:type="dxa"/>
            <w:gridSpan w:val="3"/>
          </w:tcPr>
          <w:p>
            <w:pPr>
              <w:pStyle w:val="nTable"/>
              <w:spacing w:after="40"/>
              <w:rPr>
                <w:sz w:val="19"/>
              </w:rPr>
            </w:pPr>
            <w:r>
              <w:rPr>
                <w:sz w:val="19"/>
              </w:rPr>
              <w:t>19 of 1985</w:t>
            </w:r>
          </w:p>
        </w:tc>
        <w:tc>
          <w:tcPr>
            <w:tcW w:w="1136" w:type="dxa"/>
            <w:gridSpan w:val="2"/>
          </w:tcPr>
          <w:p>
            <w:pPr>
              <w:pStyle w:val="nTable"/>
              <w:spacing w:after="40"/>
              <w:rPr>
                <w:sz w:val="19"/>
              </w:rPr>
            </w:pPr>
            <w:r>
              <w:rPr>
                <w:sz w:val="19"/>
              </w:rPr>
              <w:t>19 Apr 1985</w:t>
            </w:r>
          </w:p>
        </w:tc>
        <w:tc>
          <w:tcPr>
            <w:tcW w:w="2452" w:type="dxa"/>
            <w:gridSpan w:val="2"/>
          </w:tcPr>
          <w:p>
            <w:pPr>
              <w:pStyle w:val="nTable"/>
              <w:spacing w:after="40"/>
              <w:rPr>
                <w:sz w:val="19"/>
              </w:rPr>
            </w:pPr>
            <w:r>
              <w:rPr>
                <w:sz w:val="19"/>
              </w:rPr>
              <w:t>19 Apr 1985 (see s. 2(1))</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264" w:type="dxa"/>
            <w:gridSpan w:val="2"/>
          </w:tcPr>
          <w:p>
            <w:pPr>
              <w:pStyle w:val="nTable"/>
              <w:spacing w:after="40"/>
              <w:ind w:right="113"/>
              <w:rPr>
                <w:sz w:val="19"/>
              </w:rPr>
            </w:pPr>
            <w:r>
              <w:rPr>
                <w:i/>
                <w:sz w:val="19"/>
              </w:rPr>
              <w:t>Stamp Amendment Act 1985</w:t>
            </w:r>
          </w:p>
        </w:tc>
        <w:tc>
          <w:tcPr>
            <w:tcW w:w="1133" w:type="dxa"/>
            <w:gridSpan w:val="3"/>
          </w:tcPr>
          <w:p>
            <w:pPr>
              <w:pStyle w:val="nTable"/>
              <w:spacing w:after="40"/>
              <w:rPr>
                <w:sz w:val="19"/>
              </w:rPr>
            </w:pPr>
            <w:r>
              <w:rPr>
                <w:sz w:val="19"/>
              </w:rPr>
              <w:t>84 of 1985</w:t>
            </w:r>
          </w:p>
        </w:tc>
        <w:tc>
          <w:tcPr>
            <w:tcW w:w="1136" w:type="dxa"/>
            <w:gridSpan w:val="2"/>
          </w:tcPr>
          <w:p>
            <w:pPr>
              <w:pStyle w:val="nTable"/>
              <w:spacing w:after="40"/>
              <w:rPr>
                <w:sz w:val="19"/>
              </w:rPr>
            </w:pPr>
            <w:r>
              <w:rPr>
                <w:sz w:val="19"/>
              </w:rPr>
              <w:t>4 Dec 1985</w:t>
            </w:r>
          </w:p>
        </w:tc>
        <w:tc>
          <w:tcPr>
            <w:tcW w:w="2452" w:type="dxa"/>
            <w:gridSpan w:val="2"/>
          </w:tcPr>
          <w:p>
            <w:pPr>
              <w:pStyle w:val="nTable"/>
              <w:spacing w:after="40"/>
              <w:rPr>
                <w:sz w:val="19"/>
              </w:rPr>
            </w:pPr>
            <w:r>
              <w:rPr>
                <w:sz w:val="19"/>
              </w:rPr>
              <w:t>1 Jan 1986 (see s. 2)</w:t>
            </w:r>
          </w:p>
        </w:tc>
      </w:tr>
      <w:tr>
        <w:trPr>
          <w:cantSplit/>
        </w:trPr>
        <w:tc>
          <w:tcPr>
            <w:tcW w:w="2264" w:type="dxa"/>
            <w:gridSpan w:val="2"/>
          </w:tcPr>
          <w:p>
            <w:pPr>
              <w:pStyle w:val="nTable"/>
              <w:spacing w:after="40"/>
              <w:ind w:right="113"/>
              <w:rPr>
                <w:sz w:val="19"/>
              </w:rPr>
            </w:pPr>
            <w:r>
              <w:rPr>
                <w:i/>
                <w:sz w:val="19"/>
              </w:rPr>
              <w:t>Stamp Amendment Act (No. 2) 1985</w:t>
            </w:r>
          </w:p>
        </w:tc>
        <w:tc>
          <w:tcPr>
            <w:tcW w:w="1133" w:type="dxa"/>
            <w:gridSpan w:val="3"/>
          </w:tcPr>
          <w:p>
            <w:pPr>
              <w:pStyle w:val="nTable"/>
              <w:spacing w:after="40"/>
              <w:rPr>
                <w:sz w:val="19"/>
              </w:rPr>
            </w:pPr>
            <w:r>
              <w:rPr>
                <w:sz w:val="19"/>
              </w:rPr>
              <w:t>85 of 1985</w:t>
            </w:r>
          </w:p>
        </w:tc>
        <w:tc>
          <w:tcPr>
            <w:tcW w:w="1136" w:type="dxa"/>
            <w:gridSpan w:val="2"/>
          </w:tcPr>
          <w:p>
            <w:pPr>
              <w:pStyle w:val="nTable"/>
              <w:spacing w:after="40"/>
              <w:rPr>
                <w:sz w:val="19"/>
              </w:rPr>
            </w:pPr>
            <w:r>
              <w:rPr>
                <w:sz w:val="19"/>
              </w:rPr>
              <w:t>4 Dec 1985</w:t>
            </w:r>
          </w:p>
        </w:tc>
        <w:tc>
          <w:tcPr>
            <w:tcW w:w="2452" w:type="dxa"/>
            <w:gridSpan w:val="2"/>
          </w:tcPr>
          <w:p>
            <w:pPr>
              <w:pStyle w:val="nTable"/>
              <w:spacing w:after="40"/>
              <w:rPr>
                <w:sz w:val="19"/>
              </w:rPr>
            </w:pPr>
            <w:r>
              <w:rPr>
                <w:sz w:val="19"/>
              </w:rPr>
              <w:t>1 Jan 1986 (see s. 2)</w:t>
            </w:r>
          </w:p>
        </w:tc>
      </w:tr>
      <w:tr>
        <w:trPr>
          <w:cantSplit/>
        </w:trPr>
        <w:tc>
          <w:tcPr>
            <w:tcW w:w="2264" w:type="dxa"/>
            <w:gridSpan w:val="2"/>
          </w:tcPr>
          <w:p>
            <w:pPr>
              <w:pStyle w:val="nTable"/>
              <w:spacing w:after="40"/>
              <w:ind w:right="113"/>
              <w:rPr>
                <w:sz w:val="19"/>
                <w:vertAlign w:val="superscript"/>
              </w:rPr>
            </w:pPr>
            <w:r>
              <w:rPr>
                <w:i/>
                <w:sz w:val="19"/>
              </w:rPr>
              <w:t>Stamp Amendment Act 1986</w:t>
            </w:r>
            <w:r>
              <w:rPr>
                <w:sz w:val="19"/>
                <w:vertAlign w:val="superscript"/>
              </w:rPr>
              <w:t> 16</w:t>
            </w:r>
          </w:p>
        </w:tc>
        <w:tc>
          <w:tcPr>
            <w:tcW w:w="1133" w:type="dxa"/>
            <w:gridSpan w:val="3"/>
          </w:tcPr>
          <w:p>
            <w:pPr>
              <w:pStyle w:val="nTable"/>
              <w:spacing w:after="40"/>
              <w:rPr>
                <w:sz w:val="19"/>
              </w:rPr>
            </w:pPr>
            <w:r>
              <w:rPr>
                <w:sz w:val="19"/>
              </w:rPr>
              <w:t>98 of 1986</w:t>
            </w:r>
          </w:p>
        </w:tc>
        <w:tc>
          <w:tcPr>
            <w:tcW w:w="1136" w:type="dxa"/>
            <w:gridSpan w:val="2"/>
          </w:tcPr>
          <w:p>
            <w:pPr>
              <w:pStyle w:val="nTable"/>
              <w:spacing w:after="40"/>
              <w:rPr>
                <w:sz w:val="19"/>
              </w:rPr>
            </w:pPr>
            <w:r>
              <w:rPr>
                <w:sz w:val="19"/>
              </w:rPr>
              <w:t>11 Dec 1986</w:t>
            </w:r>
          </w:p>
        </w:tc>
        <w:tc>
          <w:tcPr>
            <w:tcW w:w="2452" w:type="dxa"/>
            <w:gridSpan w:val="2"/>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264" w:type="dxa"/>
            <w:gridSpan w:val="2"/>
          </w:tcPr>
          <w:p>
            <w:pPr>
              <w:pStyle w:val="nTable"/>
              <w:spacing w:after="40"/>
              <w:ind w:right="113"/>
              <w:rPr>
                <w:sz w:val="19"/>
              </w:rPr>
            </w:pPr>
            <w:r>
              <w:rPr>
                <w:i/>
                <w:sz w:val="19"/>
              </w:rPr>
              <w:t>Stamp Amendment Act 1987 </w:t>
            </w:r>
            <w:r>
              <w:rPr>
                <w:sz w:val="19"/>
                <w:vertAlign w:val="superscript"/>
              </w:rPr>
              <w:t>17</w:t>
            </w:r>
          </w:p>
        </w:tc>
        <w:tc>
          <w:tcPr>
            <w:tcW w:w="1133" w:type="dxa"/>
            <w:gridSpan w:val="3"/>
          </w:tcPr>
          <w:p>
            <w:pPr>
              <w:pStyle w:val="nTable"/>
              <w:spacing w:after="40"/>
              <w:rPr>
                <w:sz w:val="19"/>
              </w:rPr>
            </w:pPr>
            <w:r>
              <w:rPr>
                <w:sz w:val="19"/>
              </w:rPr>
              <w:t>33 of 1987</w:t>
            </w:r>
          </w:p>
        </w:tc>
        <w:tc>
          <w:tcPr>
            <w:tcW w:w="1136" w:type="dxa"/>
            <w:gridSpan w:val="2"/>
          </w:tcPr>
          <w:p>
            <w:pPr>
              <w:pStyle w:val="nTable"/>
              <w:spacing w:after="40"/>
              <w:rPr>
                <w:sz w:val="19"/>
              </w:rPr>
            </w:pPr>
            <w:r>
              <w:rPr>
                <w:sz w:val="19"/>
              </w:rPr>
              <w:t>30 Jun 1987</w:t>
            </w:r>
          </w:p>
        </w:tc>
        <w:tc>
          <w:tcPr>
            <w:tcW w:w="2452" w:type="dxa"/>
            <w:gridSpan w:val="2"/>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264" w:type="dxa"/>
            <w:gridSpan w:val="2"/>
          </w:tcPr>
          <w:p>
            <w:pPr>
              <w:pStyle w:val="nTable"/>
              <w:keepNext/>
              <w:spacing w:after="40"/>
              <w:ind w:right="113"/>
              <w:rPr>
                <w:sz w:val="19"/>
              </w:rPr>
            </w:pPr>
            <w:r>
              <w:rPr>
                <w:i/>
                <w:sz w:val="19"/>
              </w:rPr>
              <w:t>Stamp Amendment Act (No. 2) 1987</w:t>
            </w:r>
            <w:r>
              <w:rPr>
                <w:sz w:val="19"/>
                <w:vertAlign w:val="superscript"/>
              </w:rPr>
              <w:t xml:space="preserve"> 18</w:t>
            </w:r>
          </w:p>
        </w:tc>
        <w:tc>
          <w:tcPr>
            <w:tcW w:w="1133" w:type="dxa"/>
            <w:gridSpan w:val="3"/>
          </w:tcPr>
          <w:p>
            <w:pPr>
              <w:pStyle w:val="nTable"/>
              <w:keepNext/>
              <w:spacing w:after="40"/>
              <w:rPr>
                <w:sz w:val="19"/>
              </w:rPr>
            </w:pPr>
            <w:r>
              <w:rPr>
                <w:sz w:val="19"/>
              </w:rPr>
              <w:t>100 of 1987</w:t>
            </w:r>
          </w:p>
        </w:tc>
        <w:tc>
          <w:tcPr>
            <w:tcW w:w="1136" w:type="dxa"/>
            <w:gridSpan w:val="2"/>
          </w:tcPr>
          <w:p>
            <w:pPr>
              <w:pStyle w:val="nTable"/>
              <w:keepNext/>
              <w:spacing w:after="40"/>
              <w:rPr>
                <w:sz w:val="19"/>
              </w:rPr>
            </w:pPr>
            <w:r>
              <w:rPr>
                <w:sz w:val="19"/>
              </w:rPr>
              <w:t>18 Dec 1987</w:t>
            </w:r>
          </w:p>
        </w:tc>
        <w:tc>
          <w:tcPr>
            <w:tcW w:w="2452" w:type="dxa"/>
            <w:gridSpan w:val="2"/>
          </w:tcPr>
          <w:p>
            <w:pPr>
              <w:pStyle w:val="nTable"/>
              <w:keepNext/>
              <w:spacing w:after="40"/>
              <w:rPr>
                <w:sz w:val="19"/>
              </w:rPr>
            </w:pPr>
            <w:r>
              <w:rPr>
                <w:sz w:val="19"/>
              </w:rPr>
              <w:t>1 Jan 1988 (see s. 2)</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264" w:type="dxa"/>
            <w:gridSpan w:val="2"/>
          </w:tcPr>
          <w:p>
            <w:pPr>
              <w:pStyle w:val="nTable"/>
              <w:spacing w:after="40"/>
              <w:ind w:right="113"/>
              <w:rPr>
                <w:sz w:val="19"/>
              </w:rPr>
            </w:pPr>
            <w:r>
              <w:rPr>
                <w:i/>
                <w:sz w:val="19"/>
              </w:rPr>
              <w:t>Stamp Amendment Act (No. 2) 1989</w:t>
            </w:r>
          </w:p>
        </w:tc>
        <w:tc>
          <w:tcPr>
            <w:tcW w:w="1133" w:type="dxa"/>
            <w:gridSpan w:val="3"/>
          </w:tcPr>
          <w:p>
            <w:pPr>
              <w:pStyle w:val="nTable"/>
              <w:spacing w:after="40"/>
              <w:rPr>
                <w:sz w:val="19"/>
              </w:rPr>
            </w:pPr>
            <w:r>
              <w:rPr>
                <w:sz w:val="19"/>
              </w:rPr>
              <w:t>3 of 1989</w:t>
            </w:r>
          </w:p>
        </w:tc>
        <w:tc>
          <w:tcPr>
            <w:tcW w:w="1136" w:type="dxa"/>
            <w:gridSpan w:val="2"/>
          </w:tcPr>
          <w:p>
            <w:pPr>
              <w:pStyle w:val="nTable"/>
              <w:spacing w:after="40"/>
              <w:rPr>
                <w:sz w:val="19"/>
              </w:rPr>
            </w:pPr>
            <w:r>
              <w:rPr>
                <w:sz w:val="19"/>
              </w:rPr>
              <w:t>20 Apr 1989</w:t>
            </w:r>
          </w:p>
        </w:tc>
        <w:tc>
          <w:tcPr>
            <w:tcW w:w="2452" w:type="dxa"/>
            <w:gridSpan w:val="2"/>
          </w:tcPr>
          <w:p>
            <w:pPr>
              <w:pStyle w:val="nTable"/>
              <w:spacing w:after="40"/>
              <w:rPr>
                <w:sz w:val="19"/>
              </w:rPr>
            </w:pPr>
            <w:r>
              <w:rPr>
                <w:sz w:val="19"/>
              </w:rPr>
              <w:t>20 Apr 1989 (see s. 2)</w:t>
            </w:r>
          </w:p>
        </w:tc>
      </w:tr>
      <w:tr>
        <w:trPr>
          <w:cantSplit/>
        </w:trPr>
        <w:tc>
          <w:tcPr>
            <w:tcW w:w="2264" w:type="dxa"/>
            <w:gridSpan w:val="2"/>
          </w:tcPr>
          <w:p>
            <w:pPr>
              <w:pStyle w:val="nTable"/>
              <w:spacing w:after="40"/>
              <w:ind w:right="113"/>
              <w:rPr>
                <w:sz w:val="19"/>
              </w:rPr>
            </w:pPr>
            <w:r>
              <w:rPr>
                <w:i/>
                <w:sz w:val="19"/>
              </w:rPr>
              <w:t>Stamp Amendment Act (No. 4) 1989</w:t>
            </w:r>
          </w:p>
        </w:tc>
        <w:tc>
          <w:tcPr>
            <w:tcW w:w="1133" w:type="dxa"/>
            <w:gridSpan w:val="3"/>
          </w:tcPr>
          <w:p>
            <w:pPr>
              <w:pStyle w:val="nTable"/>
              <w:spacing w:after="40"/>
              <w:rPr>
                <w:sz w:val="19"/>
              </w:rPr>
            </w:pPr>
            <w:r>
              <w:rPr>
                <w:sz w:val="19"/>
              </w:rPr>
              <w:t>16 of 1989</w:t>
            </w:r>
            <w:r>
              <w:rPr>
                <w:sz w:val="19"/>
              </w:rPr>
              <w:br/>
              <w:t>(as amended by No. 41 of 1989 s. 28)</w:t>
            </w:r>
          </w:p>
        </w:tc>
        <w:tc>
          <w:tcPr>
            <w:tcW w:w="1136" w:type="dxa"/>
            <w:gridSpan w:val="2"/>
          </w:tcPr>
          <w:p>
            <w:pPr>
              <w:pStyle w:val="nTable"/>
              <w:spacing w:after="40"/>
              <w:rPr>
                <w:sz w:val="19"/>
              </w:rPr>
            </w:pPr>
            <w:r>
              <w:rPr>
                <w:sz w:val="19"/>
              </w:rPr>
              <w:t>16 Nov 1989</w:t>
            </w:r>
          </w:p>
        </w:tc>
        <w:tc>
          <w:tcPr>
            <w:tcW w:w="2452" w:type="dxa"/>
            <w:gridSpan w:val="2"/>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cantSplit/>
        </w:trPr>
        <w:tc>
          <w:tcPr>
            <w:tcW w:w="2264" w:type="dxa"/>
            <w:gridSpan w:val="2"/>
          </w:tcPr>
          <w:p>
            <w:pPr>
              <w:pStyle w:val="nTable"/>
              <w:spacing w:after="40"/>
              <w:ind w:right="113"/>
              <w:rPr>
                <w:sz w:val="19"/>
              </w:rPr>
            </w:pPr>
            <w:r>
              <w:rPr>
                <w:i/>
                <w:sz w:val="19"/>
              </w:rPr>
              <w:t xml:space="preserve">Taxation (Reciprocal Powers) Act 1989 </w:t>
            </w:r>
            <w:r>
              <w:rPr>
                <w:sz w:val="19"/>
              </w:rPr>
              <w:t>s. 16</w:t>
            </w:r>
          </w:p>
        </w:tc>
        <w:tc>
          <w:tcPr>
            <w:tcW w:w="1133" w:type="dxa"/>
            <w:gridSpan w:val="3"/>
          </w:tcPr>
          <w:p>
            <w:pPr>
              <w:pStyle w:val="nTable"/>
              <w:spacing w:after="40"/>
              <w:rPr>
                <w:sz w:val="19"/>
              </w:rPr>
            </w:pPr>
            <w:r>
              <w:rPr>
                <w:sz w:val="19"/>
              </w:rPr>
              <w:t>18 of 1989</w:t>
            </w:r>
          </w:p>
        </w:tc>
        <w:tc>
          <w:tcPr>
            <w:tcW w:w="1136" w:type="dxa"/>
            <w:gridSpan w:val="2"/>
          </w:tcPr>
          <w:p>
            <w:pPr>
              <w:pStyle w:val="nTable"/>
              <w:spacing w:after="40"/>
              <w:rPr>
                <w:sz w:val="19"/>
              </w:rPr>
            </w:pPr>
            <w:r>
              <w:rPr>
                <w:sz w:val="19"/>
              </w:rPr>
              <w:t>1 Dec 1989</w:t>
            </w:r>
          </w:p>
        </w:tc>
        <w:tc>
          <w:tcPr>
            <w:tcW w:w="2452" w:type="dxa"/>
            <w:gridSpan w:val="2"/>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264" w:type="dxa"/>
            <w:gridSpan w:val="2"/>
          </w:tcPr>
          <w:p>
            <w:pPr>
              <w:pStyle w:val="nTable"/>
              <w:spacing w:after="40"/>
              <w:ind w:right="113"/>
              <w:rPr>
                <w:sz w:val="19"/>
              </w:rPr>
            </w:pPr>
            <w:r>
              <w:rPr>
                <w:i/>
                <w:sz w:val="19"/>
              </w:rPr>
              <w:t>Stamp Amendment Act (No. 3) 1989</w:t>
            </w:r>
          </w:p>
        </w:tc>
        <w:tc>
          <w:tcPr>
            <w:tcW w:w="1133" w:type="dxa"/>
            <w:gridSpan w:val="3"/>
          </w:tcPr>
          <w:p>
            <w:pPr>
              <w:pStyle w:val="nTable"/>
              <w:spacing w:after="40"/>
              <w:rPr>
                <w:sz w:val="19"/>
              </w:rPr>
            </w:pPr>
            <w:r>
              <w:rPr>
                <w:sz w:val="19"/>
              </w:rPr>
              <w:t>41 of 1989</w:t>
            </w:r>
          </w:p>
        </w:tc>
        <w:tc>
          <w:tcPr>
            <w:tcW w:w="1136" w:type="dxa"/>
            <w:gridSpan w:val="2"/>
          </w:tcPr>
          <w:p>
            <w:pPr>
              <w:pStyle w:val="nTable"/>
              <w:spacing w:after="40"/>
              <w:rPr>
                <w:sz w:val="19"/>
              </w:rPr>
            </w:pPr>
            <w:r>
              <w:rPr>
                <w:sz w:val="19"/>
              </w:rPr>
              <w:t>21 Dec 1989</w:t>
            </w:r>
          </w:p>
        </w:tc>
        <w:tc>
          <w:tcPr>
            <w:tcW w:w="2452" w:type="dxa"/>
            <w:gridSpan w:val="2"/>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cantSplit/>
        </w:trPr>
        <w:tc>
          <w:tcPr>
            <w:tcW w:w="2264" w:type="dxa"/>
            <w:gridSpan w:val="2"/>
          </w:tcPr>
          <w:p>
            <w:pPr>
              <w:pStyle w:val="nTable"/>
              <w:spacing w:after="40"/>
              <w:ind w:right="113"/>
              <w:rPr>
                <w:sz w:val="19"/>
              </w:rPr>
            </w:pPr>
            <w:r>
              <w:rPr>
                <w:i/>
                <w:sz w:val="19"/>
              </w:rPr>
              <w:t>Stamp Amendment Act 1990</w:t>
            </w:r>
          </w:p>
        </w:tc>
        <w:tc>
          <w:tcPr>
            <w:tcW w:w="1133" w:type="dxa"/>
            <w:gridSpan w:val="3"/>
          </w:tcPr>
          <w:p>
            <w:pPr>
              <w:pStyle w:val="nTable"/>
              <w:spacing w:after="40"/>
              <w:rPr>
                <w:sz w:val="19"/>
              </w:rPr>
            </w:pPr>
            <w:r>
              <w:rPr>
                <w:sz w:val="19"/>
              </w:rPr>
              <w:t>20 of 1990</w:t>
            </w:r>
          </w:p>
        </w:tc>
        <w:tc>
          <w:tcPr>
            <w:tcW w:w="1136" w:type="dxa"/>
            <w:gridSpan w:val="2"/>
          </w:tcPr>
          <w:p>
            <w:pPr>
              <w:pStyle w:val="nTable"/>
              <w:spacing w:after="40"/>
              <w:rPr>
                <w:sz w:val="19"/>
              </w:rPr>
            </w:pPr>
            <w:r>
              <w:rPr>
                <w:sz w:val="19"/>
              </w:rPr>
              <w:t>24 Jul 1990</w:t>
            </w:r>
          </w:p>
        </w:tc>
        <w:tc>
          <w:tcPr>
            <w:tcW w:w="2452" w:type="dxa"/>
            <w:gridSpan w:val="2"/>
          </w:tcPr>
          <w:p>
            <w:pPr>
              <w:pStyle w:val="nTable"/>
              <w:spacing w:after="40"/>
              <w:rPr>
                <w:sz w:val="19"/>
              </w:rPr>
            </w:pPr>
            <w:r>
              <w:rPr>
                <w:sz w:val="19"/>
              </w:rPr>
              <w:t>24 Jul 1990 (see s. 2)</w:t>
            </w:r>
          </w:p>
        </w:tc>
      </w:tr>
      <w:tr>
        <w:trPr>
          <w:cantSplit/>
        </w:trPr>
        <w:tc>
          <w:tcPr>
            <w:tcW w:w="2264" w:type="dxa"/>
            <w:gridSpan w:val="2"/>
          </w:tcPr>
          <w:p>
            <w:pPr>
              <w:pStyle w:val="nTable"/>
              <w:spacing w:after="40"/>
              <w:ind w:right="113"/>
              <w:rPr>
                <w:sz w:val="19"/>
              </w:rPr>
            </w:pPr>
            <w:r>
              <w:rPr>
                <w:i/>
                <w:sz w:val="19"/>
              </w:rPr>
              <w:t xml:space="preserve">Acts Amendment (Betting Tax and Stamp Duty) Act (No. 2) 1990 </w:t>
            </w:r>
            <w:r>
              <w:rPr>
                <w:sz w:val="19"/>
              </w:rPr>
              <w:t>Pt. 2</w:t>
            </w:r>
          </w:p>
        </w:tc>
        <w:tc>
          <w:tcPr>
            <w:tcW w:w="1133" w:type="dxa"/>
            <w:gridSpan w:val="3"/>
          </w:tcPr>
          <w:p>
            <w:pPr>
              <w:pStyle w:val="nTable"/>
              <w:spacing w:after="40"/>
              <w:rPr>
                <w:sz w:val="19"/>
              </w:rPr>
            </w:pPr>
            <w:r>
              <w:rPr>
                <w:sz w:val="19"/>
              </w:rPr>
              <w:t>58 of 1990</w:t>
            </w:r>
          </w:p>
        </w:tc>
        <w:tc>
          <w:tcPr>
            <w:tcW w:w="1136" w:type="dxa"/>
            <w:gridSpan w:val="2"/>
          </w:tcPr>
          <w:p>
            <w:pPr>
              <w:pStyle w:val="nTable"/>
              <w:spacing w:after="40"/>
              <w:rPr>
                <w:sz w:val="19"/>
              </w:rPr>
            </w:pPr>
            <w:r>
              <w:rPr>
                <w:sz w:val="19"/>
              </w:rPr>
              <w:t>17 Dec 1990</w:t>
            </w:r>
          </w:p>
        </w:tc>
        <w:tc>
          <w:tcPr>
            <w:tcW w:w="2452" w:type="dxa"/>
            <w:gridSpan w:val="2"/>
          </w:tcPr>
          <w:p>
            <w:pPr>
              <w:pStyle w:val="nTable"/>
              <w:spacing w:after="40"/>
              <w:rPr>
                <w:sz w:val="19"/>
              </w:rPr>
            </w:pPr>
            <w:r>
              <w:rPr>
                <w:sz w:val="19"/>
              </w:rPr>
              <w:t>1 Aug 1989 (see s. 2)</w:t>
            </w:r>
          </w:p>
        </w:tc>
      </w:tr>
      <w:tr>
        <w:trPr>
          <w:cantSplit/>
        </w:trPr>
        <w:tc>
          <w:tcPr>
            <w:tcW w:w="2264" w:type="dxa"/>
            <w:gridSpan w:val="2"/>
          </w:tcPr>
          <w:p>
            <w:pPr>
              <w:pStyle w:val="nTable"/>
              <w:spacing w:after="40"/>
              <w:ind w:right="113"/>
              <w:rPr>
                <w:sz w:val="19"/>
              </w:rPr>
            </w:pPr>
            <w:r>
              <w:rPr>
                <w:i/>
                <w:sz w:val="19"/>
              </w:rPr>
              <w:t xml:space="preserve">R &amp; I Bank Act 1990 </w:t>
            </w:r>
            <w:r>
              <w:rPr>
                <w:sz w:val="19"/>
              </w:rPr>
              <w:t>s. 45(1)</w:t>
            </w:r>
          </w:p>
        </w:tc>
        <w:tc>
          <w:tcPr>
            <w:tcW w:w="1133" w:type="dxa"/>
            <w:gridSpan w:val="3"/>
          </w:tcPr>
          <w:p>
            <w:pPr>
              <w:pStyle w:val="nTable"/>
              <w:spacing w:after="40"/>
              <w:rPr>
                <w:sz w:val="19"/>
              </w:rPr>
            </w:pPr>
            <w:r>
              <w:rPr>
                <w:sz w:val="19"/>
              </w:rPr>
              <w:t>73 of 1990</w:t>
            </w:r>
          </w:p>
        </w:tc>
        <w:tc>
          <w:tcPr>
            <w:tcW w:w="1136" w:type="dxa"/>
            <w:gridSpan w:val="2"/>
          </w:tcPr>
          <w:p>
            <w:pPr>
              <w:pStyle w:val="nTable"/>
              <w:spacing w:after="40"/>
              <w:rPr>
                <w:sz w:val="19"/>
              </w:rPr>
            </w:pPr>
            <w:r>
              <w:rPr>
                <w:sz w:val="19"/>
              </w:rPr>
              <w:t>20 Dec 1990</w:t>
            </w:r>
          </w:p>
        </w:tc>
        <w:tc>
          <w:tcPr>
            <w:tcW w:w="2452"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4" w:type="dxa"/>
            <w:gridSpan w:val="2"/>
          </w:tcPr>
          <w:p>
            <w:pPr>
              <w:pStyle w:val="nTable"/>
              <w:spacing w:after="40"/>
              <w:ind w:right="113"/>
              <w:rPr>
                <w:sz w:val="19"/>
              </w:rPr>
            </w:pPr>
            <w:r>
              <w:rPr>
                <w:i/>
                <w:sz w:val="19"/>
              </w:rPr>
              <w:t>Stamp Amendment Act 1991 </w:t>
            </w:r>
            <w:r>
              <w:rPr>
                <w:sz w:val="19"/>
                <w:vertAlign w:val="superscript"/>
              </w:rPr>
              <w:t>19</w:t>
            </w:r>
          </w:p>
        </w:tc>
        <w:tc>
          <w:tcPr>
            <w:tcW w:w="1133" w:type="dxa"/>
            <w:gridSpan w:val="3"/>
          </w:tcPr>
          <w:p>
            <w:pPr>
              <w:pStyle w:val="nTable"/>
              <w:spacing w:after="40"/>
              <w:rPr>
                <w:sz w:val="19"/>
              </w:rPr>
            </w:pPr>
            <w:r>
              <w:rPr>
                <w:sz w:val="19"/>
              </w:rPr>
              <w:t>52 of 1991</w:t>
            </w:r>
          </w:p>
        </w:tc>
        <w:tc>
          <w:tcPr>
            <w:tcW w:w="1136" w:type="dxa"/>
            <w:gridSpan w:val="2"/>
          </w:tcPr>
          <w:p>
            <w:pPr>
              <w:pStyle w:val="nTable"/>
              <w:spacing w:after="40"/>
              <w:rPr>
                <w:sz w:val="19"/>
              </w:rPr>
            </w:pPr>
            <w:r>
              <w:rPr>
                <w:sz w:val="19"/>
              </w:rPr>
              <w:t>17 Dec 1991</w:t>
            </w:r>
          </w:p>
        </w:tc>
        <w:tc>
          <w:tcPr>
            <w:tcW w:w="2452" w:type="dxa"/>
            <w:gridSpan w:val="2"/>
          </w:tcPr>
          <w:p>
            <w:pPr>
              <w:pStyle w:val="nTable"/>
              <w:spacing w:after="40"/>
              <w:rPr>
                <w:sz w:val="19"/>
              </w:rPr>
            </w:pPr>
            <w:r>
              <w:rPr>
                <w:sz w:val="19"/>
              </w:rPr>
              <w:t xml:space="preserve">s. 4 and 6: 29 Aug 1991 (see s. 2(2)); </w:t>
            </w:r>
            <w:r>
              <w:rPr>
                <w:sz w:val="19"/>
              </w:rPr>
              <w:br/>
              <w:t>balance: 17 Dec 1991 (see s. 2(1))</w:t>
            </w:r>
          </w:p>
        </w:tc>
      </w:tr>
      <w:tr>
        <w:trPr>
          <w:cantSplit/>
        </w:trPr>
        <w:tc>
          <w:tcPr>
            <w:tcW w:w="2264" w:type="dxa"/>
            <w:gridSpan w:val="2"/>
          </w:tcPr>
          <w:p>
            <w:pPr>
              <w:pStyle w:val="nTable"/>
              <w:spacing w:after="40"/>
              <w:ind w:right="113"/>
              <w:rPr>
                <w:sz w:val="19"/>
              </w:rPr>
            </w:pPr>
            <w:r>
              <w:rPr>
                <w:i/>
                <w:sz w:val="19"/>
              </w:rPr>
              <w:t>Stamp Amendment Act (No. 2) 1991</w:t>
            </w:r>
          </w:p>
        </w:tc>
        <w:tc>
          <w:tcPr>
            <w:tcW w:w="1133" w:type="dxa"/>
            <w:gridSpan w:val="3"/>
          </w:tcPr>
          <w:p>
            <w:pPr>
              <w:pStyle w:val="nTable"/>
              <w:spacing w:after="40"/>
              <w:rPr>
                <w:sz w:val="19"/>
              </w:rPr>
            </w:pPr>
            <w:r>
              <w:rPr>
                <w:sz w:val="19"/>
              </w:rPr>
              <w:t>53 of 1991</w:t>
            </w:r>
          </w:p>
        </w:tc>
        <w:tc>
          <w:tcPr>
            <w:tcW w:w="1136" w:type="dxa"/>
            <w:gridSpan w:val="2"/>
          </w:tcPr>
          <w:p>
            <w:pPr>
              <w:pStyle w:val="nTable"/>
              <w:spacing w:after="40"/>
              <w:rPr>
                <w:sz w:val="19"/>
              </w:rPr>
            </w:pPr>
            <w:r>
              <w:rPr>
                <w:sz w:val="19"/>
              </w:rPr>
              <w:t>17 Dec 1991</w:t>
            </w:r>
          </w:p>
        </w:tc>
        <w:tc>
          <w:tcPr>
            <w:tcW w:w="2452" w:type="dxa"/>
            <w:gridSpan w:val="2"/>
          </w:tcPr>
          <w:p>
            <w:pPr>
              <w:pStyle w:val="nTable"/>
              <w:spacing w:after="40"/>
              <w:rPr>
                <w:sz w:val="19"/>
              </w:rPr>
            </w:pPr>
            <w:r>
              <w:rPr>
                <w:sz w:val="19"/>
              </w:rPr>
              <w:t>17 Dec 1991 (see s. 2)</w:t>
            </w:r>
          </w:p>
        </w:tc>
      </w:tr>
      <w:tr>
        <w:trPr>
          <w:cantSplit/>
        </w:trPr>
        <w:tc>
          <w:tcPr>
            <w:tcW w:w="2264" w:type="dxa"/>
            <w:gridSpan w:val="2"/>
          </w:tcPr>
          <w:p>
            <w:pPr>
              <w:pStyle w:val="nTable"/>
              <w:keepNext/>
              <w:keepLines/>
              <w:spacing w:after="40"/>
              <w:ind w:right="113"/>
              <w:rPr>
                <w:sz w:val="19"/>
              </w:rPr>
            </w:pPr>
            <w:r>
              <w:rPr>
                <w:i/>
                <w:sz w:val="19"/>
              </w:rPr>
              <w:t xml:space="preserve">SGIO Privatisation Act 1992 </w:t>
            </w:r>
            <w:r>
              <w:rPr>
                <w:sz w:val="19"/>
              </w:rPr>
              <w:t>s. 29</w:t>
            </w:r>
          </w:p>
        </w:tc>
        <w:tc>
          <w:tcPr>
            <w:tcW w:w="1133" w:type="dxa"/>
            <w:gridSpan w:val="3"/>
          </w:tcPr>
          <w:p>
            <w:pPr>
              <w:pStyle w:val="nTable"/>
              <w:keepNext/>
              <w:keepLines/>
              <w:spacing w:after="40"/>
              <w:rPr>
                <w:sz w:val="19"/>
              </w:rPr>
            </w:pPr>
            <w:r>
              <w:rPr>
                <w:sz w:val="19"/>
              </w:rPr>
              <w:t>49 of 1992</w:t>
            </w:r>
          </w:p>
        </w:tc>
        <w:tc>
          <w:tcPr>
            <w:tcW w:w="1136" w:type="dxa"/>
            <w:gridSpan w:val="2"/>
          </w:tcPr>
          <w:p>
            <w:pPr>
              <w:pStyle w:val="nTable"/>
              <w:keepNext/>
              <w:keepLines/>
              <w:spacing w:after="40"/>
              <w:rPr>
                <w:sz w:val="19"/>
              </w:rPr>
            </w:pPr>
            <w:r>
              <w:rPr>
                <w:sz w:val="19"/>
              </w:rPr>
              <w:t>9 Dec 1992</w:t>
            </w:r>
          </w:p>
        </w:tc>
        <w:tc>
          <w:tcPr>
            <w:tcW w:w="2452" w:type="dxa"/>
            <w:gridSpan w:val="2"/>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4" w:type="dxa"/>
            <w:gridSpan w:val="2"/>
          </w:tcPr>
          <w:p>
            <w:pPr>
              <w:pStyle w:val="nTable"/>
              <w:spacing w:after="40"/>
              <w:ind w:right="113"/>
              <w:rPr>
                <w:sz w:val="19"/>
              </w:rPr>
            </w:pPr>
            <w:r>
              <w:rPr>
                <w:i/>
                <w:sz w:val="19"/>
              </w:rPr>
              <w:t>Stamp Amendment Act 1993</w:t>
            </w:r>
          </w:p>
        </w:tc>
        <w:tc>
          <w:tcPr>
            <w:tcW w:w="1133" w:type="dxa"/>
            <w:gridSpan w:val="3"/>
          </w:tcPr>
          <w:p>
            <w:pPr>
              <w:pStyle w:val="nTable"/>
              <w:spacing w:after="40"/>
              <w:rPr>
                <w:sz w:val="19"/>
              </w:rPr>
            </w:pPr>
            <w:r>
              <w:rPr>
                <w:sz w:val="19"/>
              </w:rPr>
              <w:t>42 of 1993</w:t>
            </w:r>
          </w:p>
        </w:tc>
        <w:tc>
          <w:tcPr>
            <w:tcW w:w="1136" w:type="dxa"/>
            <w:gridSpan w:val="2"/>
          </w:tcPr>
          <w:p>
            <w:pPr>
              <w:pStyle w:val="nTable"/>
              <w:spacing w:after="40"/>
              <w:rPr>
                <w:sz w:val="19"/>
              </w:rPr>
            </w:pPr>
            <w:r>
              <w:rPr>
                <w:sz w:val="19"/>
              </w:rPr>
              <w:t>20 Dec 1993</w:t>
            </w:r>
          </w:p>
        </w:tc>
        <w:tc>
          <w:tcPr>
            <w:tcW w:w="2452" w:type="dxa"/>
            <w:gridSpan w:val="2"/>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264" w:type="dxa"/>
            <w:gridSpan w:val="2"/>
          </w:tcPr>
          <w:p>
            <w:pPr>
              <w:pStyle w:val="nTable"/>
              <w:spacing w:after="40"/>
              <w:ind w:right="113"/>
              <w:rPr>
                <w:sz w:val="19"/>
              </w:rPr>
            </w:pPr>
            <w:r>
              <w:rPr>
                <w:i/>
                <w:sz w:val="19"/>
              </w:rPr>
              <w:t xml:space="preserve">R &amp; I Bank Amendment Act 1994 </w:t>
            </w:r>
            <w:r>
              <w:rPr>
                <w:sz w:val="19"/>
              </w:rPr>
              <w:t>s. 13</w:t>
            </w:r>
          </w:p>
        </w:tc>
        <w:tc>
          <w:tcPr>
            <w:tcW w:w="1133" w:type="dxa"/>
            <w:gridSpan w:val="3"/>
          </w:tcPr>
          <w:p>
            <w:pPr>
              <w:pStyle w:val="nTable"/>
              <w:spacing w:after="40"/>
              <w:rPr>
                <w:sz w:val="19"/>
              </w:rPr>
            </w:pPr>
            <w:r>
              <w:rPr>
                <w:sz w:val="19"/>
              </w:rPr>
              <w:t>6 of 1994</w:t>
            </w:r>
          </w:p>
        </w:tc>
        <w:tc>
          <w:tcPr>
            <w:tcW w:w="1136" w:type="dxa"/>
            <w:gridSpan w:val="2"/>
          </w:tcPr>
          <w:p>
            <w:pPr>
              <w:pStyle w:val="nTable"/>
              <w:spacing w:after="40"/>
              <w:rPr>
                <w:sz w:val="19"/>
              </w:rPr>
            </w:pPr>
            <w:r>
              <w:rPr>
                <w:sz w:val="19"/>
              </w:rPr>
              <w:t>11 Apr 1994</w:t>
            </w:r>
          </w:p>
        </w:tc>
        <w:tc>
          <w:tcPr>
            <w:tcW w:w="2452" w:type="dxa"/>
            <w:gridSpan w:val="2"/>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4" w:type="dxa"/>
            <w:gridSpan w:val="2"/>
          </w:tcPr>
          <w:p>
            <w:pPr>
              <w:pStyle w:val="nTable"/>
              <w:spacing w:after="40"/>
              <w:ind w:right="113"/>
              <w:rPr>
                <w:sz w:val="19"/>
              </w:rPr>
            </w:pPr>
            <w:r>
              <w:rPr>
                <w:i/>
                <w:sz w:val="19"/>
              </w:rPr>
              <w:t>Stamp Amendment Act 1994</w:t>
            </w:r>
          </w:p>
        </w:tc>
        <w:tc>
          <w:tcPr>
            <w:tcW w:w="1133" w:type="dxa"/>
            <w:gridSpan w:val="3"/>
          </w:tcPr>
          <w:p>
            <w:pPr>
              <w:pStyle w:val="nTable"/>
              <w:spacing w:after="40"/>
              <w:rPr>
                <w:sz w:val="19"/>
              </w:rPr>
            </w:pPr>
            <w:r>
              <w:rPr>
                <w:sz w:val="19"/>
              </w:rPr>
              <w:t>39 of 1994</w:t>
            </w:r>
          </w:p>
        </w:tc>
        <w:tc>
          <w:tcPr>
            <w:tcW w:w="1136" w:type="dxa"/>
            <w:gridSpan w:val="2"/>
          </w:tcPr>
          <w:p>
            <w:pPr>
              <w:pStyle w:val="nTable"/>
              <w:spacing w:after="40"/>
              <w:rPr>
                <w:sz w:val="19"/>
              </w:rPr>
            </w:pPr>
            <w:r>
              <w:rPr>
                <w:sz w:val="19"/>
              </w:rPr>
              <w:t>26 Aug 1994</w:t>
            </w:r>
          </w:p>
        </w:tc>
        <w:tc>
          <w:tcPr>
            <w:tcW w:w="2452" w:type="dxa"/>
            <w:gridSpan w:val="2"/>
          </w:tcPr>
          <w:p>
            <w:pPr>
              <w:pStyle w:val="nTable"/>
              <w:spacing w:after="40"/>
              <w:rPr>
                <w:sz w:val="19"/>
              </w:rPr>
            </w:pPr>
            <w:r>
              <w:rPr>
                <w:sz w:val="19"/>
              </w:rPr>
              <w:t>1 Sep 1994 (see s. 2)</w:t>
            </w:r>
          </w:p>
        </w:tc>
      </w:tr>
      <w:tr>
        <w:trPr>
          <w:cantSplit/>
        </w:trPr>
        <w:tc>
          <w:tcPr>
            <w:tcW w:w="2264" w:type="dxa"/>
            <w:gridSpan w:val="2"/>
          </w:tcPr>
          <w:p>
            <w:pPr>
              <w:pStyle w:val="nTable"/>
              <w:spacing w:after="40"/>
              <w:ind w:right="113"/>
              <w:rPr>
                <w:sz w:val="19"/>
              </w:rPr>
            </w:pPr>
            <w:r>
              <w:rPr>
                <w:i/>
                <w:sz w:val="19"/>
              </w:rPr>
              <w:t>Stamp Amendment Act (No. 2) 1994 </w:t>
            </w:r>
            <w:r>
              <w:rPr>
                <w:sz w:val="19"/>
                <w:vertAlign w:val="superscript"/>
              </w:rPr>
              <w:t>5, 20</w:t>
            </w:r>
          </w:p>
        </w:tc>
        <w:tc>
          <w:tcPr>
            <w:tcW w:w="1133" w:type="dxa"/>
            <w:gridSpan w:val="3"/>
          </w:tcPr>
          <w:p>
            <w:pPr>
              <w:pStyle w:val="nTable"/>
              <w:spacing w:after="40"/>
              <w:rPr>
                <w:sz w:val="19"/>
              </w:rPr>
            </w:pPr>
            <w:r>
              <w:rPr>
                <w:sz w:val="19"/>
              </w:rPr>
              <w:t>79 of 1994</w:t>
            </w:r>
          </w:p>
        </w:tc>
        <w:tc>
          <w:tcPr>
            <w:tcW w:w="1136" w:type="dxa"/>
            <w:gridSpan w:val="2"/>
          </w:tcPr>
          <w:p>
            <w:pPr>
              <w:pStyle w:val="nTable"/>
              <w:spacing w:after="40"/>
              <w:rPr>
                <w:sz w:val="19"/>
              </w:rPr>
            </w:pPr>
            <w:r>
              <w:rPr>
                <w:sz w:val="19"/>
              </w:rPr>
              <w:t>22 Dec 1994</w:t>
            </w:r>
          </w:p>
        </w:tc>
        <w:tc>
          <w:tcPr>
            <w:tcW w:w="2452" w:type="dxa"/>
            <w:gridSpan w:val="2"/>
          </w:tcPr>
          <w:p>
            <w:pPr>
              <w:pStyle w:val="nTable"/>
              <w:spacing w:after="40"/>
              <w:rPr>
                <w:sz w:val="19"/>
              </w:rPr>
            </w:pPr>
            <w:r>
              <w:rPr>
                <w:sz w:val="19"/>
              </w:rPr>
              <w:t>22 Dec 1994 (see s. 2)</w:t>
            </w:r>
          </w:p>
        </w:tc>
      </w:tr>
      <w:tr>
        <w:trPr>
          <w:cantSplit/>
        </w:trPr>
        <w:tc>
          <w:tcPr>
            <w:tcW w:w="2264" w:type="dxa"/>
            <w:gridSpan w:val="2"/>
          </w:tcPr>
          <w:p>
            <w:pPr>
              <w:pStyle w:val="nTable"/>
              <w:spacing w:after="40"/>
              <w:ind w:right="113"/>
              <w:rPr>
                <w:sz w:val="19"/>
              </w:rPr>
            </w:pPr>
            <w:r>
              <w:rPr>
                <w:i/>
                <w:sz w:val="19"/>
              </w:rPr>
              <w:t xml:space="preserve">Bank of Western Australia Act 1995 </w:t>
            </w:r>
            <w:r>
              <w:rPr>
                <w:sz w:val="19"/>
              </w:rPr>
              <w:t>s. 44</w:t>
            </w:r>
          </w:p>
        </w:tc>
        <w:tc>
          <w:tcPr>
            <w:tcW w:w="1133" w:type="dxa"/>
            <w:gridSpan w:val="3"/>
          </w:tcPr>
          <w:p>
            <w:pPr>
              <w:pStyle w:val="nTable"/>
              <w:spacing w:after="40"/>
              <w:rPr>
                <w:sz w:val="19"/>
              </w:rPr>
            </w:pPr>
            <w:r>
              <w:rPr>
                <w:sz w:val="19"/>
              </w:rPr>
              <w:t>14 of 1995</w:t>
            </w:r>
          </w:p>
        </w:tc>
        <w:tc>
          <w:tcPr>
            <w:tcW w:w="1136" w:type="dxa"/>
            <w:gridSpan w:val="2"/>
          </w:tcPr>
          <w:p>
            <w:pPr>
              <w:pStyle w:val="nTable"/>
              <w:spacing w:after="40"/>
              <w:rPr>
                <w:sz w:val="19"/>
              </w:rPr>
            </w:pPr>
            <w:r>
              <w:rPr>
                <w:sz w:val="19"/>
              </w:rPr>
              <w:t>4 Jul 1995</w:t>
            </w:r>
          </w:p>
        </w:tc>
        <w:tc>
          <w:tcPr>
            <w:tcW w:w="2452" w:type="dxa"/>
            <w:gridSpan w:val="2"/>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264" w:type="dxa"/>
            <w:gridSpan w:val="2"/>
          </w:tcPr>
          <w:p>
            <w:pPr>
              <w:pStyle w:val="nTable"/>
              <w:spacing w:after="40"/>
              <w:ind w:right="113"/>
              <w:rPr>
                <w:sz w:val="19"/>
              </w:rPr>
            </w:pPr>
            <w:r>
              <w:rPr>
                <w:i/>
                <w:sz w:val="19"/>
              </w:rPr>
              <w:t xml:space="preserve">Road Traffic Amendment Act 1995 </w:t>
            </w:r>
            <w:r>
              <w:rPr>
                <w:sz w:val="19"/>
              </w:rPr>
              <w:t>s. 14</w:t>
            </w:r>
          </w:p>
        </w:tc>
        <w:tc>
          <w:tcPr>
            <w:tcW w:w="1133" w:type="dxa"/>
            <w:gridSpan w:val="3"/>
          </w:tcPr>
          <w:p>
            <w:pPr>
              <w:pStyle w:val="nTable"/>
              <w:spacing w:after="40"/>
              <w:rPr>
                <w:sz w:val="19"/>
              </w:rPr>
            </w:pPr>
            <w:r>
              <w:rPr>
                <w:sz w:val="19"/>
              </w:rPr>
              <w:t>21 of 1995</w:t>
            </w:r>
          </w:p>
        </w:tc>
        <w:tc>
          <w:tcPr>
            <w:tcW w:w="1136" w:type="dxa"/>
            <w:gridSpan w:val="2"/>
          </w:tcPr>
          <w:p>
            <w:pPr>
              <w:pStyle w:val="nTable"/>
              <w:spacing w:after="40"/>
              <w:rPr>
                <w:sz w:val="19"/>
              </w:rPr>
            </w:pPr>
            <w:r>
              <w:rPr>
                <w:sz w:val="19"/>
              </w:rPr>
              <w:t>13 Jul 1995</w:t>
            </w:r>
          </w:p>
        </w:tc>
        <w:tc>
          <w:tcPr>
            <w:tcW w:w="2452" w:type="dxa"/>
            <w:gridSpan w:val="2"/>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4" w:type="dxa"/>
            <w:gridSpan w:val="2"/>
          </w:tcPr>
          <w:p>
            <w:pPr>
              <w:pStyle w:val="nTable"/>
              <w:spacing w:after="40"/>
              <w:ind w:right="113"/>
              <w:rPr>
                <w:sz w:val="19"/>
              </w:rPr>
            </w:pPr>
            <w:r>
              <w:rPr>
                <w:i/>
                <w:sz w:val="19"/>
              </w:rPr>
              <w:t>Stamp Amendment (Marketable Securities Duty) Act 1995</w:t>
            </w:r>
            <w:r>
              <w:rPr>
                <w:sz w:val="19"/>
                <w:vertAlign w:val="superscript"/>
              </w:rPr>
              <w:t> 21</w:t>
            </w:r>
          </w:p>
        </w:tc>
        <w:tc>
          <w:tcPr>
            <w:tcW w:w="1133" w:type="dxa"/>
            <w:gridSpan w:val="3"/>
          </w:tcPr>
          <w:p>
            <w:pPr>
              <w:pStyle w:val="nTable"/>
              <w:spacing w:after="40"/>
              <w:rPr>
                <w:sz w:val="19"/>
              </w:rPr>
            </w:pPr>
            <w:r>
              <w:rPr>
                <w:sz w:val="19"/>
              </w:rPr>
              <w:t>22 of 1995</w:t>
            </w:r>
          </w:p>
        </w:tc>
        <w:tc>
          <w:tcPr>
            <w:tcW w:w="1136" w:type="dxa"/>
            <w:gridSpan w:val="2"/>
          </w:tcPr>
          <w:p>
            <w:pPr>
              <w:pStyle w:val="nTable"/>
              <w:spacing w:after="40"/>
              <w:rPr>
                <w:sz w:val="19"/>
              </w:rPr>
            </w:pPr>
            <w:r>
              <w:rPr>
                <w:sz w:val="19"/>
              </w:rPr>
              <w:t>13 Jul 1995</w:t>
            </w:r>
          </w:p>
        </w:tc>
        <w:tc>
          <w:tcPr>
            <w:tcW w:w="2452" w:type="dxa"/>
            <w:gridSpan w:val="2"/>
          </w:tcPr>
          <w:p>
            <w:pPr>
              <w:pStyle w:val="nTable"/>
              <w:spacing w:after="40"/>
              <w:rPr>
                <w:sz w:val="19"/>
              </w:rPr>
            </w:pPr>
            <w:r>
              <w:rPr>
                <w:sz w:val="19"/>
              </w:rPr>
              <w:t>1 Jul 1995 (see s. 2)</w:t>
            </w:r>
          </w:p>
        </w:tc>
      </w:tr>
      <w:tr>
        <w:trPr>
          <w:cantSplit/>
        </w:trPr>
        <w:tc>
          <w:tcPr>
            <w:tcW w:w="2264" w:type="dxa"/>
            <w:gridSpan w:val="2"/>
          </w:tcPr>
          <w:p>
            <w:pPr>
              <w:pStyle w:val="nTable"/>
              <w:spacing w:after="40"/>
              <w:ind w:right="113"/>
              <w:rPr>
                <w:sz w:val="19"/>
              </w:rPr>
            </w:pPr>
            <w:r>
              <w:rPr>
                <w:i/>
                <w:sz w:val="19"/>
              </w:rPr>
              <w:t>Stamp Amendment Act 1995</w:t>
            </w:r>
            <w:r>
              <w:rPr>
                <w:sz w:val="19"/>
                <w:vertAlign w:val="superscript"/>
              </w:rPr>
              <w:t> 22, 23</w:t>
            </w:r>
          </w:p>
        </w:tc>
        <w:tc>
          <w:tcPr>
            <w:tcW w:w="1133" w:type="dxa"/>
            <w:gridSpan w:val="3"/>
          </w:tcPr>
          <w:p>
            <w:pPr>
              <w:pStyle w:val="nTable"/>
              <w:spacing w:after="40"/>
              <w:rPr>
                <w:sz w:val="19"/>
              </w:rPr>
            </w:pPr>
            <w:r>
              <w:rPr>
                <w:sz w:val="19"/>
              </w:rPr>
              <w:t>41 of 1995</w:t>
            </w:r>
          </w:p>
        </w:tc>
        <w:tc>
          <w:tcPr>
            <w:tcW w:w="1136" w:type="dxa"/>
            <w:gridSpan w:val="2"/>
          </w:tcPr>
          <w:p>
            <w:pPr>
              <w:pStyle w:val="nTable"/>
              <w:spacing w:after="40"/>
              <w:rPr>
                <w:sz w:val="19"/>
              </w:rPr>
            </w:pPr>
            <w:r>
              <w:rPr>
                <w:sz w:val="19"/>
              </w:rPr>
              <w:t>24 Oct 1995</w:t>
            </w:r>
          </w:p>
        </w:tc>
        <w:tc>
          <w:tcPr>
            <w:tcW w:w="2452" w:type="dxa"/>
            <w:gridSpan w:val="2"/>
          </w:tcPr>
          <w:p>
            <w:pPr>
              <w:pStyle w:val="nTable"/>
              <w:spacing w:after="40"/>
              <w:rPr>
                <w:sz w:val="19"/>
              </w:rPr>
            </w:pPr>
            <w:r>
              <w:rPr>
                <w:sz w:val="19"/>
              </w:rPr>
              <w:t>24 Oct 1995 (see s. 2)</w:t>
            </w:r>
          </w:p>
        </w:tc>
      </w:tr>
      <w:tr>
        <w:trPr>
          <w:cantSplit/>
        </w:trPr>
        <w:tc>
          <w:tcPr>
            <w:tcW w:w="2264" w:type="dxa"/>
            <w:gridSpan w:val="2"/>
          </w:tcPr>
          <w:p>
            <w:pPr>
              <w:pStyle w:val="nTable"/>
              <w:spacing w:after="40"/>
              <w:ind w:right="113"/>
              <w:rPr>
                <w:sz w:val="19"/>
              </w:rPr>
            </w:pPr>
            <w:r>
              <w:rPr>
                <w:i/>
                <w:sz w:val="19"/>
              </w:rPr>
              <w:t xml:space="preserve">Acts Amendment (Vehicle Licences) Act 1995 </w:t>
            </w:r>
            <w:r>
              <w:rPr>
                <w:sz w:val="19"/>
              </w:rPr>
              <w:t>Pt. 3</w:t>
            </w:r>
          </w:p>
        </w:tc>
        <w:tc>
          <w:tcPr>
            <w:tcW w:w="1133" w:type="dxa"/>
            <w:gridSpan w:val="3"/>
          </w:tcPr>
          <w:p>
            <w:pPr>
              <w:pStyle w:val="nTable"/>
              <w:spacing w:after="40"/>
              <w:rPr>
                <w:sz w:val="19"/>
              </w:rPr>
            </w:pPr>
            <w:r>
              <w:rPr>
                <w:sz w:val="19"/>
              </w:rPr>
              <w:t>57 of 1995</w:t>
            </w:r>
          </w:p>
        </w:tc>
        <w:tc>
          <w:tcPr>
            <w:tcW w:w="1136" w:type="dxa"/>
            <w:gridSpan w:val="2"/>
          </w:tcPr>
          <w:p>
            <w:pPr>
              <w:pStyle w:val="nTable"/>
              <w:spacing w:after="40"/>
              <w:rPr>
                <w:sz w:val="19"/>
              </w:rPr>
            </w:pPr>
            <w:r>
              <w:rPr>
                <w:sz w:val="19"/>
              </w:rPr>
              <w:t>20 Dec 1995</w:t>
            </w:r>
          </w:p>
        </w:tc>
        <w:tc>
          <w:tcPr>
            <w:tcW w:w="2452" w:type="dxa"/>
            <w:gridSpan w:val="2"/>
          </w:tcPr>
          <w:p>
            <w:pPr>
              <w:pStyle w:val="nTable"/>
              <w:spacing w:after="40"/>
              <w:rPr>
                <w:sz w:val="19"/>
              </w:rPr>
            </w:pPr>
            <w:r>
              <w:rPr>
                <w:sz w:val="19"/>
              </w:rPr>
              <w:t>20 Dec 1995 (see s. 2)</w:t>
            </w:r>
          </w:p>
        </w:tc>
      </w:tr>
      <w:tr>
        <w:trPr>
          <w:cantSplit/>
        </w:trPr>
        <w:tc>
          <w:tcPr>
            <w:tcW w:w="6985" w:type="dxa"/>
            <w:gridSpan w:val="9"/>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26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3" w:type="dxa"/>
            <w:gridSpan w:val="3"/>
          </w:tcPr>
          <w:p>
            <w:pPr>
              <w:pStyle w:val="nTable"/>
              <w:spacing w:after="40"/>
              <w:rPr>
                <w:sz w:val="19"/>
              </w:rPr>
            </w:pPr>
            <w:r>
              <w:rPr>
                <w:sz w:val="19"/>
              </w:rPr>
              <w:t>14 of 1996</w:t>
            </w:r>
          </w:p>
        </w:tc>
        <w:tc>
          <w:tcPr>
            <w:tcW w:w="1136" w:type="dxa"/>
            <w:gridSpan w:val="2"/>
          </w:tcPr>
          <w:p>
            <w:pPr>
              <w:pStyle w:val="nTable"/>
              <w:spacing w:after="40"/>
              <w:rPr>
                <w:sz w:val="19"/>
              </w:rPr>
            </w:pPr>
            <w:r>
              <w:rPr>
                <w:sz w:val="19"/>
              </w:rPr>
              <w:t>28 Jun 1996</w:t>
            </w:r>
          </w:p>
        </w:tc>
        <w:tc>
          <w:tcPr>
            <w:tcW w:w="2452" w:type="dxa"/>
            <w:gridSpan w:val="2"/>
          </w:tcPr>
          <w:p>
            <w:pPr>
              <w:pStyle w:val="nTable"/>
              <w:spacing w:after="40"/>
              <w:rPr>
                <w:sz w:val="19"/>
              </w:rPr>
            </w:pPr>
            <w:r>
              <w:rPr>
                <w:sz w:val="19"/>
              </w:rPr>
              <w:t>1 Jul 1996 (see s. 2)</w:t>
            </w:r>
          </w:p>
        </w:tc>
      </w:tr>
      <w:tr>
        <w:trPr>
          <w:cantSplit/>
        </w:trPr>
        <w:tc>
          <w:tcPr>
            <w:tcW w:w="2264" w:type="dxa"/>
            <w:gridSpan w:val="2"/>
          </w:tcPr>
          <w:p>
            <w:pPr>
              <w:pStyle w:val="nTable"/>
              <w:spacing w:after="40"/>
              <w:ind w:right="113"/>
              <w:rPr>
                <w:sz w:val="19"/>
              </w:rPr>
            </w:pPr>
            <w:r>
              <w:rPr>
                <w:i/>
                <w:sz w:val="19"/>
              </w:rPr>
              <w:t xml:space="preserve">Revenue Laws Amendment (Assessment) Act 1996 </w:t>
            </w:r>
            <w:r>
              <w:rPr>
                <w:sz w:val="19"/>
              </w:rPr>
              <w:t>Pt. 5 </w:t>
            </w:r>
            <w:r>
              <w:rPr>
                <w:sz w:val="19"/>
                <w:vertAlign w:val="superscript"/>
              </w:rPr>
              <w:t>24</w:t>
            </w:r>
          </w:p>
        </w:tc>
        <w:tc>
          <w:tcPr>
            <w:tcW w:w="1133" w:type="dxa"/>
            <w:gridSpan w:val="3"/>
          </w:tcPr>
          <w:p>
            <w:pPr>
              <w:pStyle w:val="nTable"/>
              <w:spacing w:after="40"/>
              <w:rPr>
                <w:sz w:val="19"/>
              </w:rPr>
            </w:pPr>
            <w:r>
              <w:rPr>
                <w:sz w:val="19"/>
              </w:rPr>
              <w:t>20 of 1996</w:t>
            </w:r>
          </w:p>
        </w:tc>
        <w:tc>
          <w:tcPr>
            <w:tcW w:w="1136" w:type="dxa"/>
            <w:gridSpan w:val="2"/>
          </w:tcPr>
          <w:p>
            <w:pPr>
              <w:pStyle w:val="nTable"/>
              <w:spacing w:after="40"/>
              <w:rPr>
                <w:sz w:val="19"/>
              </w:rPr>
            </w:pPr>
            <w:r>
              <w:rPr>
                <w:sz w:val="19"/>
              </w:rPr>
              <w:t>28 Jun 1996</w:t>
            </w:r>
          </w:p>
        </w:tc>
        <w:tc>
          <w:tcPr>
            <w:tcW w:w="2452" w:type="dxa"/>
            <w:gridSpan w:val="2"/>
          </w:tcPr>
          <w:p>
            <w:pPr>
              <w:pStyle w:val="nTable"/>
              <w:spacing w:after="40"/>
              <w:rPr>
                <w:sz w:val="19"/>
              </w:rPr>
            </w:pPr>
            <w:r>
              <w:rPr>
                <w:sz w:val="19"/>
              </w:rPr>
              <w:t>28 Jun 1996 (see s. 2(1))</w:t>
            </w:r>
          </w:p>
        </w:tc>
      </w:tr>
      <w:tr>
        <w:trPr>
          <w:cantSplit/>
        </w:trPr>
        <w:tc>
          <w:tcPr>
            <w:tcW w:w="2264" w:type="dxa"/>
            <w:gridSpan w:val="2"/>
          </w:tcPr>
          <w:p>
            <w:pPr>
              <w:pStyle w:val="nTable"/>
              <w:spacing w:after="40"/>
              <w:ind w:right="113"/>
              <w:rPr>
                <w:sz w:val="19"/>
              </w:rPr>
            </w:pPr>
            <w:r>
              <w:rPr>
                <w:i/>
                <w:sz w:val="19"/>
              </w:rPr>
              <w:t xml:space="preserve">Acts Amendment (ICWA) Act 1996 </w:t>
            </w:r>
            <w:r>
              <w:rPr>
                <w:sz w:val="19"/>
              </w:rPr>
              <w:t>s. 38</w:t>
            </w:r>
          </w:p>
        </w:tc>
        <w:tc>
          <w:tcPr>
            <w:tcW w:w="1133" w:type="dxa"/>
            <w:gridSpan w:val="3"/>
          </w:tcPr>
          <w:p>
            <w:pPr>
              <w:pStyle w:val="nTable"/>
              <w:spacing w:after="40"/>
              <w:rPr>
                <w:sz w:val="19"/>
              </w:rPr>
            </w:pPr>
            <w:r>
              <w:rPr>
                <w:sz w:val="19"/>
              </w:rPr>
              <w:t>45 of 1996</w:t>
            </w:r>
          </w:p>
        </w:tc>
        <w:tc>
          <w:tcPr>
            <w:tcW w:w="1136" w:type="dxa"/>
            <w:gridSpan w:val="2"/>
          </w:tcPr>
          <w:p>
            <w:pPr>
              <w:pStyle w:val="nTable"/>
              <w:spacing w:after="40"/>
              <w:rPr>
                <w:sz w:val="19"/>
              </w:rPr>
            </w:pPr>
            <w:r>
              <w:rPr>
                <w:sz w:val="19"/>
              </w:rPr>
              <w:t>25 Oct 1996</w:t>
            </w:r>
          </w:p>
        </w:tc>
        <w:tc>
          <w:tcPr>
            <w:tcW w:w="2452"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4" w:type="dxa"/>
            <w:gridSpan w:val="2"/>
          </w:tcPr>
          <w:p>
            <w:pPr>
              <w:pStyle w:val="nTable"/>
              <w:spacing w:after="40"/>
              <w:ind w:right="113"/>
              <w:rPr>
                <w:sz w:val="19"/>
              </w:rPr>
            </w:pPr>
            <w:r>
              <w:rPr>
                <w:i/>
                <w:sz w:val="19"/>
              </w:rPr>
              <w:t xml:space="preserve">Revenue Laws Amendment (Assessment) Act (No. 2) 1996 </w:t>
            </w:r>
            <w:r>
              <w:rPr>
                <w:sz w:val="19"/>
              </w:rPr>
              <w:t>Pt. 5</w:t>
            </w:r>
          </w:p>
        </w:tc>
        <w:tc>
          <w:tcPr>
            <w:tcW w:w="1133" w:type="dxa"/>
            <w:gridSpan w:val="3"/>
          </w:tcPr>
          <w:p>
            <w:pPr>
              <w:pStyle w:val="nTable"/>
              <w:spacing w:after="40"/>
              <w:rPr>
                <w:sz w:val="19"/>
              </w:rPr>
            </w:pPr>
            <w:r>
              <w:rPr>
                <w:sz w:val="19"/>
              </w:rPr>
              <w:t>48 of 1996</w:t>
            </w:r>
          </w:p>
        </w:tc>
        <w:tc>
          <w:tcPr>
            <w:tcW w:w="1136" w:type="dxa"/>
            <w:gridSpan w:val="2"/>
          </w:tcPr>
          <w:p>
            <w:pPr>
              <w:pStyle w:val="nTable"/>
              <w:spacing w:after="40"/>
              <w:rPr>
                <w:sz w:val="19"/>
              </w:rPr>
            </w:pPr>
            <w:r>
              <w:rPr>
                <w:sz w:val="19"/>
              </w:rPr>
              <w:t>25 Oct 1996</w:t>
            </w:r>
          </w:p>
        </w:tc>
        <w:tc>
          <w:tcPr>
            <w:tcW w:w="2452" w:type="dxa"/>
            <w:gridSpan w:val="2"/>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cantSplit/>
        </w:trPr>
        <w:tc>
          <w:tcPr>
            <w:tcW w:w="2264" w:type="dxa"/>
            <w:gridSpan w:val="2"/>
          </w:tcPr>
          <w:p>
            <w:pPr>
              <w:pStyle w:val="nTable"/>
              <w:spacing w:after="40"/>
              <w:ind w:right="113"/>
              <w:rPr>
                <w:sz w:val="19"/>
              </w:rPr>
            </w:pPr>
            <w:r>
              <w:rPr>
                <w:i/>
                <w:sz w:val="19"/>
              </w:rPr>
              <w:t>Stamp Amendment Act 1996 </w:t>
            </w:r>
            <w:r>
              <w:rPr>
                <w:sz w:val="19"/>
                <w:vertAlign w:val="superscript"/>
              </w:rPr>
              <w:t>25</w:t>
            </w:r>
          </w:p>
        </w:tc>
        <w:tc>
          <w:tcPr>
            <w:tcW w:w="1133" w:type="dxa"/>
            <w:gridSpan w:val="3"/>
          </w:tcPr>
          <w:p>
            <w:pPr>
              <w:pStyle w:val="nTable"/>
              <w:spacing w:after="40"/>
              <w:rPr>
                <w:sz w:val="19"/>
              </w:rPr>
            </w:pPr>
            <w:r>
              <w:rPr>
                <w:sz w:val="19"/>
              </w:rPr>
              <w:t>57 of 1996</w:t>
            </w:r>
          </w:p>
        </w:tc>
        <w:tc>
          <w:tcPr>
            <w:tcW w:w="1136" w:type="dxa"/>
            <w:gridSpan w:val="2"/>
          </w:tcPr>
          <w:p>
            <w:pPr>
              <w:pStyle w:val="nTable"/>
              <w:spacing w:after="40"/>
              <w:rPr>
                <w:sz w:val="19"/>
              </w:rPr>
            </w:pPr>
            <w:r>
              <w:rPr>
                <w:sz w:val="19"/>
              </w:rPr>
              <w:t>11 Nov 1996</w:t>
            </w:r>
          </w:p>
        </w:tc>
        <w:tc>
          <w:tcPr>
            <w:tcW w:w="2452" w:type="dxa"/>
            <w:gridSpan w:val="2"/>
          </w:tcPr>
          <w:p>
            <w:pPr>
              <w:pStyle w:val="nTable"/>
              <w:spacing w:after="40"/>
              <w:rPr>
                <w:sz w:val="19"/>
              </w:rPr>
            </w:pPr>
            <w:r>
              <w:rPr>
                <w:sz w:val="19"/>
              </w:rPr>
              <w:t>20 Nov 1995 (see s. 2)</w:t>
            </w:r>
          </w:p>
        </w:tc>
      </w:tr>
      <w:tr>
        <w:trPr>
          <w:cantSplit/>
        </w:trPr>
        <w:tc>
          <w:tcPr>
            <w:tcW w:w="2264" w:type="dxa"/>
            <w:gridSpan w:val="2"/>
          </w:tcPr>
          <w:p>
            <w:pPr>
              <w:pStyle w:val="nTable"/>
              <w:spacing w:after="40"/>
              <w:ind w:right="113"/>
              <w:rPr>
                <w:sz w:val="19"/>
              </w:rPr>
            </w:pPr>
            <w:r>
              <w:rPr>
                <w:i/>
                <w:sz w:val="19"/>
              </w:rPr>
              <w:t xml:space="preserve">Strata Titles Amendment Act 1996 </w:t>
            </w:r>
            <w:r>
              <w:rPr>
                <w:sz w:val="19"/>
              </w:rPr>
              <w:t>s. 40</w:t>
            </w:r>
          </w:p>
        </w:tc>
        <w:tc>
          <w:tcPr>
            <w:tcW w:w="1133" w:type="dxa"/>
            <w:gridSpan w:val="3"/>
          </w:tcPr>
          <w:p>
            <w:pPr>
              <w:pStyle w:val="nTable"/>
              <w:spacing w:after="40"/>
              <w:rPr>
                <w:sz w:val="19"/>
              </w:rPr>
            </w:pPr>
            <w:r>
              <w:rPr>
                <w:sz w:val="19"/>
              </w:rPr>
              <w:t>61 of 1996</w:t>
            </w:r>
          </w:p>
        </w:tc>
        <w:tc>
          <w:tcPr>
            <w:tcW w:w="1136" w:type="dxa"/>
            <w:gridSpan w:val="2"/>
          </w:tcPr>
          <w:p>
            <w:pPr>
              <w:pStyle w:val="nTable"/>
              <w:spacing w:after="40"/>
              <w:rPr>
                <w:sz w:val="19"/>
              </w:rPr>
            </w:pPr>
            <w:r>
              <w:rPr>
                <w:sz w:val="19"/>
              </w:rPr>
              <w:t>11 Nov 1996</w:t>
            </w:r>
          </w:p>
        </w:tc>
        <w:tc>
          <w:tcPr>
            <w:tcW w:w="2452" w:type="dxa"/>
            <w:gridSpan w:val="2"/>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264" w:type="dxa"/>
            <w:gridSpan w:val="2"/>
          </w:tcPr>
          <w:p>
            <w:pPr>
              <w:pStyle w:val="nTable"/>
              <w:spacing w:after="40"/>
              <w:ind w:right="113"/>
              <w:rPr>
                <w:sz w:val="19"/>
              </w:rPr>
            </w:pPr>
            <w:r>
              <w:rPr>
                <w:i/>
                <w:sz w:val="19"/>
              </w:rPr>
              <w:t xml:space="preserve">Road Traffic Amendment Act 1996 </w:t>
            </w:r>
            <w:r>
              <w:rPr>
                <w:sz w:val="19"/>
              </w:rPr>
              <w:t>Pt. 3 Div. 8</w:t>
            </w:r>
          </w:p>
        </w:tc>
        <w:tc>
          <w:tcPr>
            <w:tcW w:w="1133" w:type="dxa"/>
            <w:gridSpan w:val="3"/>
          </w:tcPr>
          <w:p>
            <w:pPr>
              <w:pStyle w:val="nTable"/>
              <w:spacing w:after="40"/>
              <w:rPr>
                <w:sz w:val="19"/>
              </w:rPr>
            </w:pPr>
            <w:r>
              <w:rPr>
                <w:sz w:val="19"/>
              </w:rPr>
              <w:t>76 of 1996</w:t>
            </w:r>
          </w:p>
        </w:tc>
        <w:tc>
          <w:tcPr>
            <w:tcW w:w="1136" w:type="dxa"/>
            <w:gridSpan w:val="2"/>
          </w:tcPr>
          <w:p>
            <w:pPr>
              <w:pStyle w:val="nTable"/>
              <w:spacing w:after="40"/>
              <w:rPr>
                <w:sz w:val="19"/>
              </w:rPr>
            </w:pPr>
            <w:r>
              <w:rPr>
                <w:sz w:val="19"/>
              </w:rPr>
              <w:t>14 Nov 1996</w:t>
            </w:r>
          </w:p>
        </w:tc>
        <w:tc>
          <w:tcPr>
            <w:tcW w:w="2452" w:type="dxa"/>
            <w:gridSpan w:val="2"/>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4" w:type="dxa"/>
            <w:gridSpan w:val="2"/>
          </w:tcPr>
          <w:p>
            <w:pPr>
              <w:pStyle w:val="nTable"/>
              <w:spacing w:after="40"/>
              <w:ind w:right="113"/>
              <w:rPr>
                <w:sz w:val="19"/>
              </w:rPr>
            </w:pPr>
            <w:r>
              <w:rPr>
                <w:i/>
                <w:sz w:val="19"/>
              </w:rPr>
              <w:t xml:space="preserve">Transfer of Land Amendment Act 1996 </w:t>
            </w:r>
            <w:r>
              <w:rPr>
                <w:sz w:val="19"/>
              </w:rPr>
              <w:t>s. 153(1) and (2)</w:t>
            </w:r>
          </w:p>
        </w:tc>
        <w:tc>
          <w:tcPr>
            <w:tcW w:w="1133" w:type="dxa"/>
            <w:gridSpan w:val="3"/>
          </w:tcPr>
          <w:p>
            <w:pPr>
              <w:pStyle w:val="nTable"/>
              <w:spacing w:after="40"/>
              <w:rPr>
                <w:sz w:val="19"/>
              </w:rPr>
            </w:pPr>
            <w:r>
              <w:rPr>
                <w:sz w:val="19"/>
              </w:rPr>
              <w:t>81 of 1996</w:t>
            </w:r>
          </w:p>
        </w:tc>
        <w:tc>
          <w:tcPr>
            <w:tcW w:w="1136" w:type="dxa"/>
            <w:gridSpan w:val="2"/>
          </w:tcPr>
          <w:p>
            <w:pPr>
              <w:pStyle w:val="nTable"/>
              <w:spacing w:after="40"/>
              <w:rPr>
                <w:sz w:val="19"/>
              </w:rPr>
            </w:pPr>
            <w:r>
              <w:rPr>
                <w:sz w:val="19"/>
              </w:rPr>
              <w:t>14 Nov 1996</w:t>
            </w:r>
          </w:p>
        </w:tc>
        <w:tc>
          <w:tcPr>
            <w:tcW w:w="2452" w:type="dxa"/>
            <w:gridSpan w:val="2"/>
          </w:tcPr>
          <w:p>
            <w:pPr>
              <w:pStyle w:val="nTable"/>
              <w:spacing w:after="40"/>
              <w:rPr>
                <w:sz w:val="19"/>
              </w:rPr>
            </w:pPr>
            <w:r>
              <w:rPr>
                <w:sz w:val="19"/>
              </w:rPr>
              <w:t>14 Nov 1996 (see s. 2(1))</w:t>
            </w:r>
          </w:p>
        </w:tc>
      </w:tr>
      <w:tr>
        <w:trPr>
          <w:cantSplit/>
        </w:trPr>
        <w:tc>
          <w:tcPr>
            <w:tcW w:w="2264" w:type="dxa"/>
            <w:gridSpan w:val="2"/>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26-29</w:t>
            </w:r>
          </w:p>
        </w:tc>
        <w:tc>
          <w:tcPr>
            <w:tcW w:w="1133" w:type="dxa"/>
            <w:gridSpan w:val="3"/>
          </w:tcPr>
          <w:p>
            <w:pPr>
              <w:pStyle w:val="nTable"/>
              <w:spacing w:after="40"/>
              <w:rPr>
                <w:sz w:val="19"/>
              </w:rPr>
            </w:pPr>
            <w:r>
              <w:rPr>
                <w:sz w:val="19"/>
              </w:rPr>
              <w:t>13 of 1997</w:t>
            </w:r>
          </w:p>
        </w:tc>
        <w:tc>
          <w:tcPr>
            <w:tcW w:w="1136" w:type="dxa"/>
            <w:gridSpan w:val="2"/>
          </w:tcPr>
          <w:p>
            <w:pPr>
              <w:pStyle w:val="nTable"/>
              <w:spacing w:after="40"/>
              <w:rPr>
                <w:sz w:val="19"/>
              </w:rPr>
            </w:pPr>
            <w:r>
              <w:rPr>
                <w:sz w:val="19"/>
              </w:rPr>
              <w:t>25 Jun 1997</w:t>
            </w:r>
          </w:p>
        </w:tc>
        <w:tc>
          <w:tcPr>
            <w:tcW w:w="2452" w:type="dxa"/>
            <w:gridSpan w:val="2"/>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cantSplit/>
        </w:trPr>
        <w:tc>
          <w:tcPr>
            <w:tcW w:w="2264" w:type="dxa"/>
            <w:gridSpan w:val="2"/>
          </w:tcPr>
          <w:p>
            <w:pPr>
              <w:pStyle w:val="nTable"/>
              <w:spacing w:after="40"/>
              <w:ind w:right="113"/>
              <w:rPr>
                <w:sz w:val="19"/>
              </w:rPr>
            </w:pPr>
            <w:r>
              <w:rPr>
                <w:i/>
                <w:sz w:val="19"/>
              </w:rPr>
              <w:t xml:space="preserve">Acts Amendment (Land Administration) Act 1997 </w:t>
            </w:r>
            <w:r>
              <w:rPr>
                <w:sz w:val="19"/>
              </w:rPr>
              <w:t>Pt. 55 and s. 141</w:t>
            </w:r>
          </w:p>
        </w:tc>
        <w:tc>
          <w:tcPr>
            <w:tcW w:w="1133" w:type="dxa"/>
            <w:gridSpan w:val="3"/>
          </w:tcPr>
          <w:p>
            <w:pPr>
              <w:pStyle w:val="nTable"/>
              <w:spacing w:after="40"/>
              <w:rPr>
                <w:sz w:val="19"/>
              </w:rPr>
            </w:pPr>
            <w:r>
              <w:rPr>
                <w:sz w:val="19"/>
              </w:rPr>
              <w:t>31 of 1997</w:t>
            </w:r>
          </w:p>
        </w:tc>
        <w:tc>
          <w:tcPr>
            <w:tcW w:w="1136" w:type="dxa"/>
            <w:gridSpan w:val="2"/>
          </w:tcPr>
          <w:p>
            <w:pPr>
              <w:pStyle w:val="nTable"/>
              <w:spacing w:after="40"/>
              <w:rPr>
                <w:sz w:val="19"/>
              </w:rPr>
            </w:pPr>
            <w:r>
              <w:rPr>
                <w:sz w:val="19"/>
              </w:rPr>
              <w:t>3 Oct 1997</w:t>
            </w:r>
          </w:p>
        </w:tc>
        <w:tc>
          <w:tcPr>
            <w:tcW w:w="2452" w:type="dxa"/>
            <w:gridSpan w:val="2"/>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4" w:type="dxa"/>
            <w:gridSpan w:val="2"/>
          </w:tcPr>
          <w:p>
            <w:pPr>
              <w:pStyle w:val="nTable"/>
              <w:spacing w:after="40"/>
              <w:ind w:right="113"/>
              <w:rPr>
                <w:sz w:val="19"/>
              </w:rPr>
            </w:pPr>
            <w:r>
              <w:rPr>
                <w:i/>
                <w:sz w:val="19"/>
              </w:rPr>
              <w:t xml:space="preserve">Acts Amendment and Repeal (Family Court) Act 1997 </w:t>
            </w:r>
            <w:r>
              <w:rPr>
                <w:sz w:val="19"/>
              </w:rPr>
              <w:t>s. 37</w:t>
            </w:r>
          </w:p>
        </w:tc>
        <w:tc>
          <w:tcPr>
            <w:tcW w:w="1133" w:type="dxa"/>
            <w:gridSpan w:val="3"/>
          </w:tcPr>
          <w:p>
            <w:pPr>
              <w:pStyle w:val="nTable"/>
              <w:spacing w:after="40"/>
              <w:rPr>
                <w:sz w:val="19"/>
              </w:rPr>
            </w:pPr>
            <w:r>
              <w:rPr>
                <w:sz w:val="19"/>
              </w:rPr>
              <w:t>41 of 1997</w:t>
            </w:r>
          </w:p>
        </w:tc>
        <w:tc>
          <w:tcPr>
            <w:tcW w:w="1136" w:type="dxa"/>
            <w:gridSpan w:val="2"/>
          </w:tcPr>
          <w:p>
            <w:pPr>
              <w:pStyle w:val="nTable"/>
              <w:spacing w:after="40"/>
              <w:rPr>
                <w:sz w:val="19"/>
              </w:rPr>
            </w:pPr>
            <w:r>
              <w:rPr>
                <w:sz w:val="19"/>
              </w:rPr>
              <w:t>9 Dec 1997</w:t>
            </w:r>
          </w:p>
        </w:tc>
        <w:tc>
          <w:tcPr>
            <w:tcW w:w="2452" w:type="dxa"/>
            <w:gridSpan w:val="2"/>
          </w:tcPr>
          <w:p>
            <w:pPr>
              <w:pStyle w:val="nTable"/>
              <w:spacing w:after="40"/>
              <w:rPr>
                <w:sz w:val="19"/>
              </w:rPr>
            </w:pPr>
            <w:r>
              <w:rPr>
                <w:sz w:val="19"/>
              </w:rPr>
              <w:t>26 Sep 1998 (see s. 2)</w:t>
            </w:r>
          </w:p>
        </w:tc>
      </w:tr>
      <w:tr>
        <w:trPr>
          <w:cantSplit/>
        </w:trPr>
        <w:tc>
          <w:tcPr>
            <w:tcW w:w="2264" w:type="dxa"/>
            <w:gridSpan w:val="2"/>
          </w:tcPr>
          <w:p>
            <w:pPr>
              <w:pStyle w:val="nTable"/>
              <w:spacing w:after="40"/>
              <w:ind w:right="113"/>
              <w:rPr>
                <w:sz w:val="19"/>
              </w:rPr>
            </w:pPr>
            <w:r>
              <w:rPr>
                <w:i/>
                <w:sz w:val="19"/>
              </w:rPr>
              <w:t xml:space="preserve">Revenue Laws Amendment (Assessment) Act (No. 2) 1997 </w:t>
            </w:r>
            <w:r>
              <w:rPr>
                <w:sz w:val="19"/>
              </w:rPr>
              <w:t>Pt. 3</w:t>
            </w:r>
          </w:p>
        </w:tc>
        <w:tc>
          <w:tcPr>
            <w:tcW w:w="1133" w:type="dxa"/>
            <w:gridSpan w:val="3"/>
          </w:tcPr>
          <w:p>
            <w:pPr>
              <w:pStyle w:val="nTable"/>
              <w:spacing w:after="40"/>
              <w:rPr>
                <w:sz w:val="19"/>
              </w:rPr>
            </w:pPr>
            <w:r>
              <w:rPr>
                <w:sz w:val="19"/>
              </w:rPr>
              <w:t>51 of 1997</w:t>
            </w:r>
          </w:p>
        </w:tc>
        <w:tc>
          <w:tcPr>
            <w:tcW w:w="1136" w:type="dxa"/>
            <w:gridSpan w:val="2"/>
          </w:tcPr>
          <w:p>
            <w:pPr>
              <w:pStyle w:val="nTable"/>
              <w:spacing w:after="40"/>
              <w:rPr>
                <w:sz w:val="19"/>
              </w:rPr>
            </w:pPr>
            <w:r>
              <w:rPr>
                <w:sz w:val="19"/>
              </w:rPr>
              <w:t>12 Dec 1997</w:t>
            </w:r>
          </w:p>
        </w:tc>
        <w:tc>
          <w:tcPr>
            <w:tcW w:w="2452" w:type="dxa"/>
            <w:gridSpan w:val="2"/>
          </w:tcPr>
          <w:p>
            <w:pPr>
              <w:pStyle w:val="nTable"/>
              <w:spacing w:after="40"/>
              <w:rPr>
                <w:sz w:val="19"/>
              </w:rPr>
            </w:pPr>
            <w:r>
              <w:rPr>
                <w:sz w:val="19"/>
              </w:rPr>
              <w:t>12 Dec 1997 (see s. 2)</w:t>
            </w:r>
          </w:p>
        </w:tc>
      </w:tr>
      <w:tr>
        <w:trPr>
          <w:cantSplit/>
        </w:trPr>
        <w:tc>
          <w:tcPr>
            <w:tcW w:w="2264" w:type="dxa"/>
            <w:gridSpan w:val="2"/>
          </w:tcPr>
          <w:p>
            <w:pPr>
              <w:pStyle w:val="nTable"/>
              <w:spacing w:after="40"/>
              <w:ind w:right="113"/>
              <w:rPr>
                <w:sz w:val="19"/>
              </w:rPr>
            </w:pPr>
            <w:r>
              <w:rPr>
                <w:i/>
                <w:sz w:val="19"/>
              </w:rPr>
              <w:t xml:space="preserve">Statutes (Repeals and Minor Amendments) Act 1997 </w:t>
            </w:r>
            <w:r>
              <w:rPr>
                <w:sz w:val="19"/>
              </w:rPr>
              <w:t>s. 113</w:t>
            </w:r>
          </w:p>
        </w:tc>
        <w:tc>
          <w:tcPr>
            <w:tcW w:w="1133" w:type="dxa"/>
            <w:gridSpan w:val="3"/>
          </w:tcPr>
          <w:p>
            <w:pPr>
              <w:pStyle w:val="nTable"/>
              <w:spacing w:after="40"/>
              <w:rPr>
                <w:sz w:val="19"/>
              </w:rPr>
            </w:pPr>
            <w:r>
              <w:rPr>
                <w:sz w:val="19"/>
              </w:rPr>
              <w:t>57 of 1997</w:t>
            </w:r>
          </w:p>
        </w:tc>
        <w:tc>
          <w:tcPr>
            <w:tcW w:w="1136" w:type="dxa"/>
            <w:gridSpan w:val="2"/>
          </w:tcPr>
          <w:p>
            <w:pPr>
              <w:pStyle w:val="nTable"/>
              <w:spacing w:after="40"/>
              <w:rPr>
                <w:sz w:val="19"/>
              </w:rPr>
            </w:pPr>
            <w:r>
              <w:rPr>
                <w:sz w:val="19"/>
              </w:rPr>
              <w:t>15 Dec 1997</w:t>
            </w:r>
          </w:p>
        </w:tc>
        <w:tc>
          <w:tcPr>
            <w:tcW w:w="2452" w:type="dxa"/>
            <w:gridSpan w:val="2"/>
          </w:tcPr>
          <w:p>
            <w:pPr>
              <w:pStyle w:val="nTable"/>
              <w:spacing w:after="40"/>
              <w:rPr>
                <w:sz w:val="19"/>
              </w:rPr>
            </w:pPr>
            <w:r>
              <w:rPr>
                <w:sz w:val="19"/>
              </w:rPr>
              <w:t>15 Dec 1997 (see s. 2(1))</w:t>
            </w:r>
          </w:p>
        </w:tc>
      </w:tr>
      <w:tr>
        <w:trPr>
          <w:cantSplit/>
        </w:trPr>
        <w:tc>
          <w:tcPr>
            <w:tcW w:w="2264" w:type="dxa"/>
            <w:gridSpan w:val="2"/>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30, 31</w:t>
            </w:r>
          </w:p>
        </w:tc>
        <w:tc>
          <w:tcPr>
            <w:tcW w:w="1133" w:type="dxa"/>
            <w:gridSpan w:val="3"/>
          </w:tcPr>
          <w:p>
            <w:pPr>
              <w:pStyle w:val="nTable"/>
              <w:spacing w:after="40"/>
              <w:rPr>
                <w:sz w:val="19"/>
              </w:rPr>
            </w:pPr>
            <w:r>
              <w:rPr>
                <w:sz w:val="19"/>
              </w:rPr>
              <w:t>18 of 1998</w:t>
            </w:r>
          </w:p>
        </w:tc>
        <w:tc>
          <w:tcPr>
            <w:tcW w:w="1136" w:type="dxa"/>
            <w:gridSpan w:val="2"/>
          </w:tcPr>
          <w:p>
            <w:pPr>
              <w:pStyle w:val="nTable"/>
              <w:spacing w:after="40"/>
              <w:rPr>
                <w:sz w:val="19"/>
              </w:rPr>
            </w:pPr>
            <w:r>
              <w:rPr>
                <w:sz w:val="19"/>
              </w:rPr>
              <w:t>30 Jun 1998</w:t>
            </w:r>
          </w:p>
        </w:tc>
        <w:tc>
          <w:tcPr>
            <w:tcW w:w="2452" w:type="dxa"/>
            <w:gridSpan w:val="2"/>
          </w:tcPr>
          <w:p>
            <w:pPr>
              <w:pStyle w:val="nTable"/>
              <w:spacing w:after="40"/>
              <w:rPr>
                <w:sz w:val="19"/>
              </w:rPr>
            </w:pPr>
            <w:r>
              <w:rPr>
                <w:sz w:val="19"/>
              </w:rPr>
              <w:t>1 Jul 1998 (see s. 2(2) and also take note of s. 2(4) and (5))</w:t>
            </w:r>
          </w:p>
        </w:tc>
      </w:tr>
      <w:tr>
        <w:trPr>
          <w:cantSplit/>
        </w:trPr>
        <w:tc>
          <w:tcPr>
            <w:tcW w:w="2264" w:type="dxa"/>
            <w:gridSpan w:val="2"/>
          </w:tcPr>
          <w:p>
            <w:pPr>
              <w:pStyle w:val="nTable"/>
              <w:spacing w:after="40"/>
              <w:ind w:right="113"/>
              <w:rPr>
                <w:sz w:val="19"/>
              </w:rPr>
            </w:pPr>
            <w:r>
              <w:rPr>
                <w:i/>
                <w:sz w:val="19"/>
              </w:rPr>
              <w:t>Revenue Laws Amendment (Assessment) Act 1998</w:t>
            </w:r>
            <w:r>
              <w:rPr>
                <w:sz w:val="19"/>
              </w:rPr>
              <w:t xml:space="preserve"> Pt. 5, Pt. 6 Div. 4 and Pt. 7</w:t>
            </w:r>
          </w:p>
        </w:tc>
        <w:tc>
          <w:tcPr>
            <w:tcW w:w="1133" w:type="dxa"/>
            <w:gridSpan w:val="3"/>
          </w:tcPr>
          <w:p>
            <w:pPr>
              <w:pStyle w:val="nTable"/>
              <w:spacing w:after="40"/>
              <w:rPr>
                <w:sz w:val="19"/>
              </w:rPr>
            </w:pPr>
            <w:r>
              <w:rPr>
                <w:sz w:val="19"/>
              </w:rPr>
              <w:t>22 of 1998</w:t>
            </w:r>
          </w:p>
        </w:tc>
        <w:tc>
          <w:tcPr>
            <w:tcW w:w="1136" w:type="dxa"/>
            <w:gridSpan w:val="2"/>
          </w:tcPr>
          <w:p>
            <w:pPr>
              <w:pStyle w:val="nTable"/>
              <w:spacing w:after="40"/>
              <w:rPr>
                <w:sz w:val="19"/>
              </w:rPr>
            </w:pPr>
            <w:r>
              <w:rPr>
                <w:sz w:val="19"/>
              </w:rPr>
              <w:t>30 Jun 1998</w:t>
            </w:r>
          </w:p>
        </w:tc>
        <w:tc>
          <w:tcPr>
            <w:tcW w:w="2452" w:type="dxa"/>
            <w:gridSpan w:val="2"/>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cantSplit/>
        </w:trPr>
        <w:tc>
          <w:tcPr>
            <w:tcW w:w="2264" w:type="dxa"/>
            <w:gridSpan w:val="2"/>
          </w:tcPr>
          <w:p>
            <w:pPr>
              <w:pStyle w:val="nTable"/>
              <w:spacing w:after="40"/>
              <w:ind w:right="113"/>
              <w:rPr>
                <w:sz w:val="19"/>
              </w:rPr>
            </w:pPr>
            <w:r>
              <w:rPr>
                <w:i/>
                <w:sz w:val="19"/>
              </w:rPr>
              <w:t xml:space="preserve">Revenue Laws Amendment (Assessment) Act (No. 2) 1998 </w:t>
            </w:r>
            <w:r>
              <w:rPr>
                <w:sz w:val="19"/>
              </w:rPr>
              <w:t>Pt. 3</w:t>
            </w:r>
          </w:p>
        </w:tc>
        <w:tc>
          <w:tcPr>
            <w:tcW w:w="1133" w:type="dxa"/>
            <w:gridSpan w:val="3"/>
          </w:tcPr>
          <w:p>
            <w:pPr>
              <w:pStyle w:val="nTable"/>
              <w:spacing w:after="40"/>
              <w:rPr>
                <w:sz w:val="19"/>
              </w:rPr>
            </w:pPr>
            <w:r>
              <w:rPr>
                <w:sz w:val="19"/>
              </w:rPr>
              <w:t>58 of 1998</w:t>
            </w:r>
          </w:p>
        </w:tc>
        <w:tc>
          <w:tcPr>
            <w:tcW w:w="1136" w:type="dxa"/>
            <w:gridSpan w:val="2"/>
          </w:tcPr>
          <w:p>
            <w:pPr>
              <w:pStyle w:val="nTable"/>
              <w:spacing w:after="40"/>
              <w:rPr>
                <w:sz w:val="19"/>
              </w:rPr>
            </w:pPr>
            <w:r>
              <w:rPr>
                <w:sz w:val="19"/>
              </w:rPr>
              <w:t>18 Dec 1998</w:t>
            </w:r>
          </w:p>
        </w:tc>
        <w:tc>
          <w:tcPr>
            <w:tcW w:w="2452" w:type="dxa"/>
            <w:gridSpan w:val="2"/>
          </w:tcPr>
          <w:p>
            <w:pPr>
              <w:pStyle w:val="nTable"/>
              <w:spacing w:after="40"/>
              <w:rPr>
                <w:sz w:val="19"/>
              </w:rPr>
            </w:pPr>
            <w:r>
              <w:rPr>
                <w:sz w:val="19"/>
              </w:rPr>
              <w:t>s. 8: 30 Mar 1998 (see s. 2(2));</w:t>
            </w:r>
            <w:r>
              <w:rPr>
                <w:sz w:val="19"/>
              </w:rPr>
              <w:br/>
              <w:t>balance: 18 Dec 1998 (see s. 2(1))</w:t>
            </w:r>
          </w:p>
        </w:tc>
      </w:tr>
      <w:tr>
        <w:trPr>
          <w:cantSplit/>
        </w:trPr>
        <w:tc>
          <w:tcPr>
            <w:tcW w:w="2264" w:type="dxa"/>
            <w:gridSpan w:val="2"/>
          </w:tcPr>
          <w:p>
            <w:pPr>
              <w:pStyle w:val="nTable"/>
              <w:spacing w:after="40"/>
              <w:ind w:right="113"/>
              <w:rPr>
                <w:sz w:val="19"/>
              </w:rPr>
            </w:pPr>
            <w:r>
              <w:rPr>
                <w:i/>
                <w:sz w:val="19"/>
              </w:rPr>
              <w:t xml:space="preserve">Friendly Societies (Western Australia) Act 1999 </w:t>
            </w:r>
            <w:r>
              <w:rPr>
                <w:sz w:val="19"/>
              </w:rPr>
              <w:t>s. 23</w:t>
            </w:r>
          </w:p>
        </w:tc>
        <w:tc>
          <w:tcPr>
            <w:tcW w:w="1133" w:type="dxa"/>
            <w:gridSpan w:val="3"/>
          </w:tcPr>
          <w:p>
            <w:pPr>
              <w:pStyle w:val="nTable"/>
              <w:spacing w:after="40"/>
              <w:rPr>
                <w:sz w:val="19"/>
              </w:rPr>
            </w:pPr>
            <w:r>
              <w:rPr>
                <w:sz w:val="19"/>
              </w:rPr>
              <w:t>2 of 1999</w:t>
            </w:r>
          </w:p>
        </w:tc>
        <w:tc>
          <w:tcPr>
            <w:tcW w:w="1136" w:type="dxa"/>
            <w:gridSpan w:val="2"/>
          </w:tcPr>
          <w:p>
            <w:pPr>
              <w:pStyle w:val="nTable"/>
              <w:spacing w:after="40"/>
              <w:rPr>
                <w:sz w:val="19"/>
              </w:rPr>
            </w:pPr>
            <w:r>
              <w:rPr>
                <w:sz w:val="19"/>
              </w:rPr>
              <w:t>25 Mar 1999</w:t>
            </w:r>
          </w:p>
        </w:tc>
        <w:tc>
          <w:tcPr>
            <w:tcW w:w="2452" w:type="dxa"/>
            <w:gridSpan w:val="2"/>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4" w:type="dxa"/>
            <w:gridSpan w:val="2"/>
          </w:tcPr>
          <w:p>
            <w:pPr>
              <w:pStyle w:val="nTable"/>
              <w:spacing w:after="40"/>
              <w:ind w:right="113"/>
              <w:rPr>
                <w:sz w:val="19"/>
              </w:rPr>
            </w:pPr>
            <w:r>
              <w:rPr>
                <w:i/>
                <w:sz w:val="19"/>
              </w:rPr>
              <w:t xml:space="preserve">Revenue Laws Amendment (Assessment) Act 1999 </w:t>
            </w:r>
            <w:r>
              <w:rPr>
                <w:sz w:val="19"/>
              </w:rPr>
              <w:t>Pt. 2</w:t>
            </w:r>
          </w:p>
        </w:tc>
        <w:tc>
          <w:tcPr>
            <w:tcW w:w="1133" w:type="dxa"/>
            <w:gridSpan w:val="3"/>
          </w:tcPr>
          <w:p>
            <w:pPr>
              <w:pStyle w:val="nTable"/>
              <w:keepNext/>
              <w:keepLines/>
              <w:spacing w:after="40"/>
              <w:rPr>
                <w:sz w:val="19"/>
              </w:rPr>
            </w:pPr>
            <w:r>
              <w:rPr>
                <w:sz w:val="19"/>
              </w:rPr>
              <w:t>24 of 1999</w:t>
            </w:r>
          </w:p>
        </w:tc>
        <w:tc>
          <w:tcPr>
            <w:tcW w:w="1136" w:type="dxa"/>
            <w:gridSpan w:val="2"/>
          </w:tcPr>
          <w:p>
            <w:pPr>
              <w:pStyle w:val="nTable"/>
              <w:keepNext/>
              <w:keepLines/>
              <w:spacing w:after="40"/>
              <w:rPr>
                <w:sz w:val="19"/>
              </w:rPr>
            </w:pPr>
            <w:r>
              <w:rPr>
                <w:sz w:val="19"/>
              </w:rPr>
              <w:t>29 Jun 1999</w:t>
            </w:r>
          </w:p>
        </w:tc>
        <w:tc>
          <w:tcPr>
            <w:tcW w:w="2452" w:type="dxa"/>
            <w:gridSpan w:val="2"/>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264" w:type="dxa"/>
            <w:gridSpan w:val="2"/>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32</w:t>
            </w:r>
          </w:p>
        </w:tc>
        <w:tc>
          <w:tcPr>
            <w:tcW w:w="1133" w:type="dxa"/>
            <w:gridSpan w:val="3"/>
          </w:tcPr>
          <w:p>
            <w:pPr>
              <w:pStyle w:val="nTable"/>
              <w:keepNext/>
              <w:keepLines/>
              <w:spacing w:after="40"/>
              <w:rPr>
                <w:sz w:val="19"/>
              </w:rPr>
            </w:pPr>
            <w:r>
              <w:rPr>
                <w:sz w:val="19"/>
              </w:rPr>
              <w:t>25 of 1999</w:t>
            </w:r>
          </w:p>
        </w:tc>
        <w:tc>
          <w:tcPr>
            <w:tcW w:w="1136" w:type="dxa"/>
            <w:gridSpan w:val="2"/>
          </w:tcPr>
          <w:p>
            <w:pPr>
              <w:pStyle w:val="nTable"/>
              <w:keepNext/>
              <w:keepLines/>
              <w:spacing w:after="40"/>
              <w:rPr>
                <w:sz w:val="19"/>
              </w:rPr>
            </w:pPr>
            <w:r>
              <w:rPr>
                <w:sz w:val="19"/>
              </w:rPr>
              <w:t>29 Jun 1999</w:t>
            </w:r>
          </w:p>
        </w:tc>
        <w:tc>
          <w:tcPr>
            <w:tcW w:w="2452" w:type="dxa"/>
            <w:gridSpan w:val="2"/>
          </w:tcPr>
          <w:p>
            <w:pPr>
              <w:pStyle w:val="nTable"/>
              <w:keepNext/>
              <w:keepLines/>
              <w:spacing w:after="40"/>
              <w:rPr>
                <w:sz w:val="19"/>
              </w:rPr>
            </w:pPr>
            <w:r>
              <w:rPr>
                <w:sz w:val="19"/>
              </w:rPr>
              <w:t>1 Jul 1999 (see s. 2(4))</w:t>
            </w:r>
          </w:p>
        </w:tc>
      </w:tr>
      <w:tr>
        <w:trPr>
          <w:cantSplit/>
        </w:trPr>
        <w:tc>
          <w:tcPr>
            <w:tcW w:w="2264" w:type="dxa"/>
            <w:gridSpan w:val="2"/>
          </w:tcPr>
          <w:p>
            <w:pPr>
              <w:pStyle w:val="nTable"/>
              <w:spacing w:after="40"/>
              <w:ind w:right="113"/>
              <w:rPr>
                <w:sz w:val="19"/>
              </w:rPr>
            </w:pPr>
            <w:r>
              <w:rPr>
                <w:i/>
                <w:sz w:val="19"/>
              </w:rPr>
              <w:t xml:space="preserve">Acts Amendment and Repeal (Financial Sector Reform) Act 1999 </w:t>
            </w:r>
            <w:r>
              <w:rPr>
                <w:sz w:val="19"/>
              </w:rPr>
              <w:t>s. 103</w:t>
            </w:r>
          </w:p>
        </w:tc>
        <w:tc>
          <w:tcPr>
            <w:tcW w:w="1133" w:type="dxa"/>
            <w:gridSpan w:val="3"/>
          </w:tcPr>
          <w:p>
            <w:pPr>
              <w:pStyle w:val="nTable"/>
              <w:keepNext/>
              <w:keepLines/>
              <w:spacing w:after="40"/>
              <w:rPr>
                <w:sz w:val="19"/>
              </w:rPr>
            </w:pPr>
            <w:r>
              <w:rPr>
                <w:sz w:val="19"/>
              </w:rPr>
              <w:t>26 of 1999</w:t>
            </w:r>
          </w:p>
        </w:tc>
        <w:tc>
          <w:tcPr>
            <w:tcW w:w="1136" w:type="dxa"/>
            <w:gridSpan w:val="2"/>
          </w:tcPr>
          <w:p>
            <w:pPr>
              <w:pStyle w:val="nTable"/>
              <w:keepNext/>
              <w:keepLines/>
              <w:spacing w:after="40"/>
              <w:rPr>
                <w:sz w:val="19"/>
              </w:rPr>
            </w:pPr>
            <w:r>
              <w:rPr>
                <w:sz w:val="19"/>
              </w:rPr>
              <w:t>29 Jun 1999</w:t>
            </w:r>
          </w:p>
        </w:tc>
        <w:tc>
          <w:tcPr>
            <w:tcW w:w="2452" w:type="dxa"/>
            <w:gridSpan w:val="2"/>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4" w:type="dxa"/>
            <w:gridSpan w:val="2"/>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33</w:t>
            </w:r>
          </w:p>
        </w:tc>
        <w:tc>
          <w:tcPr>
            <w:tcW w:w="1133" w:type="dxa"/>
            <w:gridSpan w:val="3"/>
          </w:tcPr>
          <w:p>
            <w:pPr>
              <w:pStyle w:val="nTable"/>
              <w:spacing w:after="40"/>
              <w:rPr>
                <w:sz w:val="19"/>
              </w:rPr>
            </w:pPr>
            <w:r>
              <w:rPr>
                <w:sz w:val="19"/>
              </w:rPr>
              <w:t>53 of 1999</w:t>
            </w:r>
          </w:p>
        </w:tc>
        <w:tc>
          <w:tcPr>
            <w:tcW w:w="1316" w:type="dxa"/>
            <w:gridSpan w:val="3"/>
          </w:tcPr>
          <w:p>
            <w:pPr>
              <w:pStyle w:val="nTable"/>
              <w:spacing w:after="40"/>
              <w:rPr>
                <w:sz w:val="19"/>
              </w:rPr>
            </w:pPr>
            <w:r>
              <w:rPr>
                <w:sz w:val="19"/>
              </w:rPr>
              <w:t>13 Dec 1999</w:t>
            </w:r>
          </w:p>
        </w:tc>
        <w:tc>
          <w:tcPr>
            <w:tcW w:w="2272"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083"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34</w:t>
            </w:r>
          </w:p>
        </w:tc>
        <w:tc>
          <w:tcPr>
            <w:tcW w:w="1132" w:type="dxa"/>
            <w:gridSpan w:val="3"/>
          </w:tcPr>
          <w:p>
            <w:pPr>
              <w:pStyle w:val="nTable"/>
              <w:spacing w:after="40"/>
              <w:rPr>
                <w:sz w:val="19"/>
              </w:rPr>
            </w:pPr>
            <w:r>
              <w:rPr>
                <w:sz w:val="19"/>
              </w:rPr>
              <w:t>6 of 2000</w:t>
            </w:r>
            <w:r>
              <w:rPr>
                <w:sz w:val="19"/>
              </w:rPr>
              <w:br/>
              <w:t>(as amended by No. 45 of 2002 s. 6)</w:t>
            </w:r>
          </w:p>
        </w:tc>
        <w:tc>
          <w:tcPr>
            <w:tcW w:w="1318" w:type="dxa"/>
            <w:gridSpan w:val="3"/>
          </w:tcPr>
          <w:p>
            <w:pPr>
              <w:pStyle w:val="nTable"/>
              <w:spacing w:after="40"/>
              <w:rPr>
                <w:sz w:val="19"/>
              </w:rPr>
            </w:pPr>
            <w:r>
              <w:rPr>
                <w:sz w:val="19"/>
              </w:rPr>
              <w:t>11 Apr 2000</w:t>
            </w:r>
          </w:p>
        </w:tc>
        <w:tc>
          <w:tcPr>
            <w:tcW w:w="2452" w:type="dxa"/>
            <w:gridSpan w:val="2"/>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083" w:type="dxa"/>
          </w:tcPr>
          <w:p>
            <w:pPr>
              <w:pStyle w:val="nTable"/>
              <w:spacing w:after="40"/>
              <w:ind w:right="113"/>
              <w:rPr>
                <w:i/>
                <w:sz w:val="19"/>
              </w:rPr>
            </w:pPr>
            <w:r>
              <w:rPr>
                <w:i/>
                <w:sz w:val="19"/>
              </w:rPr>
              <w:t>Stamp Amendment Act 2000</w:t>
            </w:r>
          </w:p>
        </w:tc>
        <w:tc>
          <w:tcPr>
            <w:tcW w:w="1132" w:type="dxa"/>
            <w:gridSpan w:val="3"/>
          </w:tcPr>
          <w:p>
            <w:pPr>
              <w:pStyle w:val="nTable"/>
              <w:spacing w:after="40"/>
              <w:rPr>
                <w:sz w:val="19"/>
              </w:rPr>
            </w:pPr>
            <w:r>
              <w:rPr>
                <w:sz w:val="19"/>
              </w:rPr>
              <w:t>28 of 2000</w:t>
            </w:r>
          </w:p>
        </w:tc>
        <w:tc>
          <w:tcPr>
            <w:tcW w:w="1318" w:type="dxa"/>
            <w:gridSpan w:val="3"/>
          </w:tcPr>
          <w:p>
            <w:pPr>
              <w:pStyle w:val="nTable"/>
              <w:spacing w:after="40"/>
              <w:rPr>
                <w:sz w:val="19"/>
              </w:rPr>
            </w:pPr>
            <w:r>
              <w:rPr>
                <w:sz w:val="19"/>
              </w:rPr>
              <w:t>6 Jul 2000</w:t>
            </w:r>
          </w:p>
        </w:tc>
        <w:tc>
          <w:tcPr>
            <w:tcW w:w="2452" w:type="dxa"/>
            <w:gridSpan w:val="2"/>
          </w:tcPr>
          <w:p>
            <w:pPr>
              <w:pStyle w:val="nTable"/>
              <w:spacing w:after="40"/>
              <w:rPr>
                <w:sz w:val="19"/>
              </w:rPr>
            </w:pPr>
            <w:r>
              <w:rPr>
                <w:sz w:val="19"/>
              </w:rPr>
              <w:t>6 Jul 2000 (see s. 2)</w:t>
            </w:r>
          </w:p>
        </w:tc>
      </w:tr>
      <w:tr>
        <w:trPr>
          <w:cantSplit/>
        </w:trPr>
        <w:tc>
          <w:tcPr>
            <w:tcW w:w="2083"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35, 36</w:t>
            </w:r>
          </w:p>
        </w:tc>
        <w:tc>
          <w:tcPr>
            <w:tcW w:w="1132" w:type="dxa"/>
            <w:gridSpan w:val="3"/>
          </w:tcPr>
          <w:p>
            <w:pPr>
              <w:pStyle w:val="nTable"/>
              <w:spacing w:after="40"/>
              <w:rPr>
                <w:sz w:val="19"/>
              </w:rPr>
            </w:pPr>
            <w:r>
              <w:rPr>
                <w:sz w:val="19"/>
              </w:rPr>
              <w:t>29 of 2000</w:t>
            </w:r>
          </w:p>
        </w:tc>
        <w:tc>
          <w:tcPr>
            <w:tcW w:w="1318" w:type="dxa"/>
            <w:gridSpan w:val="3"/>
          </w:tcPr>
          <w:p>
            <w:pPr>
              <w:pStyle w:val="nTable"/>
              <w:spacing w:after="40"/>
              <w:rPr>
                <w:sz w:val="19"/>
              </w:rPr>
            </w:pPr>
            <w:r>
              <w:rPr>
                <w:sz w:val="19"/>
              </w:rPr>
              <w:t>6 Jul 2000</w:t>
            </w:r>
          </w:p>
        </w:tc>
        <w:tc>
          <w:tcPr>
            <w:tcW w:w="2452" w:type="dxa"/>
            <w:gridSpan w:val="2"/>
          </w:tcPr>
          <w:p>
            <w:pPr>
              <w:pStyle w:val="nTable"/>
              <w:spacing w:after="40"/>
              <w:rPr>
                <w:sz w:val="19"/>
              </w:rPr>
            </w:pPr>
            <w:r>
              <w:rPr>
                <w:sz w:val="19"/>
              </w:rPr>
              <w:t>6 Jul 2000 (see s. 2(1))</w:t>
            </w:r>
          </w:p>
        </w:tc>
      </w:tr>
      <w:tr>
        <w:trPr>
          <w:cantSplit/>
        </w:trPr>
        <w:tc>
          <w:tcPr>
            <w:tcW w:w="2083"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37</w:t>
            </w:r>
          </w:p>
        </w:tc>
        <w:tc>
          <w:tcPr>
            <w:tcW w:w="1132" w:type="dxa"/>
            <w:gridSpan w:val="3"/>
          </w:tcPr>
          <w:p>
            <w:pPr>
              <w:pStyle w:val="nTable"/>
              <w:spacing w:after="40"/>
              <w:rPr>
                <w:sz w:val="19"/>
              </w:rPr>
            </w:pPr>
            <w:r>
              <w:rPr>
                <w:sz w:val="19"/>
              </w:rPr>
              <w:t>60 of 2000</w:t>
            </w:r>
          </w:p>
        </w:tc>
        <w:tc>
          <w:tcPr>
            <w:tcW w:w="1318" w:type="dxa"/>
            <w:gridSpan w:val="3"/>
          </w:tcPr>
          <w:p>
            <w:pPr>
              <w:pStyle w:val="nTable"/>
              <w:spacing w:after="40"/>
              <w:rPr>
                <w:sz w:val="19"/>
              </w:rPr>
            </w:pPr>
            <w:r>
              <w:rPr>
                <w:sz w:val="19"/>
              </w:rPr>
              <w:t>4 Dec 2000</w:t>
            </w:r>
          </w:p>
        </w:tc>
        <w:tc>
          <w:tcPr>
            <w:tcW w:w="2452" w:type="dxa"/>
            <w:gridSpan w:val="2"/>
          </w:tcPr>
          <w:p>
            <w:pPr>
              <w:pStyle w:val="nTable"/>
              <w:spacing w:after="40"/>
              <w:rPr>
                <w:sz w:val="19"/>
              </w:rPr>
            </w:pPr>
            <w:r>
              <w:rPr>
                <w:sz w:val="19"/>
              </w:rPr>
              <w:t>10 Aug 2000 (see s. 2)</w:t>
            </w:r>
          </w:p>
        </w:tc>
      </w:tr>
      <w:tr>
        <w:trPr>
          <w:cantSplit/>
        </w:trPr>
        <w:tc>
          <w:tcPr>
            <w:tcW w:w="2083" w:type="dxa"/>
          </w:tcPr>
          <w:p>
            <w:pPr>
              <w:pStyle w:val="nTable"/>
              <w:spacing w:after="40"/>
              <w:rPr>
                <w:sz w:val="19"/>
              </w:rPr>
            </w:pPr>
            <w:r>
              <w:rPr>
                <w:i/>
                <w:sz w:val="19"/>
              </w:rPr>
              <w:t xml:space="preserve">Revenue Laws Amendment (Assessment) Act 2001 </w:t>
            </w:r>
            <w:r>
              <w:rPr>
                <w:sz w:val="19"/>
              </w:rPr>
              <w:t>Pt. 4</w:t>
            </w:r>
          </w:p>
        </w:tc>
        <w:tc>
          <w:tcPr>
            <w:tcW w:w="1132" w:type="dxa"/>
            <w:gridSpan w:val="3"/>
          </w:tcPr>
          <w:p>
            <w:pPr>
              <w:pStyle w:val="nTable"/>
              <w:spacing w:after="40"/>
              <w:rPr>
                <w:sz w:val="19"/>
              </w:rPr>
            </w:pPr>
            <w:r>
              <w:rPr>
                <w:sz w:val="19"/>
              </w:rPr>
              <w:t>3 of 2001</w:t>
            </w:r>
          </w:p>
        </w:tc>
        <w:tc>
          <w:tcPr>
            <w:tcW w:w="1318" w:type="dxa"/>
            <w:gridSpan w:val="3"/>
          </w:tcPr>
          <w:p>
            <w:pPr>
              <w:pStyle w:val="nTable"/>
              <w:spacing w:after="40"/>
              <w:rPr>
                <w:sz w:val="19"/>
              </w:rPr>
            </w:pPr>
            <w:r>
              <w:rPr>
                <w:sz w:val="19"/>
              </w:rPr>
              <w:t xml:space="preserve">26 Jun 2001 </w:t>
            </w:r>
          </w:p>
        </w:tc>
        <w:tc>
          <w:tcPr>
            <w:tcW w:w="2452" w:type="dxa"/>
            <w:gridSpan w:val="2"/>
          </w:tcPr>
          <w:p>
            <w:pPr>
              <w:pStyle w:val="nTable"/>
              <w:spacing w:after="40"/>
              <w:rPr>
                <w:sz w:val="19"/>
              </w:rPr>
            </w:pPr>
            <w:r>
              <w:rPr>
                <w:sz w:val="19"/>
              </w:rPr>
              <w:t xml:space="preserve">Div. 1 and 2: 26 Jun 2001 </w:t>
            </w:r>
            <w:r>
              <w:rPr>
                <w:sz w:val="19"/>
              </w:rPr>
              <w:br/>
              <w:t>(see s. 2(1));</w:t>
            </w:r>
            <w:r>
              <w:rPr>
                <w:sz w:val="19"/>
              </w:rPr>
              <w:br/>
              <w:t xml:space="preserve">Div. 3: 30 Jun 2001 (see s. 2(4)); </w:t>
            </w:r>
            <w:r>
              <w:rPr>
                <w:sz w:val="19"/>
              </w:rPr>
              <w:br/>
              <w:t>Div. 4: 1 Jul 2001 (see s. 2(6))</w:t>
            </w:r>
          </w:p>
        </w:tc>
      </w:tr>
      <w:tr>
        <w:trPr>
          <w:cantSplit/>
        </w:trPr>
        <w:tc>
          <w:tcPr>
            <w:tcW w:w="2083" w:type="dxa"/>
          </w:tcPr>
          <w:p>
            <w:pPr>
              <w:pStyle w:val="nTable"/>
              <w:spacing w:after="40"/>
              <w:rPr>
                <w:sz w:val="19"/>
              </w:rPr>
            </w:pPr>
            <w:r>
              <w:rPr>
                <w:i/>
                <w:sz w:val="19"/>
              </w:rPr>
              <w:t xml:space="preserve">Revenue Laws Amendment (Taxation) Act 2001 </w:t>
            </w:r>
            <w:r>
              <w:rPr>
                <w:sz w:val="19"/>
              </w:rPr>
              <w:t>Pt. 3</w:t>
            </w:r>
          </w:p>
        </w:tc>
        <w:tc>
          <w:tcPr>
            <w:tcW w:w="1132" w:type="dxa"/>
            <w:gridSpan w:val="3"/>
          </w:tcPr>
          <w:p>
            <w:pPr>
              <w:pStyle w:val="nTable"/>
              <w:spacing w:after="40"/>
              <w:rPr>
                <w:sz w:val="19"/>
              </w:rPr>
            </w:pPr>
            <w:r>
              <w:rPr>
                <w:sz w:val="19"/>
              </w:rPr>
              <w:t>4 of 2001</w:t>
            </w:r>
          </w:p>
        </w:tc>
        <w:tc>
          <w:tcPr>
            <w:tcW w:w="1318" w:type="dxa"/>
            <w:gridSpan w:val="3"/>
          </w:tcPr>
          <w:p>
            <w:pPr>
              <w:pStyle w:val="nTable"/>
              <w:spacing w:after="40"/>
              <w:rPr>
                <w:sz w:val="19"/>
              </w:rPr>
            </w:pPr>
            <w:r>
              <w:rPr>
                <w:sz w:val="19"/>
              </w:rPr>
              <w:t xml:space="preserve">26 Jun 2001 </w:t>
            </w:r>
          </w:p>
        </w:tc>
        <w:tc>
          <w:tcPr>
            <w:tcW w:w="2452" w:type="dxa"/>
            <w:gridSpan w:val="2"/>
          </w:tcPr>
          <w:p>
            <w:pPr>
              <w:pStyle w:val="nTable"/>
              <w:spacing w:after="40"/>
              <w:rPr>
                <w:sz w:val="19"/>
              </w:rPr>
            </w:pPr>
            <w:r>
              <w:rPr>
                <w:sz w:val="19"/>
              </w:rPr>
              <w:t>30 Jun 2001 (see s. 2(4))</w:t>
            </w:r>
          </w:p>
        </w:tc>
      </w:tr>
      <w:tr>
        <w:trPr>
          <w:cantSplit/>
        </w:trPr>
        <w:tc>
          <w:tcPr>
            <w:tcW w:w="2083" w:type="dxa"/>
          </w:tcPr>
          <w:p>
            <w:pPr>
              <w:pStyle w:val="nTable"/>
              <w:keepLines/>
              <w:spacing w:after="40"/>
              <w:ind w:right="113"/>
              <w:rPr>
                <w:i/>
                <w:sz w:val="19"/>
              </w:rPr>
            </w:pPr>
            <w:r>
              <w:rPr>
                <w:i/>
                <w:sz w:val="19"/>
              </w:rPr>
              <w:t>Corporations (Consequential Amendments) Act 2001</w:t>
            </w:r>
            <w:r>
              <w:rPr>
                <w:sz w:val="19"/>
              </w:rPr>
              <w:t xml:space="preserve"> Pt. 48</w:t>
            </w:r>
          </w:p>
        </w:tc>
        <w:tc>
          <w:tcPr>
            <w:tcW w:w="1132" w:type="dxa"/>
            <w:gridSpan w:val="3"/>
          </w:tcPr>
          <w:p>
            <w:pPr>
              <w:pStyle w:val="nTable"/>
              <w:keepLines/>
              <w:spacing w:after="40"/>
              <w:rPr>
                <w:sz w:val="19"/>
              </w:rPr>
            </w:pPr>
            <w:r>
              <w:rPr>
                <w:sz w:val="19"/>
              </w:rPr>
              <w:t>10 of 2001</w:t>
            </w:r>
          </w:p>
        </w:tc>
        <w:tc>
          <w:tcPr>
            <w:tcW w:w="1318" w:type="dxa"/>
            <w:gridSpan w:val="3"/>
          </w:tcPr>
          <w:p>
            <w:pPr>
              <w:pStyle w:val="nTable"/>
              <w:keepLines/>
              <w:spacing w:after="40"/>
              <w:rPr>
                <w:sz w:val="19"/>
              </w:rPr>
            </w:pPr>
            <w:r>
              <w:rPr>
                <w:sz w:val="19"/>
              </w:rPr>
              <w:t>28 Jun 2001</w:t>
            </w:r>
          </w:p>
        </w:tc>
        <w:tc>
          <w:tcPr>
            <w:tcW w:w="2452" w:type="dxa"/>
            <w:gridSpan w:val="2"/>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083" w:type="dxa"/>
          </w:tcPr>
          <w:p>
            <w:pPr>
              <w:pStyle w:val="nTable"/>
              <w:spacing w:after="40"/>
              <w:ind w:right="113"/>
              <w:rPr>
                <w:sz w:val="19"/>
              </w:rPr>
            </w:pPr>
            <w:r>
              <w:rPr>
                <w:i/>
                <w:sz w:val="19"/>
              </w:rPr>
              <w:t xml:space="preserve">Building Societies Amendment Act 2001 </w:t>
            </w:r>
            <w:r>
              <w:rPr>
                <w:sz w:val="19"/>
              </w:rPr>
              <w:t>s. 51</w:t>
            </w:r>
          </w:p>
        </w:tc>
        <w:tc>
          <w:tcPr>
            <w:tcW w:w="1132" w:type="dxa"/>
            <w:gridSpan w:val="3"/>
          </w:tcPr>
          <w:p>
            <w:pPr>
              <w:pStyle w:val="nTable"/>
              <w:spacing w:after="40"/>
              <w:rPr>
                <w:sz w:val="19"/>
              </w:rPr>
            </w:pPr>
            <w:r>
              <w:rPr>
                <w:sz w:val="19"/>
              </w:rPr>
              <w:t>12 of 2001</w:t>
            </w:r>
          </w:p>
        </w:tc>
        <w:tc>
          <w:tcPr>
            <w:tcW w:w="1318" w:type="dxa"/>
            <w:gridSpan w:val="3"/>
          </w:tcPr>
          <w:p>
            <w:pPr>
              <w:pStyle w:val="nTable"/>
              <w:spacing w:after="40"/>
              <w:rPr>
                <w:sz w:val="19"/>
              </w:rPr>
            </w:pPr>
            <w:r>
              <w:rPr>
                <w:sz w:val="19"/>
              </w:rPr>
              <w:t>13 Jul 2001</w:t>
            </w:r>
          </w:p>
        </w:tc>
        <w:tc>
          <w:tcPr>
            <w:tcW w:w="2452" w:type="dxa"/>
            <w:gridSpan w:val="2"/>
          </w:tcPr>
          <w:p>
            <w:pPr>
              <w:pStyle w:val="nTable"/>
              <w:spacing w:after="40"/>
              <w:rPr>
                <w:sz w:val="19"/>
              </w:rPr>
            </w:pPr>
            <w:r>
              <w:rPr>
                <w:sz w:val="19"/>
              </w:rPr>
              <w:t>13 Jul 2001 (see s. 2)</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083" w:type="dxa"/>
          </w:tcPr>
          <w:p>
            <w:pPr>
              <w:pStyle w:val="nTable"/>
              <w:spacing w:after="40"/>
              <w:ind w:right="113"/>
              <w:rPr>
                <w:sz w:val="19"/>
              </w:rPr>
            </w:pPr>
            <w:r>
              <w:rPr>
                <w:i/>
                <w:sz w:val="19"/>
              </w:rPr>
              <w:t>Revenue Laws Amendment (Assessment) Act (No. 2) 2001</w:t>
            </w:r>
            <w:r>
              <w:rPr>
                <w:sz w:val="19"/>
              </w:rPr>
              <w:t xml:space="preserve"> Pt. 5 and 6</w:t>
            </w:r>
          </w:p>
        </w:tc>
        <w:tc>
          <w:tcPr>
            <w:tcW w:w="1132" w:type="dxa"/>
            <w:gridSpan w:val="3"/>
          </w:tcPr>
          <w:p>
            <w:pPr>
              <w:pStyle w:val="nTable"/>
              <w:spacing w:after="40"/>
              <w:rPr>
                <w:sz w:val="19"/>
              </w:rPr>
            </w:pPr>
            <w:r>
              <w:rPr>
                <w:sz w:val="19"/>
              </w:rPr>
              <w:t>36 of 2001</w:t>
            </w:r>
          </w:p>
        </w:tc>
        <w:tc>
          <w:tcPr>
            <w:tcW w:w="1318" w:type="dxa"/>
            <w:gridSpan w:val="3"/>
          </w:tcPr>
          <w:p>
            <w:pPr>
              <w:pStyle w:val="nTable"/>
              <w:spacing w:after="40"/>
              <w:rPr>
                <w:sz w:val="19"/>
              </w:rPr>
            </w:pPr>
            <w:r>
              <w:rPr>
                <w:sz w:val="19"/>
              </w:rPr>
              <w:t>7 Jan 2002</w:t>
            </w:r>
          </w:p>
        </w:tc>
        <w:tc>
          <w:tcPr>
            <w:tcW w:w="2452" w:type="dxa"/>
            <w:gridSpan w:val="2"/>
          </w:tcPr>
          <w:p>
            <w:pPr>
              <w:pStyle w:val="nTable"/>
              <w:spacing w:after="40"/>
              <w:rPr>
                <w:sz w:val="19"/>
              </w:rPr>
            </w:pPr>
            <w:r>
              <w:rPr>
                <w:sz w:val="19"/>
              </w:rPr>
              <w:t>7 Jan 2002 (see s. 2(1))</w:t>
            </w:r>
          </w:p>
        </w:tc>
      </w:tr>
      <w:tr>
        <w:trPr>
          <w:cantSplit/>
        </w:trPr>
        <w:tc>
          <w:tcPr>
            <w:tcW w:w="2083"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32" w:type="dxa"/>
            <w:gridSpan w:val="3"/>
          </w:tcPr>
          <w:p>
            <w:pPr>
              <w:pStyle w:val="nTable"/>
              <w:spacing w:after="40"/>
              <w:rPr>
                <w:sz w:val="19"/>
              </w:rPr>
            </w:pPr>
            <w:r>
              <w:rPr>
                <w:sz w:val="19"/>
              </w:rPr>
              <w:t>37 of 2001</w:t>
            </w:r>
          </w:p>
        </w:tc>
        <w:tc>
          <w:tcPr>
            <w:tcW w:w="1318" w:type="dxa"/>
            <w:gridSpan w:val="3"/>
          </w:tcPr>
          <w:p>
            <w:pPr>
              <w:pStyle w:val="nTable"/>
              <w:spacing w:after="40"/>
              <w:rPr>
                <w:sz w:val="19"/>
              </w:rPr>
            </w:pPr>
            <w:r>
              <w:rPr>
                <w:sz w:val="19"/>
              </w:rPr>
              <w:t>7 Jan 2002</w:t>
            </w:r>
          </w:p>
        </w:tc>
        <w:tc>
          <w:tcPr>
            <w:tcW w:w="2452" w:type="dxa"/>
            <w:gridSpan w:val="2"/>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083"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2" w:type="dxa"/>
            <w:gridSpan w:val="3"/>
          </w:tcPr>
          <w:p>
            <w:pPr>
              <w:pStyle w:val="nTable"/>
              <w:spacing w:after="40"/>
              <w:rPr>
                <w:sz w:val="19"/>
              </w:rPr>
            </w:pPr>
            <w:r>
              <w:rPr>
                <w:sz w:val="19"/>
              </w:rPr>
              <w:t>7 of 2002</w:t>
            </w:r>
          </w:p>
        </w:tc>
        <w:tc>
          <w:tcPr>
            <w:tcW w:w="1318" w:type="dxa"/>
            <w:gridSpan w:val="3"/>
          </w:tcPr>
          <w:p>
            <w:pPr>
              <w:pStyle w:val="nTable"/>
              <w:spacing w:after="40"/>
              <w:rPr>
                <w:sz w:val="19"/>
              </w:rPr>
            </w:pPr>
            <w:r>
              <w:rPr>
                <w:sz w:val="19"/>
              </w:rPr>
              <w:t>19 Jun 2002</w:t>
            </w:r>
          </w:p>
        </w:tc>
        <w:tc>
          <w:tcPr>
            <w:tcW w:w="2452"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083" w:type="dxa"/>
          </w:tcPr>
          <w:p>
            <w:pPr>
              <w:pStyle w:val="nTable"/>
              <w:spacing w:after="40"/>
              <w:ind w:right="113"/>
              <w:rPr>
                <w:sz w:val="19"/>
              </w:rPr>
            </w:pPr>
            <w:r>
              <w:rPr>
                <w:i/>
                <w:sz w:val="19"/>
              </w:rPr>
              <w:t>Stamp Amendment (Budget) Act 2002</w:t>
            </w:r>
            <w:r>
              <w:rPr>
                <w:sz w:val="19"/>
              </w:rPr>
              <w:t xml:space="preserve"> </w:t>
            </w:r>
            <w:r>
              <w:rPr>
                <w:sz w:val="19"/>
                <w:vertAlign w:val="superscript"/>
              </w:rPr>
              <w:t>38, 39, 40</w:t>
            </w:r>
          </w:p>
        </w:tc>
        <w:tc>
          <w:tcPr>
            <w:tcW w:w="1132" w:type="dxa"/>
            <w:gridSpan w:val="3"/>
          </w:tcPr>
          <w:p>
            <w:pPr>
              <w:pStyle w:val="nTable"/>
              <w:spacing w:after="40"/>
              <w:rPr>
                <w:sz w:val="19"/>
              </w:rPr>
            </w:pPr>
            <w:r>
              <w:rPr>
                <w:sz w:val="19"/>
              </w:rPr>
              <w:t>11 of 2002</w:t>
            </w:r>
          </w:p>
        </w:tc>
        <w:tc>
          <w:tcPr>
            <w:tcW w:w="1318" w:type="dxa"/>
            <w:gridSpan w:val="3"/>
          </w:tcPr>
          <w:p>
            <w:pPr>
              <w:pStyle w:val="nTable"/>
              <w:spacing w:after="40"/>
              <w:rPr>
                <w:sz w:val="19"/>
              </w:rPr>
            </w:pPr>
            <w:r>
              <w:rPr>
                <w:sz w:val="19"/>
              </w:rPr>
              <w:t>28 Jun 2002</w:t>
            </w:r>
          </w:p>
        </w:tc>
        <w:tc>
          <w:tcPr>
            <w:tcW w:w="2452" w:type="dxa"/>
            <w:gridSpan w:val="2"/>
          </w:tcPr>
          <w:p>
            <w:pPr>
              <w:pStyle w:val="nTable"/>
              <w:spacing w:after="40"/>
              <w:rPr>
                <w:sz w:val="19"/>
              </w:rPr>
            </w:pPr>
            <w:r>
              <w:rPr>
                <w:sz w:val="19"/>
              </w:rPr>
              <w:t>1 Jul 2002 (see s. 2)</w:t>
            </w:r>
          </w:p>
        </w:tc>
      </w:tr>
      <w:tr>
        <w:trPr>
          <w:cantSplit/>
        </w:trPr>
        <w:tc>
          <w:tcPr>
            <w:tcW w:w="2083" w:type="dxa"/>
          </w:tcPr>
          <w:p>
            <w:pPr>
              <w:pStyle w:val="nTable"/>
              <w:spacing w:after="40"/>
              <w:ind w:right="113"/>
              <w:rPr>
                <w:sz w:val="19"/>
              </w:rPr>
            </w:pPr>
            <w:r>
              <w:rPr>
                <w:i/>
                <w:sz w:val="19"/>
              </w:rPr>
              <w:t>Family Court Amendment Act 2002</w:t>
            </w:r>
            <w:r>
              <w:rPr>
                <w:sz w:val="19"/>
              </w:rPr>
              <w:t xml:space="preserve"> s. 52</w:t>
            </w:r>
          </w:p>
        </w:tc>
        <w:tc>
          <w:tcPr>
            <w:tcW w:w="1132" w:type="dxa"/>
            <w:gridSpan w:val="3"/>
          </w:tcPr>
          <w:p>
            <w:pPr>
              <w:pStyle w:val="nTable"/>
              <w:spacing w:after="40"/>
              <w:rPr>
                <w:sz w:val="19"/>
              </w:rPr>
            </w:pPr>
            <w:r>
              <w:rPr>
                <w:sz w:val="19"/>
              </w:rPr>
              <w:t>25 of 2002</w:t>
            </w:r>
          </w:p>
        </w:tc>
        <w:tc>
          <w:tcPr>
            <w:tcW w:w="1318" w:type="dxa"/>
            <w:gridSpan w:val="3"/>
          </w:tcPr>
          <w:p>
            <w:pPr>
              <w:pStyle w:val="nTable"/>
              <w:spacing w:after="40"/>
              <w:rPr>
                <w:sz w:val="19"/>
              </w:rPr>
            </w:pPr>
            <w:r>
              <w:rPr>
                <w:sz w:val="19"/>
              </w:rPr>
              <w:t>25 Sep 2002</w:t>
            </w:r>
          </w:p>
        </w:tc>
        <w:tc>
          <w:tcPr>
            <w:tcW w:w="2452" w:type="dxa"/>
            <w:gridSpan w:val="2"/>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083"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41</w:t>
            </w:r>
          </w:p>
        </w:tc>
        <w:tc>
          <w:tcPr>
            <w:tcW w:w="1132" w:type="dxa"/>
            <w:gridSpan w:val="3"/>
          </w:tcPr>
          <w:p>
            <w:pPr>
              <w:pStyle w:val="nTable"/>
              <w:spacing w:after="40"/>
              <w:rPr>
                <w:sz w:val="19"/>
              </w:rPr>
            </w:pPr>
            <w:r>
              <w:rPr>
                <w:sz w:val="19"/>
              </w:rPr>
              <w:t>46 of 2002</w:t>
            </w:r>
          </w:p>
        </w:tc>
        <w:tc>
          <w:tcPr>
            <w:tcW w:w="1318" w:type="dxa"/>
            <w:gridSpan w:val="3"/>
          </w:tcPr>
          <w:p>
            <w:pPr>
              <w:pStyle w:val="nTable"/>
              <w:spacing w:after="40"/>
              <w:rPr>
                <w:sz w:val="19"/>
              </w:rPr>
            </w:pPr>
            <w:r>
              <w:rPr>
                <w:sz w:val="19"/>
              </w:rPr>
              <w:t>20 Mar 2003</w:t>
            </w:r>
          </w:p>
        </w:tc>
        <w:tc>
          <w:tcPr>
            <w:tcW w:w="2452"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083" w:type="dxa"/>
          </w:tcPr>
          <w:p>
            <w:pPr>
              <w:pStyle w:val="nTable"/>
              <w:spacing w:after="40"/>
              <w:ind w:right="113"/>
              <w:rPr>
                <w:i/>
                <w:sz w:val="19"/>
              </w:rPr>
            </w:pPr>
            <w:r>
              <w:rPr>
                <w:i/>
                <w:sz w:val="19"/>
              </w:rPr>
              <w:t>Stamp Amendment Act 2003</w:t>
            </w:r>
          </w:p>
        </w:tc>
        <w:tc>
          <w:tcPr>
            <w:tcW w:w="1132" w:type="dxa"/>
            <w:gridSpan w:val="3"/>
          </w:tcPr>
          <w:p>
            <w:pPr>
              <w:pStyle w:val="nTable"/>
              <w:spacing w:after="40"/>
              <w:rPr>
                <w:sz w:val="19"/>
              </w:rPr>
            </w:pPr>
            <w:r>
              <w:rPr>
                <w:sz w:val="19"/>
              </w:rPr>
              <w:t>2 of 2003</w:t>
            </w:r>
          </w:p>
        </w:tc>
        <w:tc>
          <w:tcPr>
            <w:tcW w:w="1318" w:type="dxa"/>
            <w:gridSpan w:val="3"/>
          </w:tcPr>
          <w:p>
            <w:pPr>
              <w:pStyle w:val="nTable"/>
              <w:spacing w:after="40"/>
              <w:rPr>
                <w:sz w:val="19"/>
              </w:rPr>
            </w:pPr>
            <w:r>
              <w:rPr>
                <w:sz w:val="19"/>
              </w:rPr>
              <w:t>20 Mar 2003</w:t>
            </w:r>
          </w:p>
        </w:tc>
        <w:tc>
          <w:tcPr>
            <w:tcW w:w="2452"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083"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42</w:t>
            </w:r>
          </w:p>
        </w:tc>
        <w:tc>
          <w:tcPr>
            <w:tcW w:w="1132" w:type="dxa"/>
            <w:gridSpan w:val="3"/>
          </w:tcPr>
          <w:p>
            <w:pPr>
              <w:pStyle w:val="nTable"/>
              <w:spacing w:after="40"/>
              <w:rPr>
                <w:sz w:val="19"/>
              </w:rPr>
            </w:pPr>
            <w:r>
              <w:rPr>
                <w:sz w:val="19"/>
              </w:rPr>
              <w:t>21 of 2003</w:t>
            </w:r>
          </w:p>
        </w:tc>
        <w:tc>
          <w:tcPr>
            <w:tcW w:w="1318" w:type="dxa"/>
            <w:gridSpan w:val="3"/>
          </w:tcPr>
          <w:p>
            <w:pPr>
              <w:pStyle w:val="nTable"/>
              <w:spacing w:after="40"/>
              <w:rPr>
                <w:sz w:val="19"/>
              </w:rPr>
            </w:pPr>
            <w:r>
              <w:rPr>
                <w:sz w:val="19"/>
              </w:rPr>
              <w:t>23 Apr 2003</w:t>
            </w:r>
          </w:p>
        </w:tc>
        <w:tc>
          <w:tcPr>
            <w:tcW w:w="2452" w:type="dxa"/>
            <w:gridSpan w:val="2"/>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083" w:type="dxa"/>
          </w:tcPr>
          <w:p>
            <w:pPr>
              <w:pStyle w:val="nTable"/>
              <w:spacing w:after="40"/>
              <w:ind w:right="113"/>
              <w:rPr>
                <w:sz w:val="19"/>
              </w:rPr>
            </w:pPr>
            <w:r>
              <w:rPr>
                <w:i/>
                <w:sz w:val="19"/>
              </w:rPr>
              <w:t>Acts Amendment (Equality of Status) Act 2003</w:t>
            </w:r>
            <w:r>
              <w:rPr>
                <w:sz w:val="19"/>
              </w:rPr>
              <w:t xml:space="preserve"> Pt. 55</w:t>
            </w:r>
          </w:p>
        </w:tc>
        <w:tc>
          <w:tcPr>
            <w:tcW w:w="1132" w:type="dxa"/>
            <w:gridSpan w:val="3"/>
          </w:tcPr>
          <w:p>
            <w:pPr>
              <w:pStyle w:val="nTable"/>
              <w:spacing w:after="40"/>
              <w:rPr>
                <w:sz w:val="19"/>
              </w:rPr>
            </w:pPr>
            <w:r>
              <w:rPr>
                <w:sz w:val="19"/>
              </w:rPr>
              <w:t>28 of 2003</w:t>
            </w:r>
          </w:p>
        </w:tc>
        <w:tc>
          <w:tcPr>
            <w:tcW w:w="1318" w:type="dxa"/>
            <w:gridSpan w:val="3"/>
          </w:tcPr>
          <w:p>
            <w:pPr>
              <w:pStyle w:val="nTable"/>
              <w:spacing w:after="40"/>
              <w:rPr>
                <w:sz w:val="19"/>
              </w:rPr>
            </w:pPr>
            <w:r>
              <w:rPr>
                <w:sz w:val="19"/>
              </w:rPr>
              <w:t>22 May 2003</w:t>
            </w:r>
          </w:p>
        </w:tc>
        <w:tc>
          <w:tcPr>
            <w:tcW w:w="2452" w:type="dxa"/>
            <w:gridSpan w:val="2"/>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083" w:type="dxa"/>
          </w:tcPr>
          <w:p>
            <w:pPr>
              <w:pStyle w:val="nTable"/>
              <w:spacing w:after="40"/>
              <w:ind w:right="113"/>
              <w:rPr>
                <w:sz w:val="19"/>
              </w:rPr>
            </w:pPr>
            <w:r>
              <w:rPr>
                <w:i/>
                <w:sz w:val="19"/>
              </w:rPr>
              <w:t>Stamp Amendment (Budget) Act 2003</w:t>
            </w:r>
            <w:r>
              <w:rPr>
                <w:sz w:val="19"/>
                <w:vertAlign w:val="superscript"/>
              </w:rPr>
              <w:t> 43</w:t>
            </w:r>
          </w:p>
        </w:tc>
        <w:tc>
          <w:tcPr>
            <w:tcW w:w="1132" w:type="dxa"/>
            <w:gridSpan w:val="3"/>
          </w:tcPr>
          <w:p>
            <w:pPr>
              <w:pStyle w:val="nTable"/>
              <w:spacing w:after="40"/>
              <w:rPr>
                <w:sz w:val="19"/>
              </w:rPr>
            </w:pPr>
            <w:r>
              <w:rPr>
                <w:sz w:val="19"/>
              </w:rPr>
              <w:t>44 of 2003</w:t>
            </w:r>
          </w:p>
        </w:tc>
        <w:tc>
          <w:tcPr>
            <w:tcW w:w="1318" w:type="dxa"/>
            <w:gridSpan w:val="3"/>
          </w:tcPr>
          <w:p>
            <w:pPr>
              <w:pStyle w:val="nTable"/>
              <w:spacing w:after="40"/>
              <w:rPr>
                <w:sz w:val="19"/>
              </w:rPr>
            </w:pPr>
            <w:r>
              <w:rPr>
                <w:sz w:val="19"/>
              </w:rPr>
              <w:t>30 Jun 2003</w:t>
            </w:r>
          </w:p>
        </w:tc>
        <w:tc>
          <w:tcPr>
            <w:tcW w:w="2452" w:type="dxa"/>
            <w:gridSpan w:val="2"/>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cantSplit/>
        </w:trPr>
        <w:tc>
          <w:tcPr>
            <w:tcW w:w="6985" w:type="dxa"/>
            <w:gridSpan w:val="9"/>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083" w:type="dxa"/>
          </w:tcPr>
          <w:p>
            <w:pPr>
              <w:pStyle w:val="nTable"/>
              <w:spacing w:after="40"/>
              <w:rPr>
                <w:sz w:val="19"/>
              </w:rPr>
            </w:pPr>
            <w:r>
              <w:rPr>
                <w:i/>
                <w:sz w:val="19"/>
              </w:rPr>
              <w:t>Acts Amendment (Carbon Rights and Tree Plantation Agreements) Act 2003</w:t>
            </w:r>
            <w:r>
              <w:rPr>
                <w:sz w:val="19"/>
              </w:rPr>
              <w:t xml:space="preserve"> Pt. 4</w:t>
            </w:r>
          </w:p>
        </w:tc>
        <w:tc>
          <w:tcPr>
            <w:tcW w:w="1132" w:type="dxa"/>
            <w:gridSpan w:val="3"/>
          </w:tcPr>
          <w:p>
            <w:pPr>
              <w:pStyle w:val="nTable"/>
              <w:spacing w:after="40"/>
              <w:rPr>
                <w:sz w:val="19"/>
              </w:rPr>
            </w:pPr>
            <w:r>
              <w:rPr>
                <w:sz w:val="19"/>
              </w:rPr>
              <w:t>56 of 2003</w:t>
            </w:r>
          </w:p>
        </w:tc>
        <w:tc>
          <w:tcPr>
            <w:tcW w:w="1318" w:type="dxa"/>
            <w:gridSpan w:val="3"/>
          </w:tcPr>
          <w:p>
            <w:pPr>
              <w:pStyle w:val="nTable"/>
              <w:spacing w:after="40"/>
              <w:rPr>
                <w:sz w:val="19"/>
              </w:rPr>
            </w:pPr>
            <w:r>
              <w:rPr>
                <w:sz w:val="19"/>
              </w:rPr>
              <w:t>29 Oct 2003</w:t>
            </w:r>
          </w:p>
        </w:tc>
        <w:tc>
          <w:tcPr>
            <w:tcW w:w="2452" w:type="dxa"/>
            <w:gridSpan w:val="2"/>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083" w:type="dxa"/>
          </w:tcPr>
          <w:p>
            <w:pPr>
              <w:pStyle w:val="nTable"/>
              <w:spacing w:after="40"/>
              <w:ind w:right="113"/>
              <w:rPr>
                <w:sz w:val="19"/>
                <w:vertAlign w:val="superscript"/>
              </w:rPr>
            </w:pPr>
            <w:r>
              <w:rPr>
                <w:i/>
                <w:sz w:val="19"/>
              </w:rPr>
              <w:t>Business Tax Review (Taxing) Act (No. 2) 2003</w:t>
            </w:r>
            <w:r>
              <w:rPr>
                <w:sz w:val="19"/>
                <w:vertAlign w:val="superscript"/>
              </w:rPr>
              <w:t> </w:t>
            </w:r>
          </w:p>
        </w:tc>
        <w:tc>
          <w:tcPr>
            <w:tcW w:w="1132" w:type="dxa"/>
            <w:gridSpan w:val="3"/>
          </w:tcPr>
          <w:p>
            <w:pPr>
              <w:pStyle w:val="nTable"/>
              <w:spacing w:after="40"/>
              <w:rPr>
                <w:sz w:val="19"/>
              </w:rPr>
            </w:pPr>
            <w:r>
              <w:rPr>
                <w:sz w:val="19"/>
              </w:rPr>
              <w:t>59 of 2003</w:t>
            </w:r>
          </w:p>
        </w:tc>
        <w:tc>
          <w:tcPr>
            <w:tcW w:w="1318" w:type="dxa"/>
            <w:gridSpan w:val="3"/>
          </w:tcPr>
          <w:p>
            <w:pPr>
              <w:pStyle w:val="nTable"/>
              <w:spacing w:after="40"/>
              <w:rPr>
                <w:sz w:val="19"/>
              </w:rPr>
            </w:pPr>
            <w:r>
              <w:rPr>
                <w:sz w:val="19"/>
              </w:rPr>
              <w:t>26 Nov 2003</w:t>
            </w:r>
          </w:p>
        </w:tc>
        <w:tc>
          <w:tcPr>
            <w:tcW w:w="2452" w:type="dxa"/>
            <w:gridSpan w:val="2"/>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cantSplit/>
        </w:trPr>
        <w:tc>
          <w:tcPr>
            <w:tcW w:w="2083"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4, 44</w:t>
            </w:r>
          </w:p>
        </w:tc>
        <w:tc>
          <w:tcPr>
            <w:tcW w:w="1132" w:type="dxa"/>
            <w:gridSpan w:val="3"/>
          </w:tcPr>
          <w:p>
            <w:pPr>
              <w:pStyle w:val="nTable"/>
              <w:spacing w:after="40"/>
              <w:rPr>
                <w:sz w:val="19"/>
              </w:rPr>
            </w:pPr>
            <w:r>
              <w:rPr>
                <w:sz w:val="19"/>
              </w:rPr>
              <w:t>66 of 2003</w:t>
            </w:r>
          </w:p>
        </w:tc>
        <w:tc>
          <w:tcPr>
            <w:tcW w:w="1318" w:type="dxa"/>
            <w:gridSpan w:val="3"/>
          </w:tcPr>
          <w:p>
            <w:pPr>
              <w:pStyle w:val="nTable"/>
              <w:spacing w:after="40"/>
              <w:rPr>
                <w:sz w:val="19"/>
              </w:rPr>
            </w:pPr>
            <w:r>
              <w:rPr>
                <w:sz w:val="19"/>
              </w:rPr>
              <w:t>5 Dec 2003</w:t>
            </w:r>
          </w:p>
        </w:tc>
        <w:tc>
          <w:tcPr>
            <w:tcW w:w="2452" w:type="dxa"/>
            <w:gridSpan w:val="2"/>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cantSplit/>
        </w:trPr>
        <w:tc>
          <w:tcPr>
            <w:tcW w:w="2083" w:type="dxa"/>
          </w:tcPr>
          <w:p>
            <w:pPr>
              <w:pStyle w:val="nTable"/>
              <w:spacing w:after="40"/>
              <w:rPr>
                <w:sz w:val="19"/>
              </w:rPr>
            </w:pPr>
            <w:r>
              <w:rPr>
                <w:i/>
                <w:sz w:val="19"/>
              </w:rPr>
              <w:t>Revenue Laws Amendment Act 2004</w:t>
            </w:r>
            <w:r>
              <w:rPr>
                <w:sz w:val="19"/>
              </w:rPr>
              <w:t xml:space="preserve"> Pt. 3 </w:t>
            </w:r>
            <w:r>
              <w:rPr>
                <w:sz w:val="19"/>
                <w:vertAlign w:val="superscript"/>
              </w:rPr>
              <w:t>7</w:t>
            </w:r>
          </w:p>
        </w:tc>
        <w:tc>
          <w:tcPr>
            <w:tcW w:w="1132" w:type="dxa"/>
            <w:gridSpan w:val="3"/>
          </w:tcPr>
          <w:p>
            <w:pPr>
              <w:pStyle w:val="nTable"/>
              <w:spacing w:after="40"/>
              <w:rPr>
                <w:sz w:val="19"/>
              </w:rPr>
            </w:pPr>
            <w:r>
              <w:rPr>
                <w:sz w:val="19"/>
              </w:rPr>
              <w:t>11 of 2004</w:t>
            </w:r>
          </w:p>
        </w:tc>
        <w:tc>
          <w:tcPr>
            <w:tcW w:w="1318" w:type="dxa"/>
            <w:gridSpan w:val="3"/>
          </w:tcPr>
          <w:p>
            <w:pPr>
              <w:pStyle w:val="nTable"/>
              <w:spacing w:after="40"/>
              <w:rPr>
                <w:sz w:val="19"/>
              </w:rPr>
            </w:pPr>
            <w:r>
              <w:rPr>
                <w:sz w:val="19"/>
              </w:rPr>
              <w:t>29 Jun 2004</w:t>
            </w:r>
          </w:p>
        </w:tc>
        <w:tc>
          <w:tcPr>
            <w:tcW w:w="2452" w:type="dxa"/>
            <w:gridSpan w:val="2"/>
          </w:tcPr>
          <w:p>
            <w:pPr>
              <w:pStyle w:val="nTable"/>
              <w:spacing w:after="40"/>
              <w:rPr>
                <w:sz w:val="19"/>
              </w:rPr>
            </w:pPr>
            <w:r>
              <w:rPr>
                <w:sz w:val="19"/>
              </w:rPr>
              <w:t>1 Jul 2004 (see s. 2(2))</w:t>
            </w:r>
          </w:p>
        </w:tc>
      </w:tr>
      <w:tr>
        <w:trPr>
          <w:cantSplit/>
        </w:trPr>
        <w:tc>
          <w:tcPr>
            <w:tcW w:w="2083"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2</w:t>
            </w:r>
          </w:p>
        </w:tc>
        <w:tc>
          <w:tcPr>
            <w:tcW w:w="1132" w:type="dxa"/>
            <w:gridSpan w:val="3"/>
          </w:tcPr>
          <w:p>
            <w:pPr>
              <w:pStyle w:val="nTable"/>
              <w:spacing w:after="40"/>
              <w:rPr>
                <w:sz w:val="19"/>
              </w:rPr>
            </w:pPr>
            <w:r>
              <w:rPr>
                <w:sz w:val="19"/>
              </w:rPr>
              <w:t>12 of 2004</w:t>
            </w:r>
          </w:p>
        </w:tc>
        <w:tc>
          <w:tcPr>
            <w:tcW w:w="1318" w:type="dxa"/>
            <w:gridSpan w:val="3"/>
          </w:tcPr>
          <w:p>
            <w:pPr>
              <w:pStyle w:val="nTable"/>
              <w:spacing w:after="40"/>
              <w:rPr>
                <w:sz w:val="19"/>
              </w:rPr>
            </w:pPr>
            <w:r>
              <w:rPr>
                <w:sz w:val="19"/>
              </w:rPr>
              <w:t>29 Jun 2004</w:t>
            </w:r>
          </w:p>
        </w:tc>
        <w:tc>
          <w:tcPr>
            <w:tcW w:w="2452" w:type="dxa"/>
            <w:gridSpan w:val="2"/>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cantSplit/>
        </w:trPr>
        <w:tc>
          <w:tcPr>
            <w:tcW w:w="2083"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32" w:type="dxa"/>
            <w:gridSpan w:val="3"/>
          </w:tcPr>
          <w:p>
            <w:pPr>
              <w:pStyle w:val="nTable"/>
              <w:spacing w:after="40"/>
              <w:rPr>
                <w:sz w:val="19"/>
              </w:rPr>
            </w:pPr>
            <w:r>
              <w:rPr>
                <w:snapToGrid w:val="0"/>
                <w:sz w:val="19"/>
                <w:lang w:val="en-US"/>
              </w:rPr>
              <w:t>42 of 2004</w:t>
            </w:r>
          </w:p>
        </w:tc>
        <w:tc>
          <w:tcPr>
            <w:tcW w:w="1318" w:type="dxa"/>
            <w:gridSpan w:val="3"/>
          </w:tcPr>
          <w:p>
            <w:pPr>
              <w:pStyle w:val="nTable"/>
              <w:spacing w:after="40"/>
              <w:rPr>
                <w:sz w:val="19"/>
              </w:rPr>
            </w:pPr>
            <w:r>
              <w:rPr>
                <w:sz w:val="19"/>
              </w:rPr>
              <w:t>9 Nov 2004</w:t>
            </w:r>
          </w:p>
        </w:tc>
        <w:tc>
          <w:tcPr>
            <w:tcW w:w="2452" w:type="dxa"/>
            <w:gridSpan w:val="2"/>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083"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45</w:t>
            </w:r>
          </w:p>
        </w:tc>
        <w:tc>
          <w:tcPr>
            <w:tcW w:w="1132" w:type="dxa"/>
            <w:gridSpan w:val="3"/>
          </w:tcPr>
          <w:p>
            <w:pPr>
              <w:pStyle w:val="nTable"/>
              <w:spacing w:after="40"/>
              <w:rPr>
                <w:sz w:val="19"/>
              </w:rPr>
            </w:pPr>
            <w:r>
              <w:rPr>
                <w:sz w:val="19"/>
              </w:rPr>
              <w:t>83 of 2004</w:t>
            </w:r>
          </w:p>
        </w:tc>
        <w:tc>
          <w:tcPr>
            <w:tcW w:w="1318" w:type="dxa"/>
            <w:gridSpan w:val="3"/>
          </w:tcPr>
          <w:p>
            <w:pPr>
              <w:pStyle w:val="nTable"/>
              <w:spacing w:after="40"/>
              <w:rPr>
                <w:sz w:val="19"/>
              </w:rPr>
            </w:pPr>
            <w:r>
              <w:rPr>
                <w:sz w:val="19"/>
              </w:rPr>
              <w:t>8 Dec 2004</w:t>
            </w:r>
          </w:p>
        </w:tc>
        <w:tc>
          <w:tcPr>
            <w:tcW w:w="2452" w:type="dxa"/>
            <w:gridSpan w:val="2"/>
          </w:tcPr>
          <w:p>
            <w:pPr>
              <w:pStyle w:val="nTable"/>
              <w:spacing w:after="40"/>
              <w:rPr>
                <w:spacing w:val="-2"/>
                <w:sz w:val="19"/>
              </w:rPr>
            </w:pPr>
            <w:r>
              <w:rPr>
                <w:sz w:val="19"/>
              </w:rPr>
              <w:t>8 Dec 2004 (see s. 2)</w:t>
            </w:r>
          </w:p>
        </w:tc>
      </w:tr>
      <w:tr>
        <w:trPr>
          <w:cantSplit/>
        </w:trPr>
        <w:tc>
          <w:tcPr>
            <w:tcW w:w="6985" w:type="dxa"/>
            <w:gridSpan w:val="9"/>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083" w:type="dxa"/>
          </w:tcPr>
          <w:p>
            <w:pPr>
              <w:pStyle w:val="nTable"/>
              <w:spacing w:after="40"/>
              <w:rPr>
                <w:sz w:val="19"/>
              </w:rPr>
            </w:pPr>
            <w:r>
              <w:rPr>
                <w:i/>
                <w:sz w:val="19"/>
              </w:rPr>
              <w:t>Revenue Laws Amendment Act 2005</w:t>
            </w:r>
            <w:r>
              <w:rPr>
                <w:sz w:val="19"/>
              </w:rPr>
              <w:t xml:space="preserve"> Pt. 3 </w:t>
            </w:r>
            <w:r>
              <w:rPr>
                <w:sz w:val="19"/>
                <w:vertAlign w:val="superscript"/>
              </w:rPr>
              <w:t>46, 47</w:t>
            </w:r>
          </w:p>
        </w:tc>
        <w:tc>
          <w:tcPr>
            <w:tcW w:w="1075" w:type="dxa"/>
            <w:gridSpan w:val="2"/>
          </w:tcPr>
          <w:p>
            <w:pPr>
              <w:pStyle w:val="nTable"/>
              <w:spacing w:after="40"/>
              <w:rPr>
                <w:sz w:val="19"/>
              </w:rPr>
            </w:pPr>
            <w:r>
              <w:rPr>
                <w:sz w:val="19"/>
              </w:rPr>
              <w:t>11 of 2005</w:t>
            </w:r>
          </w:p>
        </w:tc>
        <w:tc>
          <w:tcPr>
            <w:tcW w:w="1375" w:type="dxa"/>
            <w:gridSpan w:val="4"/>
          </w:tcPr>
          <w:p>
            <w:pPr>
              <w:pStyle w:val="nTable"/>
              <w:spacing w:after="40"/>
              <w:rPr>
                <w:sz w:val="19"/>
              </w:rPr>
            </w:pPr>
            <w:r>
              <w:rPr>
                <w:sz w:val="19"/>
              </w:rPr>
              <w:t>30 Aug 2005</w:t>
            </w:r>
          </w:p>
        </w:tc>
        <w:tc>
          <w:tcPr>
            <w:tcW w:w="2452" w:type="dxa"/>
            <w:gridSpan w:val="2"/>
          </w:tcPr>
          <w:p>
            <w:pPr>
              <w:pStyle w:val="nTable"/>
              <w:spacing w:after="40"/>
              <w:rPr>
                <w:sz w:val="19"/>
              </w:rPr>
            </w:pPr>
            <w:r>
              <w:rPr>
                <w:sz w:val="19"/>
              </w:rPr>
              <w:t>s. 27 &amp; 29: 1 Jan 2004 (see s. 2(3));</w:t>
            </w:r>
            <w:r>
              <w:rPr>
                <w:sz w:val="19"/>
              </w:rPr>
              <w:br/>
              <w:t>s. 28: 1 Jul 2004 (see s. 2(4));</w:t>
            </w:r>
            <w:r>
              <w:rPr>
                <w:sz w:val="19"/>
              </w:rPr>
              <w:br/>
              <w:t>s. 8, 11(1), 13(2) &amp; (3) and 18-25: 18 May 2005 (see s. 2(2));</w:t>
            </w:r>
            <w:r>
              <w:rPr>
                <w:sz w:val="19"/>
              </w:rPr>
              <w:br/>
              <w:t>balance: 30 Aug 2005 (see s. 2(1))</w:t>
            </w:r>
          </w:p>
        </w:tc>
      </w:tr>
      <w:tr>
        <w:trPr>
          <w:cantSplit/>
        </w:trPr>
        <w:tc>
          <w:tcPr>
            <w:tcW w:w="2083" w:type="dxa"/>
          </w:tcPr>
          <w:p>
            <w:pPr>
              <w:pStyle w:val="nTable"/>
              <w:spacing w:after="40"/>
              <w:rPr>
                <w:sz w:val="19"/>
              </w:rPr>
            </w:pPr>
            <w:r>
              <w:rPr>
                <w:i/>
                <w:sz w:val="19"/>
              </w:rPr>
              <w:t>Revenue Laws Amendment Act (No. 2) 2005</w:t>
            </w:r>
            <w:r>
              <w:rPr>
                <w:sz w:val="19"/>
              </w:rPr>
              <w:t xml:space="preserve"> Pt. 3</w:t>
            </w:r>
          </w:p>
        </w:tc>
        <w:tc>
          <w:tcPr>
            <w:tcW w:w="1075" w:type="dxa"/>
            <w:gridSpan w:val="2"/>
          </w:tcPr>
          <w:p>
            <w:pPr>
              <w:pStyle w:val="nTable"/>
              <w:spacing w:after="40"/>
              <w:rPr>
                <w:sz w:val="19"/>
              </w:rPr>
            </w:pPr>
            <w:r>
              <w:rPr>
                <w:sz w:val="19"/>
              </w:rPr>
              <w:t>12 of 2005</w:t>
            </w:r>
          </w:p>
        </w:tc>
        <w:tc>
          <w:tcPr>
            <w:tcW w:w="1375" w:type="dxa"/>
            <w:gridSpan w:val="4"/>
          </w:tcPr>
          <w:p>
            <w:pPr>
              <w:pStyle w:val="nTable"/>
              <w:spacing w:after="40"/>
              <w:rPr>
                <w:sz w:val="19"/>
              </w:rPr>
            </w:pPr>
            <w:r>
              <w:rPr>
                <w:sz w:val="19"/>
              </w:rPr>
              <w:t>30 Aug 2005</w:t>
            </w:r>
          </w:p>
        </w:tc>
        <w:tc>
          <w:tcPr>
            <w:tcW w:w="2452" w:type="dxa"/>
            <w:gridSpan w:val="2"/>
          </w:tcPr>
          <w:p>
            <w:pPr>
              <w:pStyle w:val="nTable"/>
              <w:spacing w:after="40"/>
              <w:rPr>
                <w:sz w:val="19"/>
              </w:rPr>
            </w:pPr>
            <w:r>
              <w:rPr>
                <w:sz w:val="19"/>
              </w:rPr>
              <w:t>30 Aug 2005 (see s. 2(1))</w:t>
            </w:r>
          </w:p>
        </w:tc>
      </w:tr>
      <w:tr>
        <w:trPr>
          <w:cantSplit/>
        </w:trPr>
        <w:tc>
          <w:tcPr>
            <w:tcW w:w="2083" w:type="dxa"/>
          </w:tcPr>
          <w:p>
            <w:pPr>
              <w:pStyle w:val="nTable"/>
              <w:spacing w:after="40"/>
              <w:rPr>
                <w:sz w:val="19"/>
              </w:rPr>
            </w:pPr>
            <w:r>
              <w:rPr>
                <w:i/>
                <w:sz w:val="19"/>
              </w:rPr>
              <w:t>Stamp Amendment Act 2005</w:t>
            </w:r>
            <w:r>
              <w:rPr>
                <w:sz w:val="19"/>
              </w:rPr>
              <w:t> </w:t>
            </w:r>
            <w:r>
              <w:rPr>
                <w:sz w:val="19"/>
                <w:vertAlign w:val="superscript"/>
              </w:rPr>
              <w:t>49, 50</w:t>
            </w:r>
          </w:p>
        </w:tc>
        <w:tc>
          <w:tcPr>
            <w:tcW w:w="1075" w:type="dxa"/>
            <w:gridSpan w:val="2"/>
          </w:tcPr>
          <w:p>
            <w:pPr>
              <w:pStyle w:val="nTable"/>
              <w:spacing w:after="40"/>
              <w:rPr>
                <w:sz w:val="19"/>
              </w:rPr>
            </w:pPr>
            <w:r>
              <w:rPr>
                <w:sz w:val="19"/>
              </w:rPr>
              <w:t>34 of 2005</w:t>
            </w:r>
          </w:p>
        </w:tc>
        <w:tc>
          <w:tcPr>
            <w:tcW w:w="1375" w:type="dxa"/>
            <w:gridSpan w:val="4"/>
          </w:tcPr>
          <w:p>
            <w:pPr>
              <w:pStyle w:val="nTable"/>
              <w:spacing w:after="40"/>
              <w:rPr>
                <w:sz w:val="19"/>
              </w:rPr>
            </w:pPr>
            <w:r>
              <w:rPr>
                <w:sz w:val="19"/>
              </w:rPr>
              <w:t>12 Dec 2005</w:t>
            </w:r>
          </w:p>
        </w:tc>
        <w:tc>
          <w:tcPr>
            <w:tcW w:w="2452" w:type="dxa"/>
            <w:gridSpan w:val="2"/>
          </w:tcPr>
          <w:p>
            <w:pPr>
              <w:pStyle w:val="nTable"/>
              <w:spacing w:after="40"/>
              <w:rPr>
                <w:sz w:val="20"/>
              </w:rPr>
            </w:pPr>
            <w:r>
              <w:rPr>
                <w:sz w:val="19"/>
              </w:rPr>
              <w:t>Act</w:t>
            </w:r>
            <w:r>
              <w:rPr>
                <w:sz w:val="20"/>
              </w:rPr>
              <w:t xml:space="preserve"> other than Pt. 3: 12 Dec 2005 (see s. 2);</w:t>
            </w:r>
          </w:p>
          <w:p>
            <w:pPr>
              <w:pStyle w:val="nTable"/>
              <w:spacing w:after="40"/>
              <w:rPr>
                <w:sz w:val="19"/>
              </w:rPr>
            </w:pPr>
            <w:r>
              <w:rPr>
                <w:sz w:val="20"/>
              </w:rPr>
              <w:t>Pt. 3: 1 Jan 2006 (see s. 2(2))</w:t>
            </w:r>
          </w:p>
        </w:tc>
      </w:tr>
      <w:tr>
        <w:trPr>
          <w:cantSplit/>
        </w:trPr>
        <w:tc>
          <w:tcPr>
            <w:tcW w:w="2083" w:type="dxa"/>
          </w:tcPr>
          <w:p>
            <w:pPr>
              <w:pStyle w:val="nTable"/>
              <w:spacing w:after="40"/>
              <w:rPr>
                <w:i/>
                <w:sz w:val="19"/>
              </w:rPr>
            </w:pPr>
            <w:r>
              <w:rPr>
                <w:i/>
                <w:sz w:val="19"/>
              </w:rPr>
              <w:t>Stamp Amendment (Taxing) Act 2005</w:t>
            </w:r>
          </w:p>
        </w:tc>
        <w:tc>
          <w:tcPr>
            <w:tcW w:w="1075" w:type="dxa"/>
            <w:gridSpan w:val="2"/>
          </w:tcPr>
          <w:p>
            <w:pPr>
              <w:pStyle w:val="nTable"/>
              <w:spacing w:after="40"/>
              <w:rPr>
                <w:sz w:val="19"/>
              </w:rPr>
            </w:pPr>
            <w:r>
              <w:rPr>
                <w:sz w:val="19"/>
              </w:rPr>
              <w:t>35 of 2005</w:t>
            </w:r>
          </w:p>
        </w:tc>
        <w:tc>
          <w:tcPr>
            <w:tcW w:w="1375" w:type="dxa"/>
            <w:gridSpan w:val="4"/>
          </w:tcPr>
          <w:p>
            <w:pPr>
              <w:pStyle w:val="nTable"/>
              <w:spacing w:after="40"/>
              <w:rPr>
                <w:sz w:val="19"/>
              </w:rPr>
            </w:pPr>
            <w:r>
              <w:rPr>
                <w:sz w:val="19"/>
              </w:rPr>
              <w:t>12 Dec 2005</w:t>
            </w:r>
          </w:p>
        </w:tc>
        <w:tc>
          <w:tcPr>
            <w:tcW w:w="2452" w:type="dxa"/>
            <w:gridSpan w:val="2"/>
          </w:tcPr>
          <w:p>
            <w:pPr>
              <w:pStyle w:val="nTable"/>
              <w:spacing w:after="40"/>
              <w:rPr>
                <w:sz w:val="20"/>
              </w:rPr>
            </w:pPr>
            <w:r>
              <w:rPr>
                <w:sz w:val="20"/>
              </w:rPr>
              <w:t xml:space="preserve">1 Mar 2006 (see s. 2 and </w:t>
            </w:r>
            <w:r>
              <w:rPr>
                <w:i/>
                <w:iCs/>
                <w:sz w:val="20"/>
              </w:rPr>
              <w:t>Gazette</w:t>
            </w:r>
            <w:r>
              <w:rPr>
                <w:sz w:val="20"/>
              </w:rPr>
              <w:t xml:space="preserve"> 24 Jan 2006 p. 429)</w:t>
            </w:r>
          </w:p>
        </w:tc>
      </w:tr>
      <w:tr>
        <w:trPr>
          <w:cantSplit/>
        </w:trPr>
        <w:tc>
          <w:tcPr>
            <w:tcW w:w="2083" w:type="dxa"/>
          </w:tcPr>
          <w:p>
            <w:pPr>
              <w:pStyle w:val="nTable"/>
              <w:spacing w:after="40"/>
              <w:rPr>
                <w:sz w:val="19"/>
              </w:rPr>
            </w:pPr>
            <w:r>
              <w:rPr>
                <w:i/>
                <w:sz w:val="19"/>
              </w:rPr>
              <w:t>Stamp Amendment (Assessment) Act 2005</w:t>
            </w:r>
            <w:r>
              <w:rPr>
                <w:sz w:val="19"/>
              </w:rPr>
              <w:t xml:space="preserve"> </w:t>
            </w:r>
            <w:r>
              <w:rPr>
                <w:sz w:val="19"/>
                <w:vertAlign w:val="superscript"/>
              </w:rPr>
              <w:t>52</w:t>
            </w:r>
          </w:p>
        </w:tc>
        <w:tc>
          <w:tcPr>
            <w:tcW w:w="1075" w:type="dxa"/>
            <w:gridSpan w:val="2"/>
          </w:tcPr>
          <w:p>
            <w:pPr>
              <w:pStyle w:val="nTable"/>
              <w:spacing w:after="40"/>
              <w:rPr>
                <w:sz w:val="19"/>
              </w:rPr>
            </w:pPr>
            <w:r>
              <w:rPr>
                <w:sz w:val="19"/>
              </w:rPr>
              <w:t>36 of 2005</w:t>
            </w:r>
          </w:p>
        </w:tc>
        <w:tc>
          <w:tcPr>
            <w:tcW w:w="1375" w:type="dxa"/>
            <w:gridSpan w:val="4"/>
          </w:tcPr>
          <w:p>
            <w:pPr>
              <w:pStyle w:val="nTable"/>
              <w:spacing w:after="40"/>
              <w:rPr>
                <w:sz w:val="19"/>
              </w:rPr>
            </w:pPr>
            <w:r>
              <w:rPr>
                <w:sz w:val="19"/>
              </w:rPr>
              <w:t>12 Dec 2005</w:t>
            </w:r>
          </w:p>
        </w:tc>
        <w:tc>
          <w:tcPr>
            <w:tcW w:w="2452" w:type="dxa"/>
            <w:gridSpan w:val="2"/>
          </w:tcPr>
          <w:p>
            <w:pPr>
              <w:pStyle w:val="nTable"/>
              <w:spacing w:after="40"/>
              <w:rPr>
                <w:sz w:val="19"/>
              </w:rPr>
            </w:pPr>
            <w:r>
              <w:rPr>
                <w:sz w:val="19"/>
              </w:rPr>
              <w:t>s. 1-4 and 7: 12 Dec 2005 (see s. 2(1));</w:t>
            </w:r>
          </w:p>
          <w:p>
            <w:pPr>
              <w:pStyle w:val="nTable"/>
              <w:spacing w:after="40"/>
              <w:rPr>
                <w:sz w:val="19"/>
              </w:rPr>
            </w:pPr>
            <w:r>
              <w:rPr>
                <w:sz w:val="19"/>
              </w:rPr>
              <w:t>s. 5: 1 Jul 1997 (see s. 2(2))</w:t>
            </w:r>
          </w:p>
          <w:p>
            <w:pPr>
              <w:pStyle w:val="nTable"/>
              <w:spacing w:before="0" w:after="40"/>
              <w:rPr>
                <w:sz w:val="19"/>
              </w:rPr>
            </w:pPr>
            <w:r>
              <w:rPr>
                <w:sz w:val="19"/>
              </w:rPr>
              <w:t xml:space="preserve">s. 6 and 8: 1 Mar 2006 (see s. 2(3) and </w:t>
            </w:r>
            <w:r>
              <w:rPr>
                <w:i/>
                <w:iCs/>
                <w:sz w:val="19"/>
              </w:rPr>
              <w:t>Gazette</w:t>
            </w:r>
            <w:r>
              <w:rPr>
                <w:sz w:val="19"/>
              </w:rPr>
              <w:t xml:space="preserve"> 24 Jan 2006 p. 429)</w:t>
            </w:r>
          </w:p>
        </w:tc>
      </w:tr>
      <w:tr>
        <w:trPr>
          <w:cantSplit/>
        </w:trPr>
        <w:tc>
          <w:tcPr>
            <w:tcW w:w="2083" w:type="dxa"/>
            <w:tcBorders>
              <w:bottom w:val="single" w:sz="4" w:space="0" w:color="auto"/>
            </w:tcBorders>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075" w:type="dxa"/>
            <w:gridSpan w:val="2"/>
            <w:tcBorders>
              <w:bottom w:val="single" w:sz="4" w:space="0" w:color="auto"/>
            </w:tcBorders>
          </w:tcPr>
          <w:p>
            <w:pPr>
              <w:pStyle w:val="nTable"/>
              <w:spacing w:after="40"/>
              <w:rPr>
                <w:sz w:val="19"/>
              </w:rPr>
            </w:pPr>
            <w:r>
              <w:rPr>
                <w:snapToGrid w:val="0"/>
                <w:sz w:val="19"/>
                <w:lang w:val="en-US"/>
              </w:rPr>
              <w:t>38 of 2005</w:t>
            </w:r>
          </w:p>
        </w:tc>
        <w:tc>
          <w:tcPr>
            <w:tcW w:w="1375" w:type="dxa"/>
            <w:gridSpan w:val="4"/>
            <w:tcBorders>
              <w:bottom w:val="single" w:sz="4" w:space="0" w:color="auto"/>
            </w:tcBorders>
          </w:tcPr>
          <w:p>
            <w:pPr>
              <w:pStyle w:val="nTable"/>
              <w:spacing w:after="40"/>
              <w:rPr>
                <w:sz w:val="19"/>
              </w:rPr>
            </w:pPr>
            <w:r>
              <w:rPr>
                <w:sz w:val="19"/>
              </w:rPr>
              <w:t>12 Dec 2005</w:t>
            </w:r>
          </w:p>
        </w:tc>
        <w:tc>
          <w:tcPr>
            <w:tcW w:w="2452" w:type="dxa"/>
            <w:gridSpan w:val="2"/>
            <w:tcBorders>
              <w:bottom w:val="single" w:sz="4" w:space="0" w:color="auto"/>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11" w:name="_Toc534778309"/>
      <w:bookmarkStart w:id="2212" w:name="_Toc7405063"/>
      <w:bookmarkStart w:id="2213" w:name="_Toc116703346"/>
      <w:bookmarkStart w:id="2214" w:name="_Toc131416296"/>
      <w:bookmarkStart w:id="2215" w:name="_Toc170193479"/>
      <w:r>
        <w:rPr>
          <w:snapToGrid w:val="0"/>
        </w:rPr>
        <w:t>Provisions that have not come into operation</w:t>
      </w:r>
      <w:bookmarkEnd w:id="2211"/>
      <w:bookmarkEnd w:id="2212"/>
      <w:bookmarkEnd w:id="2213"/>
      <w:bookmarkEnd w:id="2214"/>
      <w:bookmarkEnd w:id="221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2397"/>
      </w:tblGrid>
      <w:tr>
        <w:tc>
          <w:tcPr>
            <w:tcW w:w="2280" w:type="dxa"/>
            <w:tcBorders>
              <w:bottom w:val="single" w:sz="4" w:space="0" w:color="auto"/>
            </w:tcBorders>
          </w:tcPr>
          <w:p>
            <w:pPr>
              <w:pStyle w:val="nTable"/>
              <w:rPr>
                <w:b/>
                <w:snapToGrid w:val="0"/>
                <w:lang w:val="en-US"/>
              </w:rPr>
            </w:pPr>
            <w:r>
              <w:rPr>
                <w:b/>
                <w:snapToGrid w:val="0"/>
                <w:lang w:val="en-US"/>
              </w:rPr>
              <w:t>Short title</w:t>
            </w:r>
          </w:p>
        </w:tc>
        <w:tc>
          <w:tcPr>
            <w:tcW w:w="1080" w:type="dxa"/>
            <w:tcBorders>
              <w:bottom w:val="single" w:sz="4" w:space="0" w:color="auto"/>
            </w:tcBorders>
          </w:tcPr>
          <w:p>
            <w:pPr>
              <w:pStyle w:val="nTable"/>
              <w:rPr>
                <w:b/>
                <w:snapToGrid w:val="0"/>
                <w:lang w:val="en-US"/>
              </w:rPr>
            </w:pPr>
            <w:r>
              <w:rPr>
                <w:b/>
                <w:snapToGrid w:val="0"/>
                <w:lang w:val="en-US"/>
              </w:rPr>
              <w:t>Number and Year</w:t>
            </w:r>
          </w:p>
        </w:tc>
        <w:tc>
          <w:tcPr>
            <w:tcW w:w="1200" w:type="dxa"/>
            <w:tcBorders>
              <w:bottom w:val="single" w:sz="4" w:space="0" w:color="auto"/>
            </w:tcBorders>
          </w:tcPr>
          <w:p>
            <w:pPr>
              <w:pStyle w:val="nTable"/>
              <w:rPr>
                <w:b/>
                <w:snapToGrid w:val="0"/>
                <w:lang w:val="en-US"/>
              </w:rPr>
            </w:pPr>
            <w:r>
              <w:rPr>
                <w:b/>
                <w:snapToGrid w:val="0"/>
                <w:lang w:val="en-US"/>
              </w:rPr>
              <w:t>Assent</w:t>
            </w:r>
          </w:p>
        </w:tc>
        <w:tc>
          <w:tcPr>
            <w:tcW w:w="2397" w:type="dxa"/>
            <w:tcBorders>
              <w:bottom w:val="single" w:sz="4" w:space="0" w:color="auto"/>
            </w:tcBorders>
          </w:tcPr>
          <w:p>
            <w:pPr>
              <w:pStyle w:val="nTable"/>
              <w:rPr>
                <w:b/>
                <w:snapToGrid w:val="0"/>
                <w:lang w:val="en-US"/>
              </w:rPr>
            </w:pPr>
            <w:r>
              <w:rPr>
                <w:b/>
                <w:snapToGrid w:val="0"/>
                <w:lang w:val="en-US"/>
              </w:rPr>
              <w:t>Commencement</w:t>
            </w:r>
          </w:p>
        </w:tc>
      </w:tr>
      <w:tr>
        <w:tc>
          <w:tcPr>
            <w:tcW w:w="2280" w:type="dxa"/>
            <w:tcBorders>
              <w:bottom w:val="single" w:sz="4" w:space="0" w:color="auto"/>
            </w:tcBorders>
          </w:tcPr>
          <w:p>
            <w:pPr>
              <w:pStyle w:val="nTable"/>
              <w:rPr>
                <w:snapToGrid w:val="0"/>
                <w:vertAlign w:val="superscript"/>
                <w:lang w:val="en-US"/>
              </w:rPr>
            </w:pPr>
            <w:r>
              <w:rPr>
                <w:i/>
                <w:sz w:val="19"/>
              </w:rPr>
              <w:t>Housing Societies Repeal Act 2005</w:t>
            </w:r>
            <w:r>
              <w:rPr>
                <w:sz w:val="19"/>
              </w:rPr>
              <w:t xml:space="preserve"> s. 30 </w:t>
            </w:r>
            <w:r>
              <w:rPr>
                <w:sz w:val="19"/>
                <w:vertAlign w:val="superscript"/>
              </w:rPr>
              <w:t>48</w:t>
            </w:r>
          </w:p>
        </w:tc>
        <w:tc>
          <w:tcPr>
            <w:tcW w:w="1080" w:type="dxa"/>
            <w:tcBorders>
              <w:bottom w:val="single" w:sz="4" w:space="0" w:color="auto"/>
            </w:tcBorders>
          </w:tcPr>
          <w:p>
            <w:pPr>
              <w:pStyle w:val="nTable"/>
              <w:rPr>
                <w:snapToGrid w:val="0"/>
                <w:lang w:val="en-US"/>
              </w:rPr>
            </w:pPr>
            <w:r>
              <w:rPr>
                <w:sz w:val="19"/>
              </w:rPr>
              <w:t>17 of 2005</w:t>
            </w:r>
          </w:p>
        </w:tc>
        <w:tc>
          <w:tcPr>
            <w:tcW w:w="1200" w:type="dxa"/>
            <w:tcBorders>
              <w:bottom w:val="single" w:sz="4" w:space="0" w:color="auto"/>
            </w:tcBorders>
          </w:tcPr>
          <w:p>
            <w:pPr>
              <w:pStyle w:val="nTable"/>
              <w:rPr>
                <w:snapToGrid w:val="0"/>
                <w:lang w:val="en-US"/>
              </w:rPr>
            </w:pPr>
            <w:r>
              <w:rPr>
                <w:sz w:val="19"/>
              </w:rPr>
              <w:t>5 Oct 2005</w:t>
            </w:r>
          </w:p>
        </w:tc>
        <w:tc>
          <w:tcPr>
            <w:tcW w:w="2397" w:type="dxa"/>
            <w:tcBorders>
              <w:bottom w:val="single" w:sz="4" w:space="0" w:color="auto"/>
            </w:tcBorders>
          </w:tcPr>
          <w:p>
            <w:pPr>
              <w:pStyle w:val="nTable"/>
              <w:rPr>
                <w:snapToGrid w:val="0"/>
                <w:lang w:val="en-US"/>
              </w:rPr>
            </w:pPr>
            <w:r>
              <w:rPr>
                <w:sz w:val="19"/>
              </w:rPr>
              <w:t>To be proclaimed (see s. 2(3) and (4))</w:t>
            </w:r>
          </w:p>
        </w:tc>
      </w:tr>
    </w:tbl>
    <w:p>
      <w:pPr>
        <w:pStyle w:val="nSubsection"/>
      </w:pPr>
      <w:r>
        <w:rPr>
          <w:vertAlign w:val="superscript"/>
        </w:rPr>
        <w:t>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 xml:space="preserve">Section 91(2) is amended by inserting after “located in” — </w:t>
      </w:r>
    </w:p>
    <w:p>
      <w:pPr>
        <w:pStyle w:val="Subsection"/>
        <w:rPr>
          <w:sz w:val="20"/>
        </w:rPr>
      </w:pPr>
      <w:r>
        <w:tab/>
      </w:r>
      <w:r>
        <w:rPr>
          <w:sz w:val="20"/>
        </w:rPr>
        <w:tab/>
      </w:r>
      <w:r>
        <w:rPr>
          <w:sz w:val="20"/>
        </w:rP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rPr>
          <w:i/>
        </w:rPr>
      </w:pPr>
      <w:r>
        <w:rPr>
          <w:vertAlign w:val="superscript"/>
        </w:rPr>
        <w:t>3</w:t>
      </w:r>
      <w:r>
        <w:tab/>
        <w:t xml:space="preserve">Repealed by the </w:t>
      </w:r>
      <w:r>
        <w:rPr>
          <w:i/>
        </w:rPr>
        <w:t>Mining Act 1978.</w:t>
      </w:r>
    </w:p>
    <w:p>
      <w:pPr>
        <w:pStyle w:val="nSubsection"/>
      </w:pPr>
      <w:r>
        <w:rPr>
          <w:vertAlign w:val="superscript"/>
        </w:rPr>
        <w:t>4</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However, section 63AF(2) of the Stamp Act 1921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xml:space="preserve">, as inserted by subsection (1), does not apply to or in relation to a disposition referred to in that section —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 xml:space="preserve">an agreement for the conveyance or transfer of residential property executed before this section came into operation regardless of when any instrument of conveyance or transfer entered into in accordance with the agreement is executed; or </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 xml:space="preserve">the reference in section 75JB(1)(d)(i) to section 75JA(1a) is to be read as a reference to that subsection as in force from time to time prior to its repeal by this Act; and </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 </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 </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 xml:space="preserve">Without limiting sections 63AD and 63AE of the new provisions, a disqualifying event occurs for the purposes of those sections if —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 xml:space="preserve">Determinations under section 75JBA or 75JC </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 </w:t>
      </w:r>
    </w:p>
    <w:p>
      <w:pPr>
        <w:pStyle w:val="nzHeading5"/>
      </w:pPr>
      <w:r>
        <w:rPr>
          <w:rStyle w:val="CharSectno"/>
        </w:rPr>
        <w:t>91</w:t>
      </w:r>
      <w:r>
        <w:t>.</w:t>
      </w:r>
      <w:r>
        <w:tab/>
        <w:t xml:space="preserve">Agreements for lease </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 xml:space="preserve">Mortgages </w:t>
      </w:r>
    </w:p>
    <w:p>
      <w:pPr>
        <w:pStyle w:val="nzSubsection"/>
      </w:pPr>
      <w:r>
        <w:tab/>
        <w:t>(1)</w:t>
      </w:r>
      <w:r>
        <w:tab/>
        <w:t xml:space="preserve">In this section —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 xml:space="preserve">Life insurance </w:t>
      </w:r>
    </w:p>
    <w:p>
      <w:pPr>
        <w:pStyle w:val="nzSubsection"/>
        <w:rPr>
          <w:b/>
        </w:rPr>
      </w:pPr>
      <w:r>
        <w:tab/>
      </w:r>
      <w:r>
        <w:tab/>
        <w:t xml:space="preserve">The amendments effected by sections 80, 81, 82, 83 and 87(9) do not apply in relation to a policy of life insurance where the period for which the insurance is effected commenced before this section came into operation. </w:t>
      </w:r>
    </w:p>
    <w:p>
      <w:pPr>
        <w:pStyle w:val="nzHeading5"/>
      </w:pPr>
      <w:r>
        <w:rPr>
          <w:rStyle w:val="CharSectno"/>
        </w:rPr>
        <w:t>94</w:t>
      </w:r>
      <w:r>
        <w:t>.</w:t>
      </w:r>
      <w:r>
        <w:tab/>
        <w:t xml:space="preserve">Hire of goods </w:t>
      </w:r>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 xml:space="preserve">Despite the repeal of old Part IVB, it continues to apply —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Next/>
        <w:rPr>
          <w:snapToGrid w:val="0"/>
        </w:rPr>
      </w:pPr>
      <w:r>
        <w:rPr>
          <w:snapToGrid w:val="0"/>
          <w:vertAlign w:val="superscript"/>
        </w:rPr>
        <w:t>5</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pPr>
      <w:r>
        <w:rPr>
          <w:vertAlign w:val="superscript"/>
        </w:rPr>
        <w:t>6</w:t>
      </w:r>
      <w:r>
        <w:rPr>
          <w:i/>
        </w:rPr>
        <w:tab/>
      </w:r>
      <w:r>
        <w:t>Formerly referred to the</w:t>
      </w:r>
      <w:r>
        <w:rPr>
          <w:i/>
        </w:rPr>
        <w:t xml:space="preserve"> Workers’ Compensation and Rehabilitation Act 1981</w:t>
      </w:r>
      <w:r>
        <w:t>, the short title of which was changed to the</w:t>
      </w:r>
      <w:r>
        <w:rPr>
          <w:i/>
        </w:rPr>
        <w:t xml:space="preserve"> Workers’ Compensation and Injury Management Act 1981 </w:t>
      </w:r>
      <w:r>
        <w:t>by the</w:t>
      </w:r>
      <w:r>
        <w:rPr>
          <w:i/>
        </w:rPr>
        <w:t xml:space="preserve"> Workers’ Compensation Reform Act 2004 </w:t>
      </w:r>
      <w:r>
        <w:t>s. 5</w:t>
      </w:r>
      <w:r>
        <w:rPr>
          <w:i/>
        </w:rPr>
        <w:t xml:space="preserve">. </w:t>
      </w:r>
      <w:r>
        <w:t xml:space="preserve">This reference was changed under the </w:t>
      </w:r>
      <w:r>
        <w:rPr>
          <w:i/>
        </w:rPr>
        <w:t>Reprints Act 1984</w:t>
      </w:r>
      <w:r>
        <w:t xml:space="preserve"> s. 7(3)(gb).</w:t>
      </w:r>
    </w:p>
    <w:p>
      <w:pPr>
        <w:pStyle w:val="nSubsection"/>
      </w:pPr>
      <w:r>
        <w:rPr>
          <w:vertAlign w:val="superscript"/>
        </w:rPr>
        <w:t>7</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rPr>
          <w:snapToGrid w:val="0"/>
        </w:rPr>
      </w:pPr>
      <w:r>
        <w:rPr>
          <w:snapToGrid w:val="0"/>
          <w:vertAlign w:val="superscript"/>
        </w:rPr>
        <w:t>8</w:t>
      </w:r>
      <w:r>
        <w:rPr>
          <w:snapToGrid w:val="0"/>
        </w:rPr>
        <w:tab/>
      </w:r>
      <w:r>
        <w:rPr>
          <w:i/>
          <w:snapToGrid w:val="0"/>
        </w:rPr>
        <w:t>The Acts Amendment (Land Administration) Act 1997</w:t>
      </w:r>
      <w:r>
        <w:rPr>
          <w:snapToGrid w:val="0"/>
        </w:rPr>
        <w:t xml:space="preserve"> came into operation 30 Mar 1998.</w:t>
      </w:r>
    </w:p>
    <w:p>
      <w:pPr>
        <w:pStyle w:val="nSubsection"/>
        <w:keepNext/>
        <w:rPr>
          <w:snapToGrid w:val="0"/>
        </w:rPr>
      </w:pPr>
      <w:r>
        <w:rPr>
          <w:snapToGrid w:val="0"/>
          <w:vertAlign w:val="superscript"/>
        </w:rPr>
        <w:t>9</w:t>
      </w:r>
      <w:r>
        <w:rPr>
          <w:snapToGrid w:val="0"/>
        </w:rPr>
        <w:tab/>
        <w:t xml:space="preserve">The </w:t>
      </w:r>
      <w:r>
        <w:rPr>
          <w:i/>
          <w:snapToGrid w:val="0"/>
        </w:rPr>
        <w:t>Road Traffic Amendment Act 2000</w:t>
      </w:r>
      <w:r>
        <w:rPr>
          <w:snapToGrid w:val="0"/>
        </w:rPr>
        <w:t xml:space="preserve"> Pt. 3 Div. 3 will not come into operation because it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7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keepNext/>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1</w:t>
      </w:r>
      <w:r>
        <w:t xml:space="preserve"> — </w:t>
      </w:r>
      <w:r>
        <w:rPr>
          <w:rStyle w:val="CharDivText"/>
        </w:rPr>
        <w:t>The</w:t>
      </w:r>
      <w:r>
        <w:rPr>
          <w:rStyle w:val="CharDivText"/>
          <w:i/>
        </w:rPr>
        <w:t xml:space="preserve"> Stamp Act 1921</w:t>
      </w:r>
    </w:p>
    <w:p>
      <w:pPr>
        <w:pStyle w:val="nzHeading5"/>
        <w:rPr>
          <w:i/>
        </w:rPr>
      </w:pPr>
      <w:r>
        <w:rPr>
          <w:rStyle w:val="CharSectno"/>
        </w:rPr>
        <w:t>57</w:t>
      </w:r>
      <w:r>
        <w:t>.</w:t>
      </w:r>
      <w:r>
        <w:tab/>
      </w:r>
      <w:r>
        <w:rPr>
          <w:rStyle w:val="CharSectno"/>
        </w:rPr>
        <w:t>Modification</w:t>
      </w:r>
      <w:r>
        <w:t xml:space="preserve"> of the </w:t>
      </w:r>
      <w:r>
        <w:rPr>
          <w:i/>
        </w:rPr>
        <w:t>Stamp Act 1921</w:t>
      </w:r>
    </w:p>
    <w:p>
      <w:pPr>
        <w:pStyle w:val="nzSubsection"/>
      </w:pPr>
      <w:r>
        <w:tab/>
      </w:r>
      <w:r>
        <w:tab/>
        <w:t xml:space="preserve">This Division sets out modifications of the </w:t>
      </w:r>
      <w:r>
        <w:rPr>
          <w:i/>
        </w:rPr>
        <w:t>Stamp Act 1921</w:t>
      </w:r>
      <w:r>
        <w:t>.</w:t>
      </w:r>
    </w:p>
    <w:p>
      <w:pPr>
        <w:pStyle w:val="nzHeading5"/>
      </w:pPr>
      <w:r>
        <w:rPr>
          <w:rStyle w:val="CharSectno"/>
        </w:rPr>
        <w:t>58</w:t>
      </w:r>
      <w:r>
        <w:t>.</w:t>
      </w:r>
      <w:r>
        <w:tab/>
      </w:r>
      <w:r>
        <w:rPr>
          <w:rStyle w:val="CharSectno"/>
        </w:rPr>
        <w:t>Section</w:t>
      </w:r>
      <w:r>
        <w:t> 2 inserted</w:t>
      </w:r>
    </w:p>
    <w:p>
      <w:pPr>
        <w:pStyle w:val="nzSubsection"/>
      </w:pPr>
      <w:r>
        <w:tab/>
      </w:r>
      <w:r>
        <w:tab/>
        <w:t xml:space="preserve">After section 1 the following section is inserted — </w:t>
      </w:r>
    </w:p>
    <w:p>
      <w:pPr>
        <w:pStyle w:val="MiscOpen"/>
        <w:spacing w:before="0"/>
        <w:ind w:left="601"/>
      </w:pPr>
      <w:r>
        <w:t xml:space="preserve">“    </w:t>
      </w:r>
    </w:p>
    <w:p>
      <w:pPr>
        <w:pStyle w:val="nzMiscellaneousHeading"/>
        <w:tabs>
          <w:tab w:val="left" w:pos="1134"/>
          <w:tab w:val="left" w:pos="1985"/>
        </w:tabs>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those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 xml:space="preserve">Stamp Act Amendment Act 1979 </w:t>
      </w:r>
      <w:r>
        <w:t xml:space="preserve">is to be read as a reference to that Act in its application as a law of Western Australia; </w:t>
      </w:r>
    </w:p>
    <w:p>
      <w:pPr>
        <w:pStyle w:val="nzMiscellaneousBody"/>
        <w:tabs>
          <w:tab w:val="left" w:pos="1985"/>
          <w:tab w:val="left" w:pos="2552"/>
        </w:tabs>
        <w:ind w:left="2552" w:hanging="1985"/>
      </w:pPr>
      <w:r>
        <w:tab/>
        <w:t>(e)</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985"/>
          <w:tab w:val="left" w:pos="2552"/>
        </w:tabs>
        <w:ind w:left="2552" w:hanging="1985"/>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Stamp Act as a single body of law.</w:t>
      </w:r>
    </w:p>
    <w:p>
      <w:pPr>
        <w:pStyle w:val="nzMiscellaneousBody"/>
        <w:tabs>
          <w:tab w:val="left" w:pos="1418"/>
          <w:tab w:val="left" w:pos="1985"/>
        </w:tabs>
        <w:ind w:left="1985" w:hanging="1418"/>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ind w:right="577"/>
      </w:pPr>
      <w:r>
        <w:t xml:space="preserve">    ”.</w:t>
      </w:r>
    </w:p>
    <w:p>
      <w:pPr>
        <w:pStyle w:val="nzHeading5"/>
      </w:pPr>
      <w:r>
        <w:rPr>
          <w:rStyle w:val="CharSectno"/>
        </w:rPr>
        <w:t>59</w:t>
      </w:r>
      <w:r>
        <w:t>.</w:t>
      </w:r>
      <w:r>
        <w:tab/>
      </w:r>
      <w:r>
        <w:rPr>
          <w:rStyle w:val="CharSectno"/>
        </w:rPr>
        <w:t>Section</w:t>
      </w:r>
      <w:r>
        <w:t> 4 modified</w:t>
      </w:r>
    </w:p>
    <w:p>
      <w:pPr>
        <w:pStyle w:val="nzSubsection"/>
      </w:pPr>
      <w:r>
        <w:tab/>
      </w:r>
      <w:r>
        <w:tab/>
        <w:t>Section 4(1) is modified by inserting the following definitions in their appropriate alphabetical positions —</w:t>
      </w:r>
    </w:p>
    <w:p>
      <w:pPr>
        <w:pStyle w:val="MiscOpen"/>
        <w:spacing w:before="0"/>
        <w:ind w:left="601"/>
      </w:pPr>
      <w:r>
        <w:t xml:space="preserve">“    </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the applied Stamp Act applies, or is taken to have applied, under the Commonwealth Mirror Taxes Act;</w:t>
      </w:r>
    </w:p>
    <w:p>
      <w:pPr>
        <w:pStyle w:val="MiscClose"/>
        <w:ind w:right="577"/>
      </w:pPr>
      <w:r>
        <w:t xml:space="preserve">    ”.</w:t>
      </w:r>
    </w:p>
    <w:p>
      <w:pPr>
        <w:pStyle w:val="nzHeading5"/>
      </w:pPr>
      <w:r>
        <w:rPr>
          <w:rStyle w:val="CharSectno"/>
        </w:rPr>
        <w:t>60</w:t>
      </w:r>
      <w:r>
        <w:t>.</w:t>
      </w:r>
      <w:r>
        <w:tab/>
      </w:r>
      <w:r>
        <w:rPr>
          <w:rStyle w:val="CharSectno"/>
        </w:rPr>
        <w:t>Section</w:t>
      </w:r>
      <w:r>
        <w:t> 4AA inserted</w:t>
      </w:r>
    </w:p>
    <w:p>
      <w:pPr>
        <w:pStyle w:val="nzSubsection"/>
      </w:pPr>
      <w:r>
        <w:tab/>
      </w:r>
      <w:r>
        <w:tab/>
        <w:t>After section 4 the following section is inserted —</w:t>
      </w:r>
    </w:p>
    <w:p>
      <w:pPr>
        <w:pStyle w:val="MiscOpen"/>
        <w:spacing w:before="0"/>
        <w:ind w:left="601"/>
      </w:pPr>
      <w:r>
        <w:t xml:space="preserve">“    </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 xml:space="preserve">If an instrument or 2 or more instruments is, are or may be liable for duty under both this Act and the applied Stamp Act, the amount of duty payable is calculated by reference to the amount equal to the sum of —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applied Stamp Act.</w:t>
      </w:r>
    </w:p>
    <w:p>
      <w:pPr>
        <w:pStyle w:val="nzMiscellaneousBody"/>
        <w:tabs>
          <w:tab w:val="left" w:pos="1418"/>
          <w:tab w:val="left" w:pos="1985"/>
        </w:tabs>
        <w:ind w:left="1985" w:hanging="1418"/>
      </w:pPr>
      <w:r>
        <w:tab/>
        <w:t>(2)</w:t>
      </w:r>
      <w:r>
        <w:tab/>
        <w:t>The amount of duty payable on the instrument or instruments under this Act is the amount calculated under subsection (1) minus any amount paid or payable under the applied Stamp Act.</w:t>
      </w:r>
    </w:p>
    <w:p>
      <w:pPr>
        <w:pStyle w:val="MiscClose"/>
        <w:ind w:right="577"/>
      </w:pPr>
      <w:r>
        <w:t xml:space="preserve">    ”.</w:t>
      </w:r>
    </w:p>
    <w:p>
      <w:pPr>
        <w:pStyle w:val="nzHeading5"/>
      </w:pPr>
      <w:r>
        <w:rPr>
          <w:rStyle w:val="CharSectno"/>
        </w:rPr>
        <w:t>61</w:t>
      </w:r>
      <w:r>
        <w:t>.</w:t>
      </w:r>
      <w:r>
        <w:tab/>
      </w:r>
      <w:r>
        <w:rPr>
          <w:rStyle w:val="CharSectno"/>
        </w:rPr>
        <w:t>Section</w:t>
      </w:r>
      <w:r>
        <w:t> 8 modified</w:t>
      </w:r>
    </w:p>
    <w:p>
      <w:pPr>
        <w:pStyle w:val="nzSubsection"/>
      </w:pPr>
      <w:r>
        <w:tab/>
        <w:t>(1)</w:t>
      </w:r>
      <w:r>
        <w:tab/>
        <w:t>Section 8 is modified by inserting before “The” the subsection designation “(1)”.</w:t>
      </w:r>
    </w:p>
    <w:p>
      <w:pPr>
        <w:pStyle w:val="nzSubsection"/>
      </w:pPr>
      <w:r>
        <w:tab/>
        <w:t>(2)</w:t>
      </w:r>
      <w:r>
        <w:tab/>
        <w:t xml:space="preserve">At the end of section 8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pPr>
      <w:r>
        <w:rPr>
          <w:rStyle w:val="CharSectno"/>
        </w:rPr>
        <w:t>62</w:t>
      </w:r>
      <w:r>
        <w:t>.</w:t>
      </w:r>
      <w:r>
        <w:tab/>
      </w:r>
      <w:r>
        <w:rPr>
          <w:rStyle w:val="CharSectno"/>
        </w:rPr>
        <w:t>Section</w:t>
      </w:r>
      <w:r>
        <w:t>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 w:val="left" w:pos="2552"/>
        </w:tabs>
        <w:ind w:left="2552" w:hanging="1985"/>
      </w:pPr>
      <w:r>
        <w:tab/>
        <w:t>“    or the applied Stamp Act    ”;</w:t>
      </w:r>
    </w:p>
    <w:p>
      <w:pPr>
        <w:pStyle w:val="nzIndenta"/>
        <w:keepNext/>
      </w:pPr>
      <w:r>
        <w:tab/>
        <w:t>(b)</w:t>
      </w:r>
      <w:r>
        <w:tab/>
        <w:t>in paragraph (b) by inserting after “this Act” —</w:t>
      </w:r>
    </w:p>
    <w:p>
      <w:pPr>
        <w:pStyle w:val="nzMiscellaneousBody"/>
        <w:tabs>
          <w:tab w:val="left" w:pos="2268"/>
          <w:tab w:val="left" w:pos="2552"/>
        </w:tabs>
        <w:ind w:left="2552" w:hanging="1985"/>
      </w:pPr>
      <w:r>
        <w:tab/>
        <w:t>“    or the applied Stamp Act    ”.</w:t>
      </w:r>
    </w:p>
    <w:p>
      <w:pPr>
        <w:pStyle w:val="nzHeading5"/>
      </w:pPr>
      <w:r>
        <w:rPr>
          <w:rStyle w:val="CharSectno"/>
        </w:rPr>
        <w:t>63</w:t>
      </w:r>
      <w:r>
        <w:t>.</w:t>
      </w:r>
      <w:r>
        <w:tab/>
      </w:r>
      <w:r>
        <w:rPr>
          <w:rStyle w:val="CharSectno"/>
        </w:rPr>
        <w:t>Section</w:t>
      </w:r>
      <w:r>
        <w:t xml:space="preserve"> 31B modified </w:t>
      </w:r>
    </w:p>
    <w:p>
      <w:pPr>
        <w:pStyle w:val="nzSubsection"/>
      </w:pPr>
      <w:r>
        <w:tab/>
      </w:r>
      <w:r>
        <w:tab/>
        <w:t>Section 31B(5) is modified by deleting “the law of another State or of a Territory” and inserting instead —</w:t>
      </w:r>
    </w:p>
    <w:p>
      <w:pPr>
        <w:pStyle w:val="MiscOpen"/>
        <w:spacing w:before="0"/>
        <w:ind w:left="601"/>
      </w:pPr>
      <w:r>
        <w:t xml:space="preserve">“    </w:t>
      </w:r>
    </w:p>
    <w:p>
      <w:pPr>
        <w:pStyle w:val="nzMiscellaneousBody"/>
        <w:tabs>
          <w:tab w:val="left" w:pos="1134"/>
        </w:tabs>
        <w:ind w:left="1134" w:hanging="567"/>
      </w:pPr>
      <w:r>
        <w:tab/>
        <w:t>the applied Stamp Act or a law in force in another State or a Territory, including an applied interstate law</w:t>
      </w:r>
    </w:p>
    <w:p>
      <w:pPr>
        <w:pStyle w:val="MiscClose"/>
        <w:ind w:right="577"/>
      </w:pPr>
      <w:r>
        <w:t xml:space="preserve">    ”.</w:t>
      </w:r>
    </w:p>
    <w:p>
      <w:pPr>
        <w:pStyle w:val="nzHeading5"/>
      </w:pPr>
      <w:r>
        <w:rPr>
          <w:rStyle w:val="CharSectno"/>
        </w:rPr>
        <w:t>64</w:t>
      </w:r>
      <w:r>
        <w:t>.</w:t>
      </w:r>
      <w:r>
        <w:tab/>
      </w:r>
      <w:r>
        <w:rPr>
          <w:rStyle w:val="CharSectno"/>
        </w:rPr>
        <w:t>Section</w:t>
      </w:r>
      <w:r>
        <w:t> 73D modified</w:t>
      </w:r>
    </w:p>
    <w:p>
      <w:pPr>
        <w:pStyle w:val="nzSubsection"/>
      </w:pPr>
      <w:r>
        <w:tab/>
      </w:r>
      <w:r>
        <w:tab/>
        <w:t>Section 73D(6a)(b) is modified by deleting “in another jurisdiction” and inserting instead —</w:t>
      </w:r>
    </w:p>
    <w:p>
      <w:pPr>
        <w:pStyle w:val="nzSubsection"/>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65</w:t>
      </w:r>
      <w:r>
        <w:t>.</w:t>
      </w:r>
      <w:r>
        <w:tab/>
      </w:r>
      <w:r>
        <w:rPr>
          <w:rStyle w:val="CharSectno"/>
        </w:rPr>
        <w:t>Section</w:t>
      </w:r>
      <w:r>
        <w:t> 75AE modified</w:t>
      </w:r>
    </w:p>
    <w:p>
      <w:pPr>
        <w:pStyle w:val="nzSubsection"/>
      </w:pPr>
      <w:r>
        <w:tab/>
      </w:r>
      <w:r>
        <w:tab/>
        <w:t xml:space="preserve">After subsection 75AE(2)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rPr>
          <w:rStyle w:val="CharSectno"/>
        </w:rPr>
        <w:t>66</w:t>
      </w:r>
      <w:r>
        <w:t>.</w:t>
      </w:r>
      <w:r>
        <w:tab/>
      </w:r>
      <w:r>
        <w:rPr>
          <w:rStyle w:val="CharSectno"/>
        </w:rPr>
        <w:t>Section</w:t>
      </w:r>
      <w:r>
        <w:t> 76AH modified</w:t>
      </w:r>
    </w:p>
    <w:p>
      <w:pPr>
        <w:pStyle w:val="nzSubsection"/>
      </w:pPr>
      <w:r>
        <w:tab/>
      </w:r>
      <w:r>
        <w:tab/>
        <w:t xml:space="preserve">Section 76AH(4)(b) is modified by deleting “in another jurisdiction” and inserting instead — </w:t>
      </w:r>
    </w:p>
    <w:p>
      <w:pPr>
        <w:pStyle w:val="MiscOpen"/>
        <w:spacing w:before="0"/>
        <w:ind w:left="601"/>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67</w:t>
      </w:r>
      <w:r>
        <w:t>.</w:t>
      </w:r>
      <w:r>
        <w:tab/>
      </w:r>
      <w:r>
        <w:rPr>
          <w:rStyle w:val="CharSectno"/>
        </w:rPr>
        <w:t>Section</w:t>
      </w:r>
      <w:r>
        <w:t> 76AO modified</w:t>
      </w:r>
    </w:p>
    <w:p>
      <w:pPr>
        <w:pStyle w:val="nzSubsection"/>
        <w:keepNext/>
      </w:pPr>
      <w:r>
        <w:tab/>
      </w:r>
      <w:r>
        <w:tab/>
        <w:t xml:space="preserve">Section 76AO(4)(b) is modified by deleting “in another jurisdiction” and inserting instead — </w:t>
      </w:r>
    </w:p>
    <w:p>
      <w:pPr>
        <w:pStyle w:val="MiscOpen"/>
        <w:spacing w:before="0"/>
        <w:ind w:left="601"/>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68</w:t>
      </w:r>
      <w:r>
        <w:t>.</w:t>
      </w:r>
      <w:r>
        <w:tab/>
      </w:r>
      <w:r>
        <w:rPr>
          <w:rStyle w:val="CharSectno"/>
        </w:rPr>
        <w:t>Section</w:t>
      </w:r>
      <w:r>
        <w:t> 84 modified</w:t>
      </w:r>
    </w:p>
    <w:p>
      <w:pPr>
        <w:pStyle w:val="nzSubsection"/>
      </w:pPr>
      <w:r>
        <w:tab/>
      </w:r>
      <w:r>
        <w:tab/>
        <w:t xml:space="preserve">After section 84(4)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(5)</w:t>
      </w:r>
      <w:r>
        <w:tab/>
        <w:t xml:space="preserve">In this section — </w:t>
      </w:r>
    </w:p>
    <w:p>
      <w:pPr>
        <w:pStyle w:val="nzMiscellaneousBody"/>
        <w:tabs>
          <w:tab w:val="left" w:pos="1701"/>
          <w:tab w:val="left" w:pos="2268"/>
        </w:tabs>
        <w:ind w:left="2268" w:hanging="1701"/>
      </w:pPr>
      <w:r>
        <w:tab/>
        <w:t>(a)</w:t>
      </w:r>
      <w:r>
        <w:tab/>
        <w:t>a reference to duty paid or payable in another State is to be read as including a reference to duty paid or payable under the applied Stamp Act or under an applied interstate law;</w:t>
      </w:r>
    </w:p>
    <w:p>
      <w:pPr>
        <w:pStyle w:val="nzMiscellaneousBody"/>
        <w:tabs>
          <w:tab w:val="left" w:pos="1701"/>
          <w:tab w:val="left" w:pos="2268"/>
        </w:tabs>
        <w:ind w:left="2268" w:hanging="1701"/>
      </w:pPr>
      <w:r>
        <w:tab/>
        <w:t>(b)</w:t>
      </w:r>
      <w:r>
        <w:tab/>
        <w:t>a reference to an instrument that is exempt in another State is to be read as including a reference to an instrument that is exempt under the applied Stamp Act or under an applied interstate law.</w:t>
      </w:r>
    </w:p>
    <w:p>
      <w:pPr>
        <w:pStyle w:val="MiscClose"/>
        <w:ind w:right="577"/>
      </w:pPr>
      <w:r>
        <w:t>”.</w:t>
      </w:r>
    </w:p>
    <w:p>
      <w:pPr>
        <w:pStyle w:val="nzHeading5"/>
      </w:pPr>
      <w:r>
        <w:rPr>
          <w:rStyle w:val="CharSectno"/>
        </w:rPr>
        <w:t>69</w:t>
      </w:r>
      <w:r>
        <w:t>.</w:t>
      </w:r>
      <w:r>
        <w:tab/>
      </w:r>
      <w:r>
        <w:rPr>
          <w:rStyle w:val="CharSectno"/>
        </w:rPr>
        <w:t>Section</w:t>
      </w:r>
      <w:r>
        <w:t> 87 modified</w:t>
      </w:r>
    </w:p>
    <w:p>
      <w:pPr>
        <w:pStyle w:val="nzSubsection"/>
      </w:pPr>
      <w:r>
        <w:tab/>
        <w:t>(1)</w:t>
      </w:r>
      <w:r>
        <w:tab/>
        <w:t>Section 87(1) is modified by inserting after “Second Schedule” —</w:t>
      </w:r>
    </w:p>
    <w:p>
      <w:pPr>
        <w:pStyle w:val="MiscOpen"/>
        <w:spacing w:before="0"/>
        <w:ind w:left="601"/>
      </w:pPr>
      <w:r>
        <w:t xml:space="preserve">“    </w:t>
      </w:r>
    </w:p>
    <w:p>
      <w:pPr>
        <w:pStyle w:val="nzMiscellaneousBody"/>
        <w:tabs>
          <w:tab w:val="left" w:pos="1134"/>
        </w:tabs>
        <w:ind w:left="1134" w:hanging="567"/>
      </w:pPr>
      <w:r>
        <w:tab/>
        <w:t>or item 13 of the Second Schedule to the applied Stamp Act</w:t>
      </w:r>
    </w:p>
    <w:p>
      <w:pPr>
        <w:pStyle w:val="MiscClose"/>
        <w:ind w:right="577"/>
      </w:pPr>
      <w:r>
        <w:t xml:space="preserve">    ”.</w:t>
      </w:r>
    </w:p>
    <w:p>
      <w:pPr>
        <w:pStyle w:val="nzSubsection"/>
      </w:pPr>
      <w:r>
        <w:tab/>
        <w:t>(2)</w:t>
      </w:r>
      <w:r>
        <w:tab/>
        <w:t>Section 87(1b) is modified by inserting after “or (2)” —</w:t>
      </w:r>
    </w:p>
    <w:p>
      <w:pPr>
        <w:pStyle w:val="MiscOpen"/>
        <w:spacing w:before="0"/>
        <w:ind w:left="601"/>
      </w:pPr>
      <w:r>
        <w:t xml:space="preserve">“    </w:t>
      </w:r>
    </w:p>
    <w:p>
      <w:pPr>
        <w:pStyle w:val="nzMiscellaneousBody"/>
        <w:tabs>
          <w:tab w:val="left" w:pos="1134"/>
        </w:tabs>
        <w:ind w:left="1134" w:hanging="567"/>
      </w:pPr>
      <w:r>
        <w:tab/>
        <w:t>of the Second Schedule or item 13(1)(a), (1a) or (2) of the Second Schedule to the applied Stamp Act (as the case requires)</w:t>
      </w:r>
    </w:p>
    <w:p>
      <w:pPr>
        <w:pStyle w:val="MiscClose"/>
        <w:ind w:right="577"/>
      </w:pPr>
      <w:r>
        <w:t xml:space="preserve">    ”.</w:t>
      </w:r>
    </w:p>
    <w:p>
      <w:pPr>
        <w:pStyle w:val="nzHeading5"/>
      </w:pPr>
      <w:r>
        <w:rPr>
          <w:rStyle w:val="CharSectno"/>
        </w:rPr>
        <w:t>70</w:t>
      </w:r>
      <w:r>
        <w:t>.</w:t>
      </w:r>
      <w:r>
        <w:tab/>
      </w:r>
      <w:r>
        <w:rPr>
          <w:rStyle w:val="CharSectno"/>
        </w:rPr>
        <w:t>Section</w:t>
      </w:r>
      <w:r>
        <w:t> 112A modified</w:t>
      </w:r>
    </w:p>
    <w:p>
      <w:pPr>
        <w:pStyle w:val="nzSubsection"/>
        <w:keepNext/>
      </w:pPr>
      <w:r>
        <w:tab/>
      </w:r>
      <w:r>
        <w:tab/>
        <w:t>Section 112A(1) is modified by deleting the definition of “corresponding law” and inserting the following definition instead —</w:t>
      </w:r>
    </w:p>
    <w:p>
      <w:pPr>
        <w:pStyle w:val="MiscOpen"/>
        <w:spacing w:before="0"/>
        <w:ind w:left="601"/>
      </w:pPr>
      <w:r>
        <w:t xml:space="preserve">“    </w:t>
      </w:r>
    </w:p>
    <w:p>
      <w:pPr>
        <w:pStyle w:val="nzMiscellaneousBody"/>
        <w:keepNext/>
        <w:tabs>
          <w:tab w:val="left" w:pos="1418"/>
        </w:tabs>
        <w:spacing w:before="0"/>
        <w:ind w:left="1418" w:hanging="851"/>
      </w:pPr>
      <w:r>
        <w:tab/>
        <w:t>“</w:t>
      </w:r>
      <w:r>
        <w:rPr>
          <w:b/>
          <w:snapToGrid w:val="0"/>
        </w:rPr>
        <w:t>corresponding law</w:t>
      </w:r>
      <w:r>
        <w:t>” means —</w:t>
      </w:r>
    </w:p>
    <w:p>
      <w:pPr>
        <w:pStyle w:val="nzMiscellaneousBody"/>
        <w:tabs>
          <w:tab w:val="left" w:pos="1701"/>
          <w:tab w:val="left" w:pos="2268"/>
        </w:tabs>
        <w:ind w:left="2268" w:hanging="1701"/>
      </w:pPr>
      <w:r>
        <w:tab/>
        <w:t>(a)</w:t>
      </w:r>
      <w:r>
        <w:tab/>
        <w:t>the applied Stamp Act;</w:t>
      </w:r>
    </w:p>
    <w:p>
      <w:pPr>
        <w:pStyle w:val="nzMiscellaneousBody"/>
        <w:tabs>
          <w:tab w:val="left" w:pos="1701"/>
          <w:tab w:val="left" w:pos="2268"/>
        </w:tabs>
        <w:ind w:left="2268" w:hanging="1701"/>
      </w:pPr>
      <w:r>
        <w:tab/>
        <w:t>(b)</w:t>
      </w:r>
      <w:r>
        <w:tab/>
        <w:t>a law in force in another State or in a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MiscClose"/>
      </w:pPr>
      <w:r>
        <w:t>”.</w:t>
      </w:r>
    </w:p>
    <w:p>
      <w:pPr>
        <w:pStyle w:val="nSubsection"/>
      </w:pPr>
      <w:r>
        <w:rPr>
          <w:snapToGrid w:val="0"/>
          <w:vertAlign w:val="superscript"/>
        </w:rPr>
        <w:t>11</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 xml:space="preserve">“applied WA law”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“Commonwealth Mirror Taxes Act”</w:t>
      </w:r>
      <w:r>
        <w:t xml:space="preserve"> means the </w:t>
      </w:r>
      <w:r>
        <w:rPr>
          <w:i/>
        </w:rPr>
        <w:t>Commonwealth Places (Mirror Taxes) Act 1998</w:t>
      </w:r>
      <w:r>
        <w:t xml:space="preserve"> of the Commonwealth;</w:t>
      </w:r>
    </w:p>
    <w:p>
      <w:pPr>
        <w:pStyle w:val="nzDefstart"/>
      </w:pPr>
      <w:r>
        <w:rPr>
          <w:b/>
        </w:rPr>
        <w:tab/>
        <w:t xml:space="preserve">“WA taxing law”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1 — The applied </w:t>
      </w:r>
      <w:r>
        <w:rPr>
          <w:i/>
        </w:rPr>
        <w:t>Stamp Act 1921</w:t>
      </w:r>
    </w:p>
    <w:p>
      <w:pPr>
        <w:pStyle w:val="nzHeading5"/>
      </w:pPr>
      <w:r>
        <w:t>83.</w:t>
      </w:r>
      <w:r>
        <w:tab/>
        <w:t>Modification of the applied Act</w:t>
      </w:r>
    </w:p>
    <w:p>
      <w:pPr>
        <w:pStyle w:val="nzSubsection"/>
      </w:pPr>
      <w:r>
        <w:tab/>
      </w:r>
      <w:r>
        <w:tab/>
        <w:t xml:space="preserve">This Division sets out modifications of the </w:t>
      </w:r>
      <w:r>
        <w:rPr>
          <w:i/>
        </w:rPr>
        <w:t>Stamp Act 1921</w:t>
      </w:r>
      <w:r>
        <w:t xml:space="preserve"> of Western Australia.</w:t>
      </w:r>
    </w:p>
    <w:p>
      <w:pPr>
        <w:pStyle w:val="nzHeading5"/>
      </w:pPr>
      <w:r>
        <w:t>84.</w:t>
      </w:r>
      <w:r>
        <w:tab/>
        <w:t>Section 2 inserted</w:t>
      </w:r>
    </w:p>
    <w:p>
      <w:pPr>
        <w:pStyle w:val="nzSubsection"/>
        <w:keepNext/>
      </w:pPr>
      <w:r>
        <w:tab/>
      </w:r>
      <w:r>
        <w:tab/>
        <w:t xml:space="preserve">After section 1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 xml:space="preserve">a reference (however expressed) to an Act administered by the Commissioner is to be read as a reference to —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 Act 1989</w:t>
      </w:r>
      <w:r>
        <w:t xml:space="preserve"> is to be read as a reference to the applied Taxation (Reciprocal Powers) Act;</w:t>
      </w:r>
    </w:p>
    <w:p>
      <w:pPr>
        <w:pStyle w:val="nzMiscellaneousBody"/>
        <w:tabs>
          <w:tab w:val="left" w:pos="1985"/>
          <w:tab w:val="left" w:pos="2552"/>
        </w:tabs>
        <w:ind w:left="2552" w:hanging="1985"/>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nzMiscellaneousBody"/>
        <w:tabs>
          <w:tab w:val="left" w:pos="1985"/>
          <w:tab w:val="left" w:pos="2552"/>
        </w:tabs>
        <w:ind w:left="2552" w:hanging="1985"/>
      </w:pPr>
      <w:r>
        <w:tab/>
        <w:t>(h)</w:t>
      </w:r>
      <w:r>
        <w:tab/>
        <w:t xml:space="preserve">a reference to the Treasurer is to be read as a reference to the Treasurer of Western Australia; </w:t>
      </w:r>
    </w:p>
    <w:p>
      <w:pPr>
        <w:pStyle w:val="nzMiscellaneousBody"/>
        <w:tabs>
          <w:tab w:val="left" w:pos="1985"/>
          <w:tab w:val="left" w:pos="2552"/>
        </w:tabs>
        <w:ind w:left="2552" w:hanging="1985"/>
      </w:pPr>
      <w:r>
        <w:tab/>
        <w:t>(i)</w:t>
      </w:r>
      <w:r>
        <w:tab/>
        <w:t xml:space="preserve">a reference to any of the following Acts is to be read as a reference to the Act of that name of the Parliament of Western Australia — </w:t>
      </w:r>
    </w:p>
    <w:p>
      <w:pPr>
        <w:pStyle w:val="nzMiscellaneousBody"/>
        <w:tabs>
          <w:tab w:val="left" w:pos="2552"/>
          <w:tab w:val="left" w:pos="3119"/>
        </w:tabs>
        <w:ind w:left="3119" w:hanging="2552"/>
      </w:pPr>
      <w:r>
        <w:tab/>
        <w:t>(i)</w:t>
      </w:r>
      <w:r>
        <w:tab/>
        <w:t xml:space="preserve">the </w:t>
      </w:r>
      <w:r>
        <w:rPr>
          <w:i/>
        </w:rPr>
        <w:t>Acts Amendment (Continuing Lotteries) Act 2000</w:t>
      </w:r>
      <w:r>
        <w:t>;</w:t>
      </w:r>
    </w:p>
    <w:p>
      <w:pPr>
        <w:pStyle w:val="nzMiscellaneousBody"/>
        <w:tabs>
          <w:tab w:val="left" w:pos="2552"/>
          <w:tab w:val="left" w:pos="3119"/>
        </w:tabs>
        <w:ind w:left="3119" w:hanging="2552"/>
      </w:pPr>
      <w:r>
        <w:tab/>
        <w:t>(ii)</w:t>
      </w:r>
      <w:r>
        <w:tab/>
        <w:t xml:space="preserve">the </w:t>
      </w:r>
      <w:r>
        <w:rPr>
          <w:i/>
        </w:rPr>
        <w:t>Building Societies Act 1976</w:t>
      </w:r>
      <w:r>
        <w:t>;</w:t>
      </w:r>
    </w:p>
    <w:p>
      <w:pPr>
        <w:pStyle w:val="nzMiscellaneousBody"/>
        <w:tabs>
          <w:tab w:val="left" w:pos="2552"/>
          <w:tab w:val="left" w:pos="3119"/>
        </w:tabs>
        <w:ind w:left="3119" w:hanging="2552"/>
      </w:pPr>
      <w:r>
        <w:tab/>
        <w:t>(iii)</w:t>
      </w:r>
      <w:r>
        <w:tab/>
        <w:t xml:space="preserve">the </w:t>
      </w:r>
      <w:r>
        <w:rPr>
          <w:i/>
        </w:rPr>
        <w:t>Financial Sector (Transfer of Business) Act 1999</w:t>
      </w:r>
      <w:r>
        <w:t>;</w:t>
      </w:r>
    </w:p>
    <w:p>
      <w:pPr>
        <w:pStyle w:val="nzMiscellaneousBody"/>
        <w:tabs>
          <w:tab w:val="left" w:pos="2552"/>
          <w:tab w:val="left" w:pos="3119"/>
        </w:tabs>
        <w:ind w:left="3119" w:hanging="2552"/>
      </w:pPr>
      <w:r>
        <w:tab/>
        <w:t>(iv)</w:t>
      </w:r>
      <w:r>
        <w:tab/>
        <w:t xml:space="preserve">the </w:t>
      </w:r>
      <w:r>
        <w:rPr>
          <w:i/>
        </w:rPr>
        <w:t>Gaming Commission Act 1987</w:t>
      </w:r>
      <w:r>
        <w:t>;</w:t>
      </w:r>
    </w:p>
    <w:p>
      <w:pPr>
        <w:pStyle w:val="nzMiscellaneousBody"/>
        <w:tabs>
          <w:tab w:val="left" w:pos="2552"/>
          <w:tab w:val="left" w:pos="3119"/>
        </w:tabs>
        <w:ind w:left="3119" w:hanging="2552"/>
      </w:pPr>
      <w:r>
        <w:tab/>
        <w:t>(v)</w:t>
      </w:r>
      <w:r>
        <w:tab/>
        <w:t xml:space="preserve">the </w:t>
      </w:r>
      <w:r>
        <w:rPr>
          <w:i/>
        </w:rPr>
        <w:t>Housing Societies Act 1976</w:t>
      </w:r>
      <w:r>
        <w:t>;</w:t>
      </w:r>
    </w:p>
    <w:p>
      <w:pPr>
        <w:pStyle w:val="nzMiscellaneousBody"/>
        <w:tabs>
          <w:tab w:val="left" w:pos="2552"/>
          <w:tab w:val="left" w:pos="3119"/>
        </w:tabs>
        <w:ind w:left="3119" w:hanging="2552"/>
      </w:pPr>
      <w:r>
        <w:tab/>
        <w:t>(vi)</w:t>
      </w:r>
      <w:r>
        <w:tab/>
        <w:t xml:space="preserve">the </w:t>
      </w:r>
      <w:r>
        <w:rPr>
          <w:i/>
        </w:rPr>
        <w:t>Local Government Act 1995</w:t>
      </w:r>
      <w:r>
        <w:t>;</w:t>
      </w:r>
    </w:p>
    <w:p>
      <w:pPr>
        <w:pStyle w:val="nzMiscellaneousBody"/>
        <w:tabs>
          <w:tab w:val="left" w:pos="2552"/>
          <w:tab w:val="left" w:pos="3119"/>
        </w:tabs>
        <w:ind w:left="3119" w:hanging="2552"/>
      </w:pPr>
      <w:r>
        <w:tab/>
        <w:t>(vii)</w:t>
      </w:r>
      <w:r>
        <w:tab/>
        <w:t xml:space="preserve">the </w:t>
      </w:r>
      <w:r>
        <w:rPr>
          <w:i/>
        </w:rPr>
        <w:t>Mining Act 1978</w:t>
      </w:r>
      <w:r>
        <w:t>;</w:t>
      </w:r>
    </w:p>
    <w:p>
      <w:pPr>
        <w:pStyle w:val="nzMiscellaneousBody"/>
        <w:tabs>
          <w:tab w:val="left" w:pos="2552"/>
          <w:tab w:val="left" w:pos="3119"/>
        </w:tabs>
        <w:ind w:left="3119" w:hanging="2552"/>
      </w:pPr>
      <w:r>
        <w:tab/>
        <w:t>(viii)</w:t>
      </w:r>
      <w:r>
        <w:tab/>
        <w:t xml:space="preserve">the </w:t>
      </w:r>
      <w:r>
        <w:rPr>
          <w:i/>
        </w:rPr>
        <w:t>Public Sector Management Act 1994</w:t>
      </w:r>
      <w:r>
        <w:t>;</w:t>
      </w:r>
    </w:p>
    <w:p>
      <w:pPr>
        <w:pStyle w:val="nzMiscellaneousBody"/>
        <w:tabs>
          <w:tab w:val="left" w:pos="2552"/>
          <w:tab w:val="left" w:pos="3119"/>
        </w:tabs>
        <w:ind w:left="3119" w:hanging="2552"/>
      </w:pPr>
      <w:r>
        <w:tab/>
        <w:t>(ix)</w:t>
      </w:r>
      <w:r>
        <w:tab/>
        <w:t xml:space="preserve">the </w:t>
      </w:r>
      <w:r>
        <w:rPr>
          <w:i/>
        </w:rPr>
        <w:t>Transfer of Land Act 1893</w:t>
      </w:r>
      <w:r>
        <w:t>;</w:t>
      </w:r>
    </w:p>
    <w:p>
      <w:pPr>
        <w:pStyle w:val="nzMiscellaneousBody"/>
        <w:tabs>
          <w:tab w:val="left" w:pos="2552"/>
          <w:tab w:val="left" w:pos="3119"/>
        </w:tabs>
        <w:ind w:left="3119" w:hanging="2552"/>
      </w:pPr>
      <w:r>
        <w:tab/>
        <w:t>(x)</w:t>
      </w:r>
      <w:r>
        <w:tab/>
        <w:t xml:space="preserve">the </w:t>
      </w:r>
      <w:r>
        <w:rPr>
          <w:i/>
        </w:rPr>
        <w:t>Workers’ Compensation and Rehabilitation Act 1981</w:t>
      </w:r>
      <w:r>
        <w:t>;</w:t>
      </w:r>
    </w:p>
    <w:p>
      <w:pPr>
        <w:pStyle w:val="nzMiscellaneousBody"/>
        <w:tabs>
          <w:tab w:val="left" w:pos="1985"/>
          <w:tab w:val="left" w:pos="2552"/>
        </w:tabs>
        <w:ind w:left="2552" w:hanging="1985"/>
      </w:pPr>
      <w:r>
        <w:tab/>
      </w:r>
      <w:r>
        <w:tab/>
        <w:t>and</w:t>
      </w:r>
    </w:p>
    <w:p>
      <w:pPr>
        <w:pStyle w:val="nzMiscellaneousBody"/>
        <w:tabs>
          <w:tab w:val="left" w:pos="1985"/>
          <w:tab w:val="left" w:pos="2552"/>
        </w:tabs>
        <w:ind w:left="2552" w:hanging="1985"/>
      </w:pPr>
      <w:r>
        <w:tab/>
        <w:t>(j)</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MiscellaneousBody"/>
        <w:tabs>
          <w:tab w:val="left" w:pos="2552"/>
          <w:tab w:val="left" w:pos="3119"/>
        </w:tabs>
        <w:ind w:left="3119" w:hanging="2552"/>
      </w:pPr>
      <w:r>
        <w:tab/>
        <w:t>(i)</w:t>
      </w:r>
      <w:r>
        <w:tab/>
        <w:t xml:space="preserve">the </w:t>
      </w:r>
      <w:r>
        <w:rPr>
          <w:i/>
        </w:rPr>
        <w:t>Pay</w:t>
      </w:r>
      <w:r>
        <w:rPr>
          <w:i/>
        </w:rPr>
        <w:noBreakHyphen/>
        <w:t>roll Tax Assessment Act 1971</w:t>
      </w:r>
      <w:r>
        <w:t>;</w:t>
      </w:r>
    </w:p>
    <w:p>
      <w:pPr>
        <w:pStyle w:val="nzMiscellaneousBody"/>
        <w:tabs>
          <w:tab w:val="left" w:pos="2552"/>
          <w:tab w:val="left" w:pos="3119"/>
        </w:tabs>
        <w:ind w:left="3119" w:hanging="2552"/>
      </w:pPr>
      <w:r>
        <w:tab/>
        <w:t>(ii)</w:t>
      </w:r>
      <w:r>
        <w:tab/>
        <w:t xml:space="preserve">the </w:t>
      </w:r>
      <w:r>
        <w:rPr>
          <w:i/>
        </w:rPr>
        <w:t>Revenue Laws Amendment (Assessment) Act 2000</w:t>
      </w:r>
      <w:r>
        <w:t>;</w:t>
      </w:r>
    </w:p>
    <w:p>
      <w:pPr>
        <w:pStyle w:val="nzMiscellaneousBody"/>
        <w:tabs>
          <w:tab w:val="left" w:pos="2552"/>
          <w:tab w:val="left" w:pos="3119"/>
        </w:tabs>
        <w:ind w:left="3119" w:hanging="2552"/>
      </w:pPr>
      <w:r>
        <w:tab/>
        <w:t>(iii)</w:t>
      </w:r>
      <w:r>
        <w:tab/>
        <w:t xml:space="preserve">the </w:t>
      </w:r>
      <w:r>
        <w:rPr>
          <w:i/>
        </w:rPr>
        <w:t>Stamp Act Amendment Act 1979</w:t>
      </w:r>
      <w:r>
        <w:t>;</w:t>
      </w:r>
    </w:p>
    <w:p>
      <w:pPr>
        <w:pStyle w:val="nzMiscellaneousBody"/>
        <w:tabs>
          <w:tab w:val="left" w:pos="2552"/>
          <w:tab w:val="left" w:pos="3119"/>
        </w:tabs>
        <w:ind w:left="3119" w:hanging="2552"/>
      </w:pPr>
      <w:r>
        <w:tab/>
        <w:t>(iv)</w:t>
      </w:r>
      <w:r>
        <w:tab/>
        <w:t xml:space="preserve">the </w:t>
      </w:r>
      <w:r>
        <w:rPr>
          <w:i/>
        </w:rPr>
        <w:t>Stamp Act Regulations 1966</w:t>
      </w:r>
      <w:r>
        <w:t>.</w:t>
      </w:r>
    </w:p>
    <w:p>
      <w:pPr>
        <w:pStyle w:val="nzMiscellaneousBody"/>
        <w:tabs>
          <w:tab w:val="left" w:pos="1418"/>
          <w:tab w:val="left" w:pos="1985"/>
        </w:tabs>
        <w:ind w:left="1985" w:hanging="1418"/>
      </w:pPr>
      <w:r>
        <w:tab/>
        <w:t>(2)</w:t>
      </w:r>
      <w:r>
        <w:tab/>
        <w:t>This Act is to be read with the corresponding Stamp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MiscellaneousBody"/>
        <w:tabs>
          <w:tab w:val="left" w:pos="1418"/>
          <w:tab w:val="left" w:pos="1985"/>
        </w:tabs>
        <w:ind w:left="1985" w:hanging="1418"/>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pPr>
      <w:r>
        <w:t>”.</w:t>
      </w:r>
    </w:p>
    <w:p>
      <w:pPr>
        <w:pStyle w:val="nzHeading5"/>
      </w:pPr>
      <w:r>
        <w:t>85.</w:t>
      </w:r>
      <w:r>
        <w:tab/>
        <w:t>Section 2A modified</w:t>
      </w:r>
    </w:p>
    <w:p>
      <w:pPr>
        <w:pStyle w:val="nzSubsection"/>
      </w:pPr>
      <w:r>
        <w:tab/>
      </w:r>
      <w:r>
        <w:tab/>
        <w:t>Section 2A(1) is repealed.</w:t>
      </w:r>
    </w:p>
    <w:p>
      <w:pPr>
        <w:pStyle w:val="nzHeading5"/>
      </w:pPr>
      <w:r>
        <w:t>86.</w:t>
      </w:r>
      <w:r>
        <w:tab/>
        <w:t>Section 4 modified</w:t>
      </w:r>
    </w:p>
    <w:p>
      <w:pPr>
        <w:pStyle w:val="nzSubsection"/>
      </w:pPr>
      <w:r>
        <w:tab/>
        <w:t>(1)</w:t>
      </w:r>
      <w:r>
        <w:tab/>
        <w:t xml:space="preserve">Section 4(1) is modified by inserting the following definitions in their appropriate alphabetical positions — </w:t>
      </w:r>
    </w:p>
    <w:p>
      <w:pPr>
        <w:pStyle w:val="Subsection"/>
      </w:pPr>
      <w:r>
        <w:tab/>
      </w:r>
      <w:r>
        <w:tab/>
        <w:t xml:space="preserve">“    </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 xml:space="preserve">”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 xml:space="preserve">“corresponding </w:t>
      </w:r>
      <w:r>
        <w:rPr>
          <w:b/>
          <w:snapToGrid w:val="0"/>
        </w:rPr>
        <w:t>Stamp Act</w:t>
      </w:r>
      <w:r>
        <w:rPr>
          <w:b/>
        </w:rPr>
        <w:t>”</w:t>
      </w:r>
      <w:r>
        <w:t xml:space="preserve"> means the </w:t>
      </w:r>
      <w:r>
        <w:rPr>
          <w:i/>
        </w:rPr>
        <w:t>Stamp Act 1921</w:t>
      </w:r>
      <w:r>
        <w:t xml:space="preserve"> of Western Australia in its application as a law of Western Australia;</w:t>
      </w:r>
    </w:p>
    <w:p>
      <w:pPr>
        <w:pStyle w:val="MiscClose"/>
        <w:ind w:right="577"/>
      </w:pPr>
      <w:r>
        <w:t>”.</w:t>
      </w:r>
    </w:p>
    <w:p>
      <w:pPr>
        <w:pStyle w:val="nzSubsection"/>
      </w:pPr>
      <w:r>
        <w:tab/>
        <w:t>(2)</w:t>
      </w:r>
      <w:r>
        <w:tab/>
        <w:t>Section 4(1) is further modified as follows:</w:t>
      </w:r>
    </w:p>
    <w:p>
      <w:pPr>
        <w:pStyle w:val="nzIndenta"/>
      </w:pPr>
      <w:r>
        <w:tab/>
        <w:t>(a)</w:t>
      </w:r>
      <w:r>
        <w:tab/>
        <w:t xml:space="preserve">in the definition of “Commissioner” by deleting all the words after “office” and inserting instead — </w:t>
      </w:r>
    </w:p>
    <w:p>
      <w:pPr>
        <w:pStyle w:val="MiscOpen"/>
        <w:spacing w:before="80"/>
        <w:ind w:left="1418"/>
      </w:pPr>
      <w:r>
        <w:t xml:space="preserve">“    </w:t>
      </w:r>
    </w:p>
    <w:p>
      <w:pPr>
        <w:pStyle w:val="nzMiscellaneousBody"/>
        <w:tabs>
          <w:tab w:val="left" w:pos="2268"/>
        </w:tabs>
        <w:ind w:left="2268" w:hanging="1701"/>
      </w:pPr>
      <w:r>
        <w:tab/>
        <w:t>of Commissioner of State Revenue of Western Australia</w:t>
      </w:r>
    </w:p>
    <w:p>
      <w:pPr>
        <w:pStyle w:val="MiscClose"/>
        <w:ind w:right="577"/>
      </w:pPr>
      <w:r>
        <w:t xml:space="preserve">    ”;</w:t>
      </w:r>
    </w:p>
    <w:p>
      <w:pPr>
        <w:pStyle w:val="nzIndenta"/>
      </w:pPr>
      <w:r>
        <w:tab/>
        <w:t>(b)</w:t>
      </w:r>
      <w:r>
        <w:tab/>
        <w:t>by deleting the definition of “the Crown”.</w:t>
      </w:r>
    </w:p>
    <w:p>
      <w:pPr>
        <w:pStyle w:val="nzHeading5"/>
      </w:pPr>
      <w:r>
        <w:t>87.</w:t>
      </w:r>
      <w:r>
        <w:tab/>
        <w:t>Section 4AA inserted</w:t>
      </w:r>
    </w:p>
    <w:p>
      <w:pPr>
        <w:pStyle w:val="nzSubsection"/>
      </w:pPr>
      <w:r>
        <w:tab/>
      </w:r>
      <w:r>
        <w:tab/>
        <w:t xml:space="preserve">After section 4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 xml:space="preserve">If an instrument or 2 or more instruments is, are or may be liable for duty under both this Act and the corresponding Stamp Act, the total amount of duty payable is calculated by reference to the amount equal to the sum of —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corresponding Stamp Act.</w:t>
      </w:r>
    </w:p>
    <w:p>
      <w:pPr>
        <w:pStyle w:val="nzMiscellaneousBody"/>
        <w:tabs>
          <w:tab w:val="left" w:pos="1418"/>
          <w:tab w:val="left" w:pos="1985"/>
        </w:tabs>
        <w:ind w:left="1985" w:hanging="1418"/>
      </w:pPr>
      <w:r>
        <w:tab/>
        <w:t>(2)</w:t>
      </w:r>
      <w:r>
        <w:tab/>
        <w:t xml:space="preserve">The amount of duty paid or payable on the instrument or instruments under this Act is the amount equal to the amount calculated under subsection (1) minus any amount paid or payable under the corresponding Stamp Act. </w:t>
      </w:r>
    </w:p>
    <w:p>
      <w:pPr>
        <w:pStyle w:val="MiscClose"/>
        <w:ind w:right="577"/>
      </w:pPr>
      <w:r>
        <w:t xml:space="preserve">    ”.</w:t>
      </w:r>
    </w:p>
    <w:p>
      <w:pPr>
        <w:pStyle w:val="nzHeading5"/>
      </w:pPr>
      <w:r>
        <w:t>88.</w:t>
      </w:r>
      <w:r>
        <w:tab/>
        <w:t>Section 6 modified</w:t>
      </w:r>
    </w:p>
    <w:p>
      <w:pPr>
        <w:pStyle w:val="nzSubsection"/>
        <w:keepNext/>
      </w:pPr>
      <w:r>
        <w:tab/>
      </w:r>
      <w:r>
        <w:tab/>
        <w:t xml:space="preserve">After section 6(2) the following subsections are inserted — </w:t>
      </w:r>
    </w:p>
    <w:p>
      <w:pPr>
        <w:pStyle w:val="MiscOpen"/>
        <w:ind w:left="595"/>
      </w:pPr>
      <w:r>
        <w:t xml:space="preserve">“    </w:t>
      </w:r>
    </w:p>
    <w:p>
      <w:pPr>
        <w:pStyle w:val="nzMiscellaneousBody"/>
        <w:tabs>
          <w:tab w:val="left" w:pos="1418"/>
          <w:tab w:val="left" w:pos="1985"/>
        </w:tabs>
        <w:ind w:left="1985" w:hanging="1418"/>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(4)</w:t>
      </w:r>
      <w:r>
        <w:tab/>
        <w:t>A person who is authorised to perform a function under the corresponding Stamp Act is taken to be authorised to perform the corresponding function under this Act.</w:t>
      </w:r>
    </w:p>
    <w:p>
      <w:pPr>
        <w:pStyle w:val="MiscClose"/>
        <w:ind w:right="577"/>
      </w:pPr>
      <w:r>
        <w:t xml:space="preserve">    ”.</w:t>
      </w:r>
    </w:p>
    <w:p>
      <w:pPr>
        <w:pStyle w:val="nzHeading5"/>
        <w:spacing w:before="0"/>
      </w:pPr>
      <w:r>
        <w:t>89.</w:t>
      </w:r>
      <w:r>
        <w:tab/>
        <w:t>Section 8 modified</w:t>
      </w:r>
    </w:p>
    <w:p>
      <w:pPr>
        <w:pStyle w:val="nzSubsection"/>
        <w:keepNext/>
      </w:pPr>
      <w:r>
        <w:tab/>
        <w:t>(1)</w:t>
      </w:r>
      <w:r>
        <w:tab/>
        <w:t>Section 8 is modified as follows:</w:t>
      </w:r>
    </w:p>
    <w:p>
      <w:pPr>
        <w:pStyle w:val="nzIndenta"/>
      </w:pPr>
      <w:r>
        <w:tab/>
        <w:t>(a)</w:t>
      </w:r>
      <w:r>
        <w:tab/>
        <w:t>by inserting before “The” the subsection designation “(1)”;</w:t>
      </w:r>
    </w:p>
    <w:p>
      <w:pPr>
        <w:pStyle w:val="nzIndenta"/>
      </w:pPr>
      <w:r>
        <w:tab/>
        <w:t>(b)</w:t>
      </w:r>
      <w:r>
        <w:tab/>
        <w:t xml:space="preserve">by inserting after “this Act” — </w:t>
      </w:r>
    </w:p>
    <w:p>
      <w:pPr>
        <w:pStyle w:val="nzMiscellaneousBody"/>
        <w:tabs>
          <w:tab w:val="left" w:pos="2268"/>
        </w:tabs>
        <w:ind w:left="2268" w:hanging="1701"/>
      </w:pPr>
      <w:r>
        <w:tab/>
        <w:t>“    or the corresponding Stamp Act    ”;</w:t>
      </w:r>
    </w:p>
    <w:p>
      <w:pPr>
        <w:pStyle w:val="nzIndenta"/>
      </w:pPr>
      <w:r>
        <w:tab/>
        <w:t>(c)</w:t>
      </w:r>
      <w:r>
        <w:tab/>
        <w:t xml:space="preserve">by inserting before “any other Act” — </w:t>
      </w:r>
    </w:p>
    <w:p>
      <w:pPr>
        <w:pStyle w:val="nzMiscellaneousBody"/>
        <w:tabs>
          <w:tab w:val="left" w:pos="2268"/>
        </w:tabs>
        <w:ind w:left="2268" w:hanging="1701"/>
      </w:pPr>
      <w:r>
        <w:tab/>
        <w:t>“    this Act or    ”.</w:t>
      </w:r>
    </w:p>
    <w:p>
      <w:pPr>
        <w:pStyle w:val="nzSubsection"/>
      </w:pPr>
      <w:r>
        <w:tab/>
        <w:t>(2)</w:t>
      </w:r>
      <w:r>
        <w:tab/>
        <w:t xml:space="preserve">At the end of section 8 the following subsection is inserted — </w:t>
      </w:r>
    </w:p>
    <w:p>
      <w:pPr>
        <w:pStyle w:val="MiscOpen"/>
        <w:ind w:left="595"/>
      </w:pPr>
      <w:r>
        <w:t xml:space="preserve">“    </w:t>
      </w:r>
    </w:p>
    <w:p>
      <w:pPr>
        <w:pStyle w:val="nzMiscellaneousBody"/>
        <w:tabs>
          <w:tab w:val="left" w:pos="1418"/>
          <w:tab w:val="left" w:pos="1985"/>
        </w:tabs>
        <w:ind w:left="1985" w:hanging="1418"/>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spacing w:before="0"/>
      </w:pPr>
      <w:r>
        <w:t>90.</w:t>
      </w:r>
      <w:r>
        <w:tab/>
        <w:t>Section 9 modified</w:t>
      </w:r>
    </w:p>
    <w:p>
      <w:pPr>
        <w:pStyle w:val="nzSubsection"/>
      </w:pPr>
      <w:r>
        <w:tab/>
      </w:r>
      <w:r>
        <w:tab/>
        <w:t>Section 9(2) is modified as follows:</w:t>
      </w:r>
    </w:p>
    <w:p>
      <w:pPr>
        <w:pStyle w:val="nzIndenta"/>
      </w:pPr>
      <w:r>
        <w:tab/>
        <w:t>(a)</w:t>
      </w:r>
      <w:r>
        <w:tab/>
        <w:t xml:space="preserve">in paragraph (a) by inserting after “this Act” — </w:t>
      </w:r>
    </w:p>
    <w:p>
      <w:pPr>
        <w:pStyle w:val="nzMiscellaneousBody"/>
        <w:tabs>
          <w:tab w:val="left" w:pos="2268"/>
        </w:tabs>
        <w:ind w:left="2268" w:hanging="1701"/>
      </w:pPr>
      <w:r>
        <w:tab/>
        <w:t>“     or the corresponding Stamp Act    ”;</w:t>
      </w:r>
    </w:p>
    <w:p>
      <w:pPr>
        <w:pStyle w:val="nzIndenta"/>
      </w:pPr>
      <w:r>
        <w:tab/>
        <w:t>(b)</w:t>
      </w:r>
      <w:r>
        <w:tab/>
        <w:t xml:space="preserve">in paragraph (b) by inserting after “this Act” — </w:t>
      </w:r>
    </w:p>
    <w:p>
      <w:pPr>
        <w:pStyle w:val="nzMiscellaneousBody"/>
        <w:tabs>
          <w:tab w:val="left" w:pos="2268"/>
        </w:tabs>
        <w:ind w:left="2268" w:hanging="1701"/>
      </w:pPr>
      <w:r>
        <w:tab/>
        <w:t>“     or the corresponding Stamp Act    ”.</w:t>
      </w:r>
    </w:p>
    <w:p>
      <w:pPr>
        <w:pStyle w:val="nzHeading5"/>
      </w:pPr>
      <w:r>
        <w:t>91.</w:t>
      </w:r>
      <w:r>
        <w:tab/>
        <w:t>Section 11 modified</w:t>
      </w:r>
    </w:p>
    <w:p>
      <w:pPr>
        <w:pStyle w:val="nzSubsection"/>
      </w:pPr>
      <w:r>
        <w:tab/>
      </w:r>
      <w:r>
        <w:tab/>
        <w:t>Section 11 is modified by deleting “on behalf of the Crown”.</w:t>
      </w:r>
    </w:p>
    <w:p>
      <w:pPr>
        <w:pStyle w:val="nzHeading5"/>
      </w:pPr>
      <w:r>
        <w:t>92.</w:t>
      </w:r>
      <w:r>
        <w:tab/>
        <w:t>Section 15B modified</w:t>
      </w:r>
    </w:p>
    <w:p>
      <w:pPr>
        <w:pStyle w:val="nzSubsection"/>
      </w:pPr>
      <w:r>
        <w:tab/>
      </w:r>
      <w:r>
        <w:tab/>
        <w:t>Section 15B(1)(b) is modified by deleting “</w:t>
      </w:r>
      <w:r>
        <w:rPr>
          <w:i/>
        </w:rPr>
        <w:t>Financial Administration and Audit Act 1985</w:t>
      </w:r>
      <w:r>
        <w:t xml:space="preserve">” and inserting instead — </w:t>
      </w:r>
    </w:p>
    <w:p>
      <w:pPr>
        <w:pStyle w:val="MiscOpen"/>
        <w:ind w:left="993"/>
      </w:pPr>
      <w:r>
        <w:t xml:space="preserve">“    </w:t>
      </w:r>
    </w:p>
    <w:p>
      <w:pPr>
        <w:pStyle w:val="nzMiscellaneousBody"/>
        <w:tabs>
          <w:tab w:val="left" w:pos="1418"/>
        </w:tabs>
        <w:ind w:left="1418" w:hanging="851"/>
      </w:pPr>
      <w:r>
        <w:tab/>
      </w:r>
      <w:r>
        <w:rPr>
          <w:i/>
        </w:rPr>
        <w:t>Financial Management and Accountability Act 1997</w:t>
      </w:r>
      <w:r>
        <w:t xml:space="preserve"> of the Commonwealth</w:t>
      </w:r>
    </w:p>
    <w:p>
      <w:pPr>
        <w:pStyle w:val="MiscClose"/>
        <w:ind w:right="577"/>
      </w:pPr>
      <w:r>
        <w:t xml:space="preserve">    ”.</w:t>
      </w:r>
    </w:p>
    <w:p>
      <w:pPr>
        <w:pStyle w:val="nzHeading5"/>
      </w:pPr>
      <w:r>
        <w:t>93.</w:t>
      </w:r>
      <w:r>
        <w:tab/>
        <w:t>Section 16 modified</w:t>
      </w:r>
    </w:p>
    <w:p>
      <w:pPr>
        <w:pStyle w:val="nzSubsection"/>
      </w:pPr>
      <w:r>
        <w:tab/>
      </w:r>
      <w:r>
        <w:tab/>
        <w:t>Section 16(1) is modified by deleting “for the use of the Crown”.</w:t>
      </w:r>
    </w:p>
    <w:p>
      <w:pPr>
        <w:pStyle w:val="nzHeading5"/>
      </w:pPr>
      <w:r>
        <w:t>94.</w:t>
      </w:r>
      <w:r>
        <w:tab/>
        <w:t>Section 26 modified</w:t>
      </w:r>
    </w:p>
    <w:p>
      <w:pPr>
        <w:pStyle w:val="nzSubsection"/>
        <w:keepNext/>
      </w:pPr>
      <w:r>
        <w:tab/>
        <w:t>(1)</w:t>
      </w:r>
      <w:r>
        <w:tab/>
        <w:t xml:space="preserve">Section 26(1) is modified by deleting “Crown” and inserting instead — </w:t>
      </w:r>
    </w:p>
    <w:p>
      <w:pPr>
        <w:pStyle w:val="nzMiscellaneousBody"/>
        <w:tabs>
          <w:tab w:val="left" w:pos="1418"/>
        </w:tabs>
        <w:ind w:left="1418" w:hanging="851"/>
      </w:pPr>
      <w:r>
        <w:tab/>
        <w:t>“    Commonwealth    ”.</w:t>
      </w:r>
    </w:p>
    <w:p>
      <w:pPr>
        <w:pStyle w:val="nzSubsection"/>
      </w:pPr>
      <w:r>
        <w:tab/>
        <w:t>(2)</w:t>
      </w:r>
      <w:r>
        <w:tab/>
        <w:t xml:space="preserve">Section 26(1a) is modified by deleting “Crown” and inserting instead — </w:t>
      </w:r>
    </w:p>
    <w:p>
      <w:pPr>
        <w:pStyle w:val="nzMiscellaneousBody"/>
        <w:tabs>
          <w:tab w:val="left" w:pos="1418"/>
        </w:tabs>
        <w:ind w:left="1418" w:hanging="851"/>
      </w:pPr>
      <w:r>
        <w:tab/>
        <w:t>“    Commonwealth    ”.</w:t>
      </w:r>
    </w:p>
    <w:p>
      <w:pPr>
        <w:pStyle w:val="nzHeading5"/>
      </w:pPr>
      <w:r>
        <w:t>95.</w:t>
      </w:r>
      <w:r>
        <w:tab/>
        <w:t>Section 31B modified</w:t>
      </w:r>
    </w:p>
    <w:p>
      <w:pPr>
        <w:pStyle w:val="nzSubsection"/>
      </w:pPr>
      <w:r>
        <w:tab/>
      </w:r>
      <w:r>
        <w:tab/>
        <w:t xml:space="preserve">Section 31B(5) is modified by deleting “the law of another State or of a Territory” and inserting instead — </w:t>
      </w:r>
    </w:p>
    <w:p>
      <w:pPr>
        <w:pStyle w:val="MiscOpen"/>
        <w:ind w:left="879"/>
      </w:pPr>
      <w:r>
        <w:t xml:space="preserve">“    </w:t>
      </w:r>
    </w:p>
    <w:p>
      <w:pPr>
        <w:pStyle w:val="nzMiscellaneousBody"/>
        <w:tabs>
          <w:tab w:val="left" w:pos="1418"/>
        </w:tabs>
        <w:ind w:left="1418" w:hanging="851"/>
      </w:pPr>
      <w:r>
        <w:tab/>
        <w:t>the corresponding Stamp Act or a law in force in another State or Territory, including an applied law within the meaning of the Commonwealth Mirror Taxes Act,</w:t>
      </w:r>
    </w:p>
    <w:p>
      <w:pPr>
        <w:pStyle w:val="MiscClose"/>
        <w:ind w:right="577"/>
      </w:pPr>
      <w:r>
        <w:t xml:space="preserve">    ”.</w:t>
      </w:r>
    </w:p>
    <w:p>
      <w:pPr>
        <w:pStyle w:val="nzHeading5"/>
      </w:pPr>
      <w:r>
        <w:t>96.</w:t>
      </w:r>
      <w:r>
        <w:tab/>
        <w:t>Section 39A modified</w:t>
      </w:r>
    </w:p>
    <w:p>
      <w:pPr>
        <w:pStyle w:val="nzSubsection"/>
      </w:pPr>
      <w:r>
        <w:tab/>
      </w:r>
      <w:r>
        <w:tab/>
        <w:t xml:space="preserve">Section 39A(1) is modified by deleting “Crown” and inserting instead — </w:t>
      </w:r>
    </w:p>
    <w:p>
      <w:pPr>
        <w:pStyle w:val="nzMiscellaneousBody"/>
        <w:tabs>
          <w:tab w:val="left" w:pos="1418"/>
        </w:tabs>
        <w:ind w:left="1418" w:hanging="851"/>
      </w:pPr>
      <w:r>
        <w:tab/>
      </w:r>
      <w:r>
        <w:tab/>
        <w:t>“    Commonwealth    ”.</w:t>
      </w:r>
    </w:p>
    <w:p>
      <w:pPr>
        <w:pStyle w:val="nzHeading5"/>
      </w:pPr>
      <w:r>
        <w:t>97.</w:t>
      </w:r>
      <w:r>
        <w:tab/>
        <w:t>Section 73D modified</w:t>
      </w:r>
    </w:p>
    <w:p>
      <w:pPr>
        <w:pStyle w:val="nzSubsection"/>
      </w:pPr>
      <w:r>
        <w:tab/>
      </w:r>
      <w:r>
        <w:tab/>
        <w:t xml:space="preserve">Section 73D(6a)(b) is modified by deleting “in another jurisdiction” and inserting instead — </w:t>
      </w:r>
    </w:p>
    <w:p>
      <w:pPr>
        <w:pStyle w:val="MiscOpen"/>
        <w:ind w:left="879"/>
      </w:pPr>
      <w:r>
        <w:t xml:space="preserve">“    </w:t>
      </w:r>
    </w:p>
    <w:p>
      <w:pPr>
        <w:pStyle w:val="nzMiscellaneousBody"/>
        <w:tabs>
          <w:tab w:val="left" w:pos="1418"/>
        </w:tabs>
        <w:ind w:left="1418" w:hanging="851"/>
      </w:pPr>
      <w:r>
        <w:tab/>
        <w:t>under a law in force in another State or Territory</w:t>
      </w:r>
    </w:p>
    <w:p>
      <w:pPr>
        <w:pStyle w:val="MiscClose"/>
        <w:ind w:right="577"/>
      </w:pPr>
      <w:r>
        <w:t xml:space="preserve">    ”.</w:t>
      </w:r>
    </w:p>
    <w:p>
      <w:pPr>
        <w:pStyle w:val="nzHeading5"/>
      </w:pPr>
      <w:r>
        <w:t>98.</w:t>
      </w:r>
      <w:r>
        <w:tab/>
        <w:t>Section 75AE modified</w:t>
      </w:r>
    </w:p>
    <w:p>
      <w:pPr>
        <w:pStyle w:val="nzSubsection"/>
      </w:pPr>
      <w:r>
        <w:tab/>
      </w:r>
      <w:r>
        <w:tab/>
        <w:t xml:space="preserve">After section 75AE(2) the following subsection is inserted — </w:t>
      </w:r>
    </w:p>
    <w:p>
      <w:pPr>
        <w:pStyle w:val="MiscOpen"/>
        <w:ind w:left="600"/>
      </w:pPr>
      <w:r>
        <w:t xml:space="preserve">“    </w:t>
      </w:r>
    </w:p>
    <w:p>
      <w:pPr>
        <w:pStyle w:val="nzMiscellaneousBody"/>
        <w:tabs>
          <w:tab w:val="left" w:pos="1418"/>
          <w:tab w:val="left" w:pos="1985"/>
        </w:tabs>
        <w:ind w:left="1985" w:hanging="1418"/>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t>99.</w:t>
      </w:r>
      <w:r>
        <w:tab/>
        <w:t>Section 76AH modified</w:t>
      </w:r>
    </w:p>
    <w:p>
      <w:pPr>
        <w:pStyle w:val="nzSubsection"/>
      </w:pPr>
      <w:r>
        <w:tab/>
      </w:r>
      <w:r>
        <w:tab/>
        <w:t xml:space="preserve">Section 76AH(4)(b) is modified by deleting “in another jurisdiction” and inserting instead — </w:t>
      </w:r>
    </w:p>
    <w:p>
      <w:pPr>
        <w:pStyle w:val="MiscOpen"/>
        <w:ind w:left="600"/>
      </w:pPr>
      <w:r>
        <w:t xml:space="preserve">“    </w:t>
      </w:r>
    </w:p>
    <w:p>
      <w:pPr>
        <w:pStyle w:val="nzMiscellaneousBody"/>
        <w:tabs>
          <w:tab w:val="left" w:pos="1418"/>
        </w:tabs>
        <w:ind w:left="1418" w:hanging="851"/>
      </w:pPr>
      <w:r>
        <w:tab/>
        <w:t>under a law in force in another State or Territory</w:t>
      </w:r>
    </w:p>
    <w:p>
      <w:pPr>
        <w:pStyle w:val="MiscClose"/>
        <w:ind w:right="577"/>
      </w:pPr>
      <w:r>
        <w:t xml:space="preserve">    ”.</w:t>
      </w:r>
    </w:p>
    <w:p>
      <w:pPr>
        <w:pStyle w:val="nzHeading5"/>
      </w:pPr>
      <w:r>
        <w:t>100.</w:t>
      </w:r>
      <w:r>
        <w:tab/>
        <w:t>Section 76AO modified</w:t>
      </w:r>
    </w:p>
    <w:p>
      <w:pPr>
        <w:pStyle w:val="nzSubsection"/>
      </w:pPr>
      <w:r>
        <w:tab/>
      </w:r>
      <w:r>
        <w:tab/>
        <w:t xml:space="preserve">Section 76AO(4)(b) is modified by deleting “in another jurisdiction” and inserting instead — </w:t>
      </w:r>
    </w:p>
    <w:p>
      <w:pPr>
        <w:pStyle w:val="nzMiscellaneousBody"/>
        <w:tabs>
          <w:tab w:val="left" w:pos="1418"/>
        </w:tabs>
        <w:ind w:left="1418" w:hanging="851"/>
      </w:pPr>
      <w:r>
        <w:tab/>
        <w:t>“    under a law in force in another State or Territory    ”.</w:t>
      </w:r>
    </w:p>
    <w:p>
      <w:pPr>
        <w:pStyle w:val="nzHeading5"/>
      </w:pPr>
      <w:r>
        <w:t>101.</w:t>
      </w:r>
      <w:r>
        <w:tab/>
        <w:t>Section 84 modified</w:t>
      </w:r>
    </w:p>
    <w:p>
      <w:pPr>
        <w:pStyle w:val="nzSubsection"/>
      </w:pPr>
      <w:r>
        <w:tab/>
      </w:r>
      <w:r>
        <w:tab/>
        <w:t xml:space="preserve">After section 84(4) the following subsection is inserted — </w:t>
      </w:r>
    </w:p>
    <w:p>
      <w:pPr>
        <w:pStyle w:val="MiscOpen"/>
        <w:ind w:left="600"/>
      </w:pPr>
      <w:r>
        <w:t xml:space="preserve">“    </w:t>
      </w:r>
    </w:p>
    <w:p>
      <w:pPr>
        <w:pStyle w:val="nzMiscellaneousBody"/>
        <w:tabs>
          <w:tab w:val="left" w:pos="1418"/>
          <w:tab w:val="left" w:pos="1985"/>
        </w:tabs>
        <w:ind w:left="1985" w:hanging="1418"/>
      </w:pPr>
      <w:r>
        <w:tab/>
        <w:t>(5)</w:t>
      </w:r>
      <w:r>
        <w:tab/>
        <w:t xml:space="preserve">In this section — </w:t>
      </w:r>
    </w:p>
    <w:p>
      <w:pPr>
        <w:pStyle w:val="nzMiscellaneousBody"/>
        <w:tabs>
          <w:tab w:val="left" w:pos="1985"/>
          <w:tab w:val="left" w:pos="2552"/>
        </w:tabs>
        <w:ind w:left="2552" w:hanging="1985"/>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nzMiscellaneousBody"/>
        <w:tabs>
          <w:tab w:val="left" w:pos="1985"/>
          <w:tab w:val="left" w:pos="2552"/>
        </w:tabs>
        <w:ind w:left="2552" w:hanging="1985"/>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ind w:right="577"/>
      </w:pPr>
      <w:r>
        <w:t xml:space="preserve">    ”.</w:t>
      </w:r>
    </w:p>
    <w:p>
      <w:pPr>
        <w:pStyle w:val="nzHeading5"/>
      </w:pPr>
      <w:r>
        <w:t>102.</w:t>
      </w:r>
      <w:r>
        <w:tab/>
        <w:t>Section 87 modified</w:t>
      </w:r>
    </w:p>
    <w:p>
      <w:pPr>
        <w:pStyle w:val="nzSubsection"/>
        <w:keepNext/>
      </w:pPr>
      <w:r>
        <w:tab/>
      </w:r>
      <w:r>
        <w:tab/>
        <w:t xml:space="preserve">Section 87(1) is modified by inserting after “chargeable under item 13” — </w:t>
      </w:r>
    </w:p>
    <w:p>
      <w:pPr>
        <w:pStyle w:val="MiscOpen"/>
        <w:ind w:left="879"/>
      </w:pPr>
      <w:r>
        <w:t xml:space="preserve">“    </w:t>
      </w:r>
    </w:p>
    <w:p>
      <w:pPr>
        <w:pStyle w:val="nzMiscellaneousBody"/>
        <w:tabs>
          <w:tab w:val="left" w:pos="1418"/>
        </w:tabs>
        <w:ind w:left="1418" w:hanging="851"/>
      </w:pPr>
      <w:r>
        <w:tab/>
        <w:t>of the second Schedule of this Act or the corresponding Stamp Act</w:t>
      </w:r>
    </w:p>
    <w:p>
      <w:pPr>
        <w:pStyle w:val="MiscClose"/>
        <w:ind w:right="577"/>
      </w:pPr>
      <w:r>
        <w:t xml:space="preserve">    ”.</w:t>
      </w:r>
    </w:p>
    <w:p>
      <w:pPr>
        <w:pStyle w:val="nzHeading5"/>
      </w:pPr>
      <w:r>
        <w:t>103.</w:t>
      </w:r>
      <w:r>
        <w:tab/>
        <w:t>Section 112A modified</w:t>
      </w:r>
    </w:p>
    <w:p>
      <w:pPr>
        <w:pStyle w:val="nzSubsection"/>
      </w:pPr>
      <w:r>
        <w:tab/>
      </w:r>
      <w:r>
        <w:tab/>
        <w:t xml:space="preserve">Section 112A(1) is modified by deleting the definition of “corresponding law” and inserting the following definition instead — </w:t>
      </w:r>
    </w:p>
    <w:p>
      <w:pPr>
        <w:pStyle w:val="MiscOpen"/>
        <w:ind w:left="879"/>
      </w:pPr>
      <w:r>
        <w:t xml:space="preserve">“    </w:t>
      </w:r>
    </w:p>
    <w:p>
      <w:pPr>
        <w:pStyle w:val="nzMiscellaneousBody"/>
        <w:tabs>
          <w:tab w:val="left" w:pos="1418"/>
          <w:tab w:val="left" w:pos="1985"/>
        </w:tabs>
        <w:ind w:left="1985" w:hanging="1418"/>
      </w:pPr>
      <w:r>
        <w:tab/>
        <w:t>“</w:t>
      </w:r>
      <w:r>
        <w:rPr>
          <w:b/>
        </w:rPr>
        <w:t>corresponding law</w:t>
      </w:r>
      <w:r>
        <w:t xml:space="preserve">” means — </w:t>
      </w:r>
    </w:p>
    <w:p>
      <w:pPr>
        <w:pStyle w:val="nzMiscellaneousBody"/>
        <w:tabs>
          <w:tab w:val="left" w:pos="1701"/>
          <w:tab w:val="left" w:pos="2268"/>
        </w:tabs>
        <w:ind w:left="2268" w:hanging="1701"/>
      </w:pPr>
      <w:r>
        <w:tab/>
        <w:t>(a)</w:t>
      </w:r>
      <w:r>
        <w:tab/>
        <w:t>the corresponding Stamp Act;</w:t>
      </w:r>
    </w:p>
    <w:p>
      <w:pPr>
        <w:pStyle w:val="nzMiscellaneousBody"/>
        <w:tabs>
          <w:tab w:val="left" w:pos="1701"/>
          <w:tab w:val="left" w:pos="2268"/>
        </w:tabs>
        <w:ind w:left="2268" w:hanging="1701"/>
      </w:pPr>
      <w:r>
        <w:tab/>
        <w:t>(b)</w:t>
      </w:r>
      <w:r>
        <w:tab/>
        <w:t>a law in force in another State or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nzHeading5"/>
      </w:pPr>
      <w:r>
        <w:t>104.</w:t>
      </w:r>
      <w:r>
        <w:tab/>
        <w:t>Section 112K modified</w:t>
      </w:r>
    </w:p>
    <w:p>
      <w:pPr>
        <w:pStyle w:val="nzSubsection"/>
      </w:pPr>
      <w:r>
        <w:tab/>
      </w:r>
      <w:r>
        <w:tab/>
        <w:t xml:space="preserve">After section 112K(1a) the following subsection is inserted — </w:t>
      </w:r>
    </w:p>
    <w:p>
      <w:pPr>
        <w:pStyle w:val="MiscOpen"/>
        <w:ind w:left="600"/>
      </w:pPr>
      <w:r>
        <w:t xml:space="preserve">“    </w:t>
      </w:r>
    </w:p>
    <w:p>
      <w:pPr>
        <w:pStyle w:val="nzMiscellaneousBody"/>
        <w:tabs>
          <w:tab w:val="left" w:pos="1418"/>
          <w:tab w:val="left" w:pos="1985"/>
        </w:tabs>
        <w:ind w:left="1985" w:hanging="1418"/>
      </w:pPr>
      <w:r>
        <w:tab/>
        <w:t>(1b)</w:t>
      </w:r>
      <w:r>
        <w:tab/>
        <w:t>A reference in subsection (1) to an amount to be shown in a statement does not include a reference to any amount in respect of which stamp duty has been paid under the corresponding Stamp Act.</w:t>
      </w:r>
    </w:p>
    <w:p>
      <w:pPr>
        <w:pStyle w:val="MiscClose"/>
        <w:ind w:right="577"/>
      </w:pPr>
      <w:r>
        <w:t xml:space="preserve">    ”.</w:t>
      </w:r>
    </w:p>
    <w:p>
      <w:pPr>
        <w:pStyle w:val="nzHeading5"/>
      </w:pPr>
      <w:r>
        <w:t>105.</w:t>
      </w:r>
      <w:r>
        <w:tab/>
        <w:t>Section 120 modified</w:t>
      </w:r>
    </w:p>
    <w:p>
      <w:pPr>
        <w:pStyle w:val="nzSubsection"/>
      </w:pPr>
      <w:r>
        <w:tab/>
      </w:r>
      <w:r>
        <w:tab/>
        <w:t xml:space="preserve">Section 120(1)(f) is modified by deleting “Crown” and inserting instead — </w:t>
      </w:r>
    </w:p>
    <w:p>
      <w:pPr>
        <w:pStyle w:val="nzMiscellaneousBody"/>
        <w:tabs>
          <w:tab w:val="left" w:pos="1418"/>
          <w:tab w:val="left" w:pos="1985"/>
        </w:tabs>
        <w:ind w:left="1985" w:hanging="1418"/>
      </w:pPr>
      <w:r>
        <w:tab/>
        <w:t>“    Commonwealth    ”.</w:t>
      </w:r>
    </w:p>
    <w:p>
      <w:pPr>
        <w:pStyle w:val="MiscClose"/>
      </w:pPr>
      <w:r>
        <w:t>”.</w:t>
      </w:r>
    </w:p>
    <w:p>
      <w:pPr>
        <w:pStyle w:val="nSubsection"/>
        <w:rPr>
          <w:snapToGrid w:val="0"/>
        </w:rPr>
      </w:pPr>
      <w:r>
        <w:rPr>
          <w:snapToGrid w:val="0"/>
          <w:vertAlign w:val="superscript"/>
        </w:rPr>
        <w:t>12</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13</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14</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(No. 2) 1994</w:t>
      </w:r>
      <w:r>
        <w:rPr>
          <w:snapToGrid w:val="0"/>
        </w:rPr>
        <w:t xml:space="preserve"> s. 5(2) and (3) read as follows: </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 xml:space="preserve">Saving provision </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Stamp Amendment Act 1995</w:t>
      </w:r>
      <w:r>
        <w:rPr>
          <w:snapToGrid w:val="0"/>
        </w:rPr>
        <w:t xml:space="preserve"> s. 4(2)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24</w:t>
      </w:r>
      <w:r>
        <w:rPr>
          <w:snapToGrid w:val="0"/>
        </w:rPr>
        <w:tab/>
        <w:t xml:space="preserve">The </w:t>
      </w:r>
      <w:r>
        <w:rPr>
          <w:i/>
          <w:snapToGrid w:val="0"/>
        </w:rPr>
        <w:t>Revenue Laws Amendment (Assessment) Act 1996</w:t>
      </w:r>
      <w:r>
        <w:rPr>
          <w:snapToGrid w:val="0"/>
        </w:rPr>
        <w:t xml:space="preserve"> s. 32(5) reads as follows: </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Stamp Amendment Act 1996</w:t>
      </w:r>
      <w:r>
        <w:rPr>
          <w:snapToGrid w:val="0"/>
        </w:rPr>
        <w:t xml:space="preserve"> s. 9 reads as follows: </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Revenue Laws Amendment (Assessment) Act 1997</w:t>
      </w:r>
      <w:r>
        <w:rPr>
          <w:snapToGrid w:val="0"/>
        </w:rPr>
        <w:t xml:space="preserve"> s. 36(2)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Revenue Laws Amendment (Assessment) Act 1997</w:t>
      </w:r>
      <w:r>
        <w:rPr>
          <w:snapToGrid w:val="0"/>
        </w:rPr>
        <w:t xml:space="preserve"> s. 39(2) and (3) read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28</w:t>
      </w:r>
      <w:r>
        <w:rPr>
          <w:snapToGrid w:val="0"/>
        </w:rPr>
        <w:tab/>
        <w:t xml:space="preserve">The </w:t>
      </w:r>
      <w:r>
        <w:rPr>
          <w:i/>
          <w:snapToGrid w:val="0"/>
        </w:rPr>
        <w:t>Revenue Laws Amendment (Assessment) Act 1997</w:t>
      </w:r>
      <w:r>
        <w:rPr>
          <w:snapToGrid w:val="0"/>
        </w:rPr>
        <w:t xml:space="preserve"> s. 24 reads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 xml:space="preserve">Reassessment </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 xml:space="preserve">The reassessment supersedes the original assessment. </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MiscClose"/>
        <w:rPr>
          <w:snapToGrid w:val="0"/>
        </w:rPr>
      </w:pPr>
      <w:r>
        <w:rPr>
          <w:snapToGrid w:val="0"/>
        </w:rPr>
        <w:t>”.</w:t>
      </w:r>
    </w:p>
    <w:p>
      <w:pPr>
        <w:pStyle w:val="nSubsection"/>
        <w:keepNext/>
        <w:rPr>
          <w:snapToGrid w:val="0"/>
        </w:rPr>
      </w:pPr>
      <w:r>
        <w:rPr>
          <w:snapToGrid w:val="0"/>
          <w:vertAlign w:val="superscript"/>
        </w:rPr>
        <w:t>29</w:t>
      </w:r>
      <w:r>
        <w:rPr>
          <w:snapToGrid w:val="0"/>
        </w:rPr>
        <w:tab/>
        <w:t xml:space="preserve">The </w:t>
      </w:r>
      <w:r>
        <w:rPr>
          <w:i/>
          <w:snapToGrid w:val="0"/>
        </w:rPr>
        <w:t>Revenue Laws Amendment (Assessment) Act 1997</w:t>
      </w:r>
      <w:r>
        <w:rPr>
          <w:snapToGrid w:val="0"/>
        </w:rPr>
        <w:t xml:space="preserve"> s. 48 reads as follows:</w:t>
      </w:r>
    </w:p>
    <w:p>
      <w:pPr>
        <w:pStyle w:val="MiscOpen"/>
        <w:rPr>
          <w:snapToGrid w:val="0"/>
        </w:rPr>
      </w:pPr>
      <w:r>
        <w:rPr>
          <w:snapToGrid w:val="0"/>
        </w:rPr>
        <w:t>“</w:t>
      </w:r>
    </w:p>
    <w:p>
      <w:pPr>
        <w:pStyle w:val="nzHeading5"/>
        <w:spacing w:before="40"/>
        <w:rPr>
          <w:snapToGrid w:val="0"/>
        </w:rPr>
      </w:pPr>
      <w:r>
        <w:rPr>
          <w:snapToGrid w:val="0"/>
        </w:rPr>
        <w:t>48.</w:t>
      </w:r>
      <w:r>
        <w:rPr>
          <w:snapToGrid w:val="0"/>
        </w:rPr>
        <w:tab/>
        <w:t xml:space="preserve">Transitional </w:t>
      </w:r>
    </w:p>
    <w:p>
      <w:pPr>
        <w:pStyle w:val="nzSubsection"/>
        <w:rPr>
          <w:snapToGrid w:val="0"/>
        </w:rPr>
      </w:pPr>
      <w:r>
        <w:rPr>
          <w:snapToGrid w:val="0"/>
        </w:rPr>
        <w:tab/>
      </w:r>
      <w:r>
        <w:rPr>
          <w:snapToGrid w:val="0"/>
        </w:rPr>
        <w:tab/>
        <w:t>The Commissioner is to refund the amount of any duty paid on a vehicle licence if —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30</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rPr>
          <w:snapToGrid w:val="0"/>
        </w:rPr>
      </w:pPr>
      <w:r>
        <w:rPr>
          <w:snapToGrid w:val="0"/>
          <w:vertAlign w:val="superscript"/>
        </w:rPr>
        <w:t>31</w:t>
      </w:r>
      <w:r>
        <w:rPr>
          <w:snapToGrid w:val="0"/>
        </w:rPr>
        <w:tab/>
        <w:t xml:space="preserve">The </w:t>
      </w:r>
      <w:r>
        <w:rPr>
          <w:i/>
          <w:snapToGrid w:val="0"/>
        </w:rPr>
        <w:t>Revenue Laws Amendment (Taxation) Act 1998</w:t>
      </w:r>
      <w:r>
        <w:rPr>
          <w:snapToGrid w:val="0"/>
        </w:rPr>
        <w:t xml:space="preserve"> s. 2(4) and (5) read as follows: </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32</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33</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 xml:space="preserve">Subject to subsection (2), the former provisions continue to apply as if this Division were not enacted, to and in relation to —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 xml:space="preserve">In this section —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34</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35</w:t>
      </w:r>
      <w:r>
        <w:rPr>
          <w:snapToGrid w:val="0"/>
        </w:rPr>
        <w:tab/>
        <w:t xml:space="preserve">The </w:t>
      </w:r>
      <w:r>
        <w:rPr>
          <w:i/>
          <w:snapToGrid w:val="0"/>
        </w:rPr>
        <w:t>Revenue Laws Amendment (Assessment) Act 2000</w:t>
      </w:r>
      <w:r>
        <w:rPr>
          <w:snapToGrid w:val="0"/>
        </w:rPr>
        <w:t xml:space="preserve"> s. 6(2) reads as follows: </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 </w:t>
      </w:r>
    </w:p>
    <w:p>
      <w:pPr>
        <w:pStyle w:val="MiscClose"/>
        <w:rPr>
          <w:snapToGrid w:val="0"/>
        </w:rPr>
      </w:pPr>
      <w:r>
        <w:rPr>
          <w:snapToGrid w:val="0"/>
        </w:rPr>
        <w:t>”.</w:t>
      </w:r>
    </w:p>
    <w:p>
      <w:pPr>
        <w:pStyle w:val="nSubsection"/>
        <w:keepNext/>
        <w:rPr>
          <w:snapToGrid w:val="0"/>
        </w:rPr>
      </w:pPr>
      <w:r>
        <w:rPr>
          <w:snapToGrid w:val="0"/>
          <w:vertAlign w:val="superscript"/>
        </w:rPr>
        <w:t>36</w:t>
      </w:r>
      <w:r>
        <w:rPr>
          <w:snapToGrid w:val="0"/>
        </w:rPr>
        <w:tab/>
        <w:t xml:space="preserve">The </w:t>
      </w:r>
      <w:r>
        <w:rPr>
          <w:i/>
          <w:snapToGrid w:val="0"/>
        </w:rPr>
        <w:t>Revenue Laws Amendment (Assessment) Act 2000</w:t>
      </w:r>
      <w:r>
        <w:rPr>
          <w:snapToGrid w:val="0"/>
        </w:rPr>
        <w:t xml:space="preserve"> s. 8(2), (3) and (4) read as follows: </w:t>
      </w:r>
    </w:p>
    <w:p>
      <w:pPr>
        <w:pStyle w:val="MiscOpen"/>
        <w:rPr>
          <w:snapToGrid w:val="0"/>
        </w:rPr>
      </w:pPr>
      <w:r>
        <w:rPr>
          <w:snapToGrid w:val="0"/>
        </w:rPr>
        <w:t>“</w:t>
      </w:r>
    </w:p>
    <w:p>
      <w:pPr>
        <w:pStyle w:val="nzSubsection"/>
        <w:keepNext/>
        <w:spacing w:before="0"/>
      </w:pPr>
      <w:r>
        <w:tab/>
        <w:t>(2)</w:t>
      </w:r>
      <w:r>
        <w:tab/>
        <w:t xml:space="preserve">In subsections (3) and (4) —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37</w:t>
      </w:r>
      <w:r>
        <w:rPr>
          <w:snapToGrid w:val="0"/>
        </w:rPr>
        <w:tab/>
        <w:t xml:space="preserve">The </w:t>
      </w:r>
      <w:r>
        <w:rPr>
          <w:i/>
          <w:snapToGrid w:val="0"/>
        </w:rPr>
        <w:t xml:space="preserve">Stamp Amendment Act (No. 3) 2000 </w:t>
      </w:r>
      <w:r>
        <w:rPr>
          <w:snapToGrid w:val="0"/>
        </w:rPr>
        <w:t>s.</w:t>
      </w:r>
      <w:r>
        <w:rPr>
          <w:i/>
          <w:snapToGrid w:val="0"/>
        </w:rPr>
        <w:t> </w:t>
      </w:r>
      <w:r>
        <w:rPr>
          <w:snapToGrid w:val="0"/>
        </w:rPr>
        <w:t xml:space="preserve">21 reads as follows: </w:t>
      </w:r>
    </w:p>
    <w:p>
      <w:pPr>
        <w:pStyle w:val="MiscOpen"/>
        <w:rPr>
          <w:snapToGrid w:val="0"/>
          <w:highlight w:val="cyan"/>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numberingChange w:id="2216" w:author="Isobel Bond" w:date="2006-03-27T14:07:00Z" w:original=""/>
        </w:fldChar>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numberingChange w:id="2217" w:author="Isobel Bond" w:date="2006-03-27T14:07:00Z" w:original=""/>
        </w:fldChar>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pPr>
      <w:r>
        <w:tab/>
        <w:t>(4)</w:t>
      </w:r>
      <w:r>
        <w:tab/>
        <w:t xml:space="preserve">If —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 xml:space="preserve">an acquisition of an interest in a corporation occurred on or after 10 August 2000 but before this Act receives the Royal Assent; </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38</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 xml:space="preserve">were effected or renewed on or after 16 May 2002 but before 1 July 2002; and </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39</w:t>
      </w:r>
      <w:r>
        <w:tab/>
      </w:r>
      <w:r>
        <w:rPr>
          <w:snapToGrid w:val="0"/>
        </w:rPr>
        <w:t xml:space="preserve">The </w:t>
      </w:r>
      <w:r>
        <w:rPr>
          <w:i/>
          <w:snapToGrid w:val="0"/>
        </w:rPr>
        <w:t>Stamp Amendment (Budget) Act 2002</w:t>
      </w:r>
      <w:r>
        <w:rPr>
          <w:snapToGrid w:val="0"/>
        </w:rPr>
        <w:t xml:space="preserve"> s. 5 reads as follows:</w:t>
      </w:r>
    </w:p>
    <w:p>
      <w:pPr>
        <w:pStyle w:val="MiscOpen"/>
        <w:spacing w:before="80"/>
        <w:rPr>
          <w:snapToGrid w:val="0"/>
        </w:rPr>
      </w:pPr>
      <w:r>
        <w:rPr>
          <w:snapToGrid w:val="0"/>
        </w:rPr>
        <w:t>“</w:t>
      </w:r>
    </w:p>
    <w:p>
      <w:pPr>
        <w:pStyle w:val="nzHeading5"/>
        <w:spacing w:before="0"/>
      </w:pPr>
      <w:r>
        <w:rPr>
          <w:rStyle w:val="CharSectno"/>
        </w:rPr>
        <w:t>5</w:t>
      </w:r>
      <w:r>
        <w:t>.</w:t>
      </w:r>
      <w:r>
        <w:tab/>
        <w:t xml:space="preserve">Transitional </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 </w:t>
      </w:r>
    </w:p>
    <w:p>
      <w:pPr>
        <w:pStyle w:val="MiscClose"/>
        <w:rPr>
          <w:snapToGrid w:val="0"/>
        </w:rPr>
      </w:pPr>
      <w:r>
        <w:rPr>
          <w:snapToGrid w:val="0"/>
        </w:rPr>
        <w:t>”.</w:t>
      </w:r>
    </w:p>
    <w:p>
      <w:pPr>
        <w:pStyle w:val="nSubsection"/>
        <w:keepNext/>
        <w:rPr>
          <w:snapToGrid w:val="0"/>
        </w:rPr>
      </w:pPr>
      <w:r>
        <w:rPr>
          <w:vertAlign w:val="superscript"/>
        </w:rPr>
        <w:t>40</w:t>
      </w:r>
      <w:r>
        <w:tab/>
      </w:r>
      <w:r>
        <w:rPr>
          <w:snapToGrid w:val="0"/>
        </w:rPr>
        <w:t xml:space="preserve">The </w:t>
      </w:r>
      <w:r>
        <w:rPr>
          <w:i/>
          <w:snapToGrid w:val="0"/>
        </w:rPr>
        <w:t>Stamp Amendment (Budget) Act 2002</w:t>
      </w:r>
      <w:r>
        <w:rPr>
          <w:snapToGrid w:val="0"/>
        </w:rPr>
        <w:t xml:space="preserve"> s. 9 reads as follows:</w:t>
      </w:r>
    </w:p>
    <w:p>
      <w:pPr>
        <w:pStyle w:val="MiscOpen"/>
        <w:spacing w:before="80"/>
        <w:rPr>
          <w:snapToGrid w:val="0"/>
        </w:rPr>
      </w:pPr>
      <w:r>
        <w:rPr>
          <w:snapToGrid w:val="0"/>
        </w:rPr>
        <w:t>“</w:t>
      </w:r>
    </w:p>
    <w:p>
      <w:pPr>
        <w:pStyle w:val="nzHeading5"/>
        <w:spacing w:before="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 xml:space="preserve">the commencement day is after 1 July 2002; </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 </w:t>
      </w:r>
    </w:p>
    <w:p>
      <w:pPr>
        <w:pStyle w:val="nzSubsection"/>
      </w:pPr>
      <w:r>
        <w:tab/>
        <w:t>(4)</w:t>
      </w:r>
      <w:r>
        <w:tab/>
        <w:t xml:space="preserve">In this Part — </w:t>
      </w:r>
    </w:p>
    <w:p>
      <w:pPr>
        <w:pStyle w:val="nzDefstart"/>
      </w:pPr>
      <w:r>
        <w:tab/>
      </w:r>
      <w:r>
        <w:rPr>
          <w:b/>
        </w:rPr>
        <w:t>“commencement day”</w:t>
      </w:r>
      <w:r>
        <w:t xml:space="preserve"> means day on which this Part comes into operation. </w:t>
      </w:r>
    </w:p>
    <w:p>
      <w:pPr>
        <w:pStyle w:val="MiscClose"/>
      </w:pPr>
      <w:r>
        <w:t>”.</w:t>
      </w:r>
    </w:p>
    <w:p>
      <w:pPr>
        <w:pStyle w:val="nSubsection"/>
        <w:keepNext/>
        <w:rPr>
          <w:snapToGrid w:val="0"/>
        </w:rPr>
      </w:pPr>
      <w:r>
        <w:rPr>
          <w:vertAlign w:val="superscript"/>
        </w:rPr>
        <w:t>41</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spacing w:before="0"/>
      </w:pPr>
      <w:r>
        <w:rPr>
          <w:rStyle w:val="CharPartNo"/>
        </w:rPr>
        <w:t>Part 4</w:t>
      </w:r>
      <w:r>
        <w:t xml:space="preserve"> — </w:t>
      </w:r>
      <w:r>
        <w:rPr>
          <w:rStyle w:val="CharPartText"/>
        </w:rPr>
        <w:t>Transitional provisions</w:t>
      </w:r>
    </w:p>
    <w:p>
      <w:pPr>
        <w:pStyle w:val="nzHeading2"/>
        <w:spacing w:before="0"/>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Subsection"/>
        <w:jc w:val="right"/>
        <w:rPr>
          <w:vertAlign w:val="superscript"/>
        </w:rPr>
      </w:pPr>
      <w:r>
        <w:rPr>
          <w:snapToGrid w:val="0"/>
        </w:rPr>
        <w:t>”.</w:t>
      </w:r>
    </w:p>
    <w:p>
      <w:pPr>
        <w:pStyle w:val="nSubsection"/>
      </w:pPr>
      <w:r>
        <w:rPr>
          <w:vertAlign w:val="superscript"/>
        </w:rPr>
        <w:t>42</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t>“</w:t>
      </w:r>
      <w:r>
        <w:rPr>
          <w:b/>
        </w:rPr>
        <w:t>FSR commencement time</w:t>
      </w:r>
      <w:r>
        <w:t>”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43</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44</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keepNext/>
      </w:pPr>
      <w:r>
        <w:rPr>
          <w:vertAlign w:val="superscript"/>
        </w:rPr>
        <w:t>45</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 xml:space="preserve">In this section —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46</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47</w:t>
      </w:r>
      <w:r>
        <w:tab/>
        <w:t xml:space="preserve">The </w:t>
      </w:r>
      <w:r>
        <w:rPr>
          <w:i/>
        </w:rPr>
        <w:t xml:space="preserve">Revenue Laws Amendment Act 2005 </w:t>
      </w:r>
      <w:r>
        <w:t>s. 30 reads as follows:</w:t>
      </w:r>
    </w:p>
    <w:p>
      <w:pPr>
        <w:pStyle w:val="MiscOpen"/>
      </w:pPr>
      <w:r>
        <w:t>“</w:t>
      </w:r>
    </w:p>
    <w:p>
      <w:pPr>
        <w:pStyle w:val="nzHeading5"/>
      </w:pPr>
      <w:bookmarkStart w:id="2218" w:name="_Toc103160669"/>
      <w:bookmarkStart w:id="2219" w:name="_Toc112652971"/>
      <w:bookmarkStart w:id="2220" w:name="_Toc112658839"/>
      <w:r>
        <w:rPr>
          <w:rStyle w:val="CharSectno"/>
        </w:rPr>
        <w:t>30</w:t>
      </w:r>
      <w:r>
        <w:t>.</w:t>
      </w:r>
      <w:r>
        <w:tab/>
        <w:t>Saving and transitional provisions</w:t>
      </w:r>
      <w:bookmarkEnd w:id="2218"/>
      <w:bookmarkEnd w:id="2219"/>
      <w:bookmarkEnd w:id="2220"/>
    </w:p>
    <w:p>
      <w:pPr>
        <w:pStyle w:val="nzSubsection"/>
      </w:pPr>
      <w:r>
        <w:tab/>
        <w:t>(1)</w:t>
      </w:r>
      <w:r>
        <w:tab/>
        <w:t xml:space="preserve">In this section —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snapToGrid w:val="0"/>
          <w:vertAlign w:val="superscript"/>
        </w:rPr>
        <w:t>48</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bookmarkStart w:id="2221" w:name="_Toc102877598"/>
      <w:bookmarkStart w:id="2222" w:name="_Toc115180712"/>
      <w:r>
        <w:rPr>
          <w:rStyle w:val="CharSectno"/>
        </w:rPr>
        <w:t>30</w:t>
      </w:r>
      <w:r>
        <w:t>.</w:t>
      </w:r>
      <w:r>
        <w:tab/>
      </w:r>
      <w:r>
        <w:rPr>
          <w:i/>
        </w:rPr>
        <w:t xml:space="preserve">Stamp Act 1921 </w:t>
      </w:r>
      <w:r>
        <w:t>amended</w:t>
      </w:r>
      <w:bookmarkEnd w:id="2221"/>
      <w:bookmarkEnd w:id="2222"/>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rPr>
          <w:snapToGrid w:val="0"/>
        </w:rPr>
      </w:pPr>
      <w:r>
        <w:rPr>
          <w:vertAlign w:val="superscript"/>
        </w:rPr>
        <w:t>49</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2223" w:name="_Toc122241799"/>
      <w:bookmarkStart w:id="2224" w:name="_Toc122331087"/>
      <w:r>
        <w:rPr>
          <w:rStyle w:val="CharSectno"/>
        </w:rPr>
        <w:t>8</w:t>
      </w:r>
      <w:r>
        <w:t>.</w:t>
      </w:r>
      <w:r>
        <w:tab/>
        <w:t>Retrospective effect of certain provisions</w:t>
      </w:r>
      <w:bookmarkEnd w:id="2223"/>
      <w:bookmarkEnd w:id="2224"/>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 xml:space="preserve">For the purposes of assessing or reassessing the liability, at a particular time during the retrospective period, of a person who was a dealer at that time —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 xml:space="preserve">In this section —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50</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pPr>
      <w:r>
        <w:rPr>
          <w:vertAlign w:val="superscript"/>
        </w:rPr>
        <w:t>51</w:t>
      </w:r>
      <w:r>
        <w:tab/>
        <w:t>Footnote no longer applicable.</w:t>
      </w:r>
    </w:p>
    <w:p>
      <w:pPr>
        <w:pStyle w:val="nSubsection"/>
        <w:rPr>
          <w:snapToGrid w:val="0"/>
        </w:rPr>
      </w:pPr>
      <w:r>
        <w:rPr>
          <w:vertAlign w:val="superscript"/>
        </w:rPr>
        <w:t>52</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2225" w:name="_Toc85339015"/>
      <w:bookmarkStart w:id="2226" w:name="_Toc111349322"/>
      <w:bookmarkStart w:id="2227" w:name="_Toc111430349"/>
      <w:bookmarkStart w:id="2228" w:name="_Toc122240664"/>
      <w:bookmarkStart w:id="2229" w:name="_Toc122341085"/>
      <w:r>
        <w:rPr>
          <w:rStyle w:val="CharSectno"/>
        </w:rPr>
        <w:t>7</w:t>
      </w:r>
      <w:r>
        <w:t>.</w:t>
      </w:r>
      <w:r>
        <w:tab/>
        <w:t>Transitional provisions</w:t>
      </w:r>
      <w:bookmarkEnd w:id="2225"/>
      <w:r>
        <w:t> — offshore risk policies</w:t>
      </w:r>
      <w:bookmarkEnd w:id="2226"/>
      <w:bookmarkEnd w:id="2227"/>
      <w:bookmarkEnd w:id="2228"/>
      <w:bookmarkEnd w:id="2229"/>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 xml:space="preserve">In this section —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 xml:space="preserve">In this section —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
      <w:pPr>
        <w:spacing w:after="40"/>
        <w:sectPr>
          <w:headerReference w:type="even" r:id="rId53"/>
          <w:headerReference w:type="default" r:id="rId54"/>
          <w:headerReference w:type="first" r:id="rId55"/>
          <w:pgSz w:w="11906" w:h="16838" w:code="9"/>
          <w:pgMar w:top="2376" w:right="2405" w:bottom="3542" w:left="2405" w:header="706" w:footer="3380" w:gutter="0"/>
          <w:cols w:space="720"/>
          <w:noEndnote/>
          <w:docGrid w:linePitch="326"/>
        </w:sectPr>
      </w:pPr>
    </w:p>
    <w:p/>
    <w:sectPr>
      <w:headerReference w:type="even" r:id="rId56"/>
      <w:headerReference w:type="default" r:id="rId5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1"/>
      <w:gridCol w:w="4922"/>
    </w:tblGrid>
    <w:tr>
      <w:trPr>
        <w:cantSplit/>
      </w:trPr>
      <w:tc>
        <w:tcPr>
          <w:tcW w:w="7263" w:type="dxa"/>
          <w:gridSpan w:val="2"/>
        </w:tcPr>
        <w:p>
          <w:pPr>
            <w:pStyle w:val="HeaderActNameLeft"/>
          </w:pPr>
          <w:fldSimple w:instr=" Styleref &quot;Name of Act/Reg&quot; ">
            <w:r>
              <w:rPr>
                <w:noProof/>
              </w:rPr>
              <w:t>Stamp Act 1921</w:t>
            </w:r>
          </w:fldSimple>
        </w:p>
      </w:tc>
    </w:tr>
    <w:tr>
      <w:tc>
        <w:tcPr>
          <w:tcW w:w="2341" w:type="dxa"/>
        </w:tcPr>
        <w:p>
          <w:pPr>
            <w:pStyle w:val="HeaderNumberLeft"/>
          </w:pPr>
        </w:p>
      </w:tc>
      <w:tc>
        <w:tcPr>
          <w:tcW w:w="4922" w:type="dxa"/>
        </w:tcPr>
        <w:p>
          <w:pPr>
            <w:pStyle w:val="HeaderTextLeft"/>
          </w:pPr>
        </w:p>
      </w:tc>
    </w:tr>
    <w:tr>
      <w:tc>
        <w:tcPr>
          <w:tcW w:w="2341" w:type="dxa"/>
        </w:tcPr>
        <w:p>
          <w:pPr>
            <w:pStyle w:val="HeaderNumberLeft"/>
          </w:pPr>
        </w:p>
      </w:tc>
      <w:tc>
        <w:tcPr>
          <w:tcW w:w="4922" w:type="dxa"/>
        </w:tcPr>
        <w:p>
          <w:pPr>
            <w:pStyle w:val="HeaderTextLeft"/>
          </w:pPr>
        </w:p>
      </w:tc>
    </w:tr>
    <w:tr>
      <w:trPr>
        <w:cantSplit/>
      </w:trPr>
      <w:tc>
        <w:tcPr>
          <w:tcW w:w="2341" w:type="dxa"/>
        </w:tcPr>
        <w:p>
          <w:pPr>
            <w:pStyle w:val="HeaderSectionRight"/>
            <w:ind w:right="17"/>
            <w:jc w:val="left"/>
          </w:pPr>
          <w:r>
            <w:fldChar w:fldCharType="begin"/>
          </w:r>
          <w:r>
            <w:instrText xml:space="preserve"> STYLEREF CharSchNo \* MERGEFORMAT </w:instrText>
          </w:r>
          <w:r>
            <w:fldChar w:fldCharType="end"/>
          </w:r>
        </w:p>
      </w:tc>
      <w:tc>
        <w:tcPr>
          <w:tcW w:w="4922"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034"/>
      <w:gridCol w:w="2229"/>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034" w:type="dxa"/>
        </w:tcPr>
        <w:p>
          <w:pPr>
            <w:pStyle w:val="HeaderTextRight"/>
          </w:pPr>
        </w:p>
      </w:tc>
      <w:tc>
        <w:tcPr>
          <w:tcW w:w="2229" w:type="dxa"/>
        </w:tcPr>
        <w:p>
          <w:pPr>
            <w:pStyle w:val="HeaderNumberRight"/>
            <w:ind w:right="17"/>
          </w:pPr>
        </w:p>
      </w:tc>
    </w:tr>
    <w:tr>
      <w:tc>
        <w:tcPr>
          <w:tcW w:w="5034" w:type="dxa"/>
        </w:tcPr>
        <w:p>
          <w:pPr>
            <w:pStyle w:val="HeaderTextRight"/>
          </w:pPr>
        </w:p>
      </w:tc>
      <w:tc>
        <w:tcPr>
          <w:tcW w:w="2229" w:type="dxa"/>
        </w:tcPr>
        <w:p>
          <w:pPr>
            <w:pStyle w:val="HeaderNumberRight"/>
            <w:ind w:right="17"/>
          </w:pPr>
        </w:p>
      </w:tc>
    </w:tr>
    <w:tr>
      <w:trPr>
        <w:cantSplit/>
      </w:trPr>
      <w:tc>
        <w:tcPr>
          <w:tcW w:w="5034"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2229"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FE36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6FE37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45A96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89A7A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7862A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48DC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1E2CD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8E292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D4232A"/>
    <w:lvl w:ilvl="0">
      <w:start w:val="1"/>
      <w:numFmt w:val="decimal"/>
      <w:pStyle w:val="ListNumber"/>
      <w:lvlText w:val="%1."/>
      <w:lvlJc w:val="left"/>
      <w:pPr>
        <w:tabs>
          <w:tab w:val="num" w:pos="360"/>
        </w:tabs>
        <w:ind w:left="360" w:hanging="360"/>
      </w:pPr>
    </w:lvl>
  </w:abstractNum>
  <w:abstractNum w:abstractNumId="9">
    <w:nsid w:val="FFFFFF89"/>
    <w:multiLevelType w:val="singleLevel"/>
    <w:tmpl w:val="F25659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5AC6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DFA43C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oleObject" Target="embeddings/oleObject11.bin"/><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footer" Target="footer7.xml"/><Relationship Id="rId47" Type="http://schemas.openxmlformats.org/officeDocument/2006/relationships/oleObject" Target="embeddings/oleObject12.bin"/><Relationship Id="rId50" Type="http://schemas.openxmlformats.org/officeDocument/2006/relationships/header" Target="header9.xml"/><Relationship Id="rId55"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image" Target="media/image10.wmf"/><Relationship Id="rId46" Type="http://schemas.openxmlformats.org/officeDocument/2006/relationships/image" Target="media/image11.wmf"/><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7.xml"/><Relationship Id="rId54"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oleObject" Target="embeddings/oleObject10.bin"/><Relationship Id="rId40" Type="http://schemas.openxmlformats.org/officeDocument/2006/relationships/header" Target="header6.xml"/><Relationship Id="rId45" Type="http://schemas.openxmlformats.org/officeDocument/2006/relationships/footer" Target="footer9.xml"/><Relationship Id="rId53" Type="http://schemas.openxmlformats.org/officeDocument/2006/relationships/header" Target="header12.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image" Target="media/image9.wmf"/><Relationship Id="rId49" Type="http://schemas.openxmlformats.org/officeDocument/2006/relationships/oleObject" Target="embeddings/oleObject13.bin"/><Relationship Id="rId57"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8.xml"/><Relationship Id="rId52"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oleObject" Target="embeddings/oleObject9.bin"/><Relationship Id="rId43" Type="http://schemas.openxmlformats.org/officeDocument/2006/relationships/footer" Target="footer8.xml"/><Relationship Id="rId48" Type="http://schemas.openxmlformats.org/officeDocument/2006/relationships/image" Target="media/image12.wmf"/><Relationship Id="rId56" Type="http://schemas.openxmlformats.org/officeDocument/2006/relationships/header" Target="header15.xml"/><Relationship Id="rId8" Type="http://schemas.openxmlformats.org/officeDocument/2006/relationships/header" Target="header1.xml"/><Relationship Id="rId51" Type="http://schemas.openxmlformats.org/officeDocument/2006/relationships/header" Target="header10.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420</Pages>
  <Words>116620</Words>
  <Characters>549283</Characters>
  <Application>Microsoft Office Word</Application>
  <DocSecurity>0</DocSecurity>
  <Lines>15693</Lines>
  <Paragraphs>7482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658421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1921 - 15-k0-02</dc:title>
  <dc:subject/>
  <dc:creator/>
  <cp:keywords/>
  <dc:description/>
  <cp:lastModifiedBy>svcMRProcess</cp:lastModifiedBy>
  <cp:revision>4</cp:revision>
  <cp:lastPrinted>2006-02-21T04:55:00Z</cp:lastPrinted>
  <dcterms:created xsi:type="dcterms:W3CDTF">2020-02-20T14:58:00Z</dcterms:created>
  <dcterms:modified xsi:type="dcterms:W3CDTF">2020-02-20T14:58:00Z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770</vt:i4>
  </property>
  <property fmtid="{D5CDD505-2E9C-101B-9397-08002B2CF9AE}" pid="6" name="AsAtDate">
    <vt:lpwstr>09 Apr 2006</vt:lpwstr>
  </property>
  <property fmtid="{D5CDD505-2E9C-101B-9397-08002B2CF9AE}" pid="7" name="Suffix">
    <vt:lpwstr>15-k0-02</vt:lpwstr>
  </property>
</Properties>
</file>