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smartTag w:uri="urn:schemas-microsoft-com:office:smarttags" w:element="State">
        <w:smartTag w:uri="urn:schemas-microsoft-com:office:smarttags" w:element="PlaceName">
          <w:r>
            <w:t>Western Australia</w:t>
          </w:r>
        </w:smartTag>
      </w:smartTag>
    </w:p>
    <w:p>
      <w:pPr>
        <w:pStyle w:val="PrincipalActReg"/>
        <w:spacing w:before="2600" w:after="0"/>
      </w:pPr>
      <w:r>
        <w:t>Family Court Act 1997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Family Court Regulations 1998</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Nam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_Toc292979977 \h </w:instrText>
      </w:r>
      <w:r>
        <w:fldChar w:fldCharType="separate"/>
      </w:r>
      <w:r>
        <w:t>2</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_Toc292979978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these regulations</w:t>
      </w:r>
      <w:r>
        <w:tab/>
      </w:r>
      <w:r>
        <w:fldChar w:fldCharType="begin"/>
      </w:r>
      <w:r>
        <w:instrText xml:space="preserve"> PAGEREF _Toc292979979 \h </w:instrText>
      </w:r>
      <w:r>
        <w:fldChar w:fldCharType="separate"/>
      </w:r>
      <w:r>
        <w:t>2</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rPr>
          <w:snapToGrid w:val="0"/>
        </w:rPr>
        <w:t>.</w:t>
      </w:r>
      <w:r>
        <w:rPr>
          <w:snapToGrid w:val="0"/>
        </w:rPr>
        <w:tab/>
        <w:t>Dispensing with compliance</w:t>
      </w:r>
      <w:r>
        <w:tab/>
      </w:r>
      <w:r>
        <w:fldChar w:fldCharType="begin"/>
      </w:r>
      <w:r>
        <w:instrText xml:space="preserve"> PAGEREF _Toc292979981 \h </w:instrText>
      </w:r>
      <w:r>
        <w:fldChar w:fldCharType="separate"/>
      </w:r>
      <w:r>
        <w:t>4</w:t>
      </w:r>
      <w:r>
        <w:fldChar w:fldCharType="end"/>
      </w:r>
    </w:p>
    <w:p>
      <w:pPr>
        <w:pStyle w:val="TOC8"/>
        <w:rPr>
          <w:sz w:val="24"/>
          <w:szCs w:val="24"/>
          <w:lang w:val="en-US"/>
        </w:rPr>
      </w:pPr>
      <w:r>
        <w:t>5</w:t>
      </w:r>
      <w:r>
        <w:rPr>
          <w:snapToGrid w:val="0"/>
        </w:rPr>
        <w:t>.</w:t>
      </w:r>
      <w:r>
        <w:rPr>
          <w:snapToGrid w:val="0"/>
        </w:rPr>
        <w:tab/>
        <w:t>Court registry</w:t>
      </w:r>
      <w:r>
        <w:tab/>
      </w:r>
      <w:r>
        <w:fldChar w:fldCharType="begin"/>
      </w:r>
      <w:r>
        <w:instrText xml:space="preserve"> PAGEREF _Toc292979982 \h </w:instrText>
      </w:r>
      <w:r>
        <w:fldChar w:fldCharType="separate"/>
      </w:r>
      <w:r>
        <w:t>4</w:t>
      </w:r>
      <w:r>
        <w:fldChar w:fldCharType="end"/>
      </w:r>
    </w:p>
    <w:p>
      <w:pPr>
        <w:pStyle w:val="TOC8"/>
        <w:rPr>
          <w:sz w:val="24"/>
          <w:szCs w:val="24"/>
          <w:lang w:val="en-US"/>
        </w:rPr>
      </w:pPr>
      <w:r>
        <w:t>6</w:t>
      </w:r>
      <w:r>
        <w:rPr>
          <w:snapToGrid w:val="0"/>
        </w:rPr>
        <w:t>.</w:t>
      </w:r>
      <w:r>
        <w:rPr>
          <w:snapToGrid w:val="0"/>
        </w:rPr>
        <w:tab/>
        <w:t>Fees of Marshal</w:t>
      </w:r>
      <w:r>
        <w:tab/>
      </w:r>
      <w:r>
        <w:fldChar w:fldCharType="begin"/>
      </w:r>
      <w:r>
        <w:instrText xml:space="preserve"> PAGEREF _Toc292979983 \h </w:instrText>
      </w:r>
      <w:r>
        <w:fldChar w:fldCharType="separate"/>
      </w:r>
      <w:r>
        <w:t>4</w:t>
      </w:r>
      <w:r>
        <w:fldChar w:fldCharType="end"/>
      </w:r>
    </w:p>
    <w:p>
      <w:pPr>
        <w:pStyle w:val="TOC8"/>
        <w:rPr>
          <w:sz w:val="24"/>
          <w:szCs w:val="24"/>
          <w:lang w:val="en-US"/>
        </w:rPr>
      </w:pPr>
      <w:r>
        <w:t>7</w:t>
      </w:r>
      <w:r>
        <w:rPr>
          <w:snapToGrid w:val="0"/>
        </w:rPr>
        <w:t>.</w:t>
      </w:r>
      <w:r>
        <w:rPr>
          <w:snapToGrid w:val="0"/>
        </w:rPr>
        <w:tab/>
        <w:t>Recording of proceedings</w:t>
      </w:r>
      <w:r>
        <w:tab/>
      </w:r>
      <w:r>
        <w:fldChar w:fldCharType="begin"/>
      </w:r>
      <w:r>
        <w:instrText xml:space="preserve"> PAGEREF _Toc292979984 \h </w:instrText>
      </w:r>
      <w:r>
        <w:fldChar w:fldCharType="separate"/>
      </w:r>
      <w:r>
        <w:t>4</w:t>
      </w:r>
      <w:r>
        <w:fldChar w:fldCharType="end"/>
      </w:r>
    </w:p>
    <w:p>
      <w:pPr>
        <w:pStyle w:val="TOC8"/>
        <w:rPr>
          <w:sz w:val="24"/>
          <w:szCs w:val="24"/>
          <w:lang w:val="en-US"/>
        </w:rPr>
      </w:pPr>
      <w:r>
        <w:t>8.</w:t>
      </w:r>
      <w:r>
        <w:tab/>
        <w:t>Family Dispute Resolution</w:t>
      </w:r>
      <w:r>
        <w:tab/>
      </w:r>
      <w:r>
        <w:fldChar w:fldCharType="begin"/>
      </w:r>
      <w:r>
        <w:instrText xml:space="preserve"> PAGEREF _Toc292979985 \h </w:instrText>
      </w:r>
      <w:r>
        <w:fldChar w:fldCharType="separate"/>
      </w:r>
      <w:r>
        <w:t>4</w:t>
      </w:r>
      <w:r>
        <w:fldChar w:fldCharType="end"/>
      </w:r>
    </w:p>
    <w:p>
      <w:pPr>
        <w:pStyle w:val="TOC8"/>
        <w:rPr>
          <w:sz w:val="24"/>
          <w:szCs w:val="24"/>
          <w:lang w:val="en-US"/>
        </w:rPr>
      </w:pPr>
      <w:r>
        <w:t>9.</w:t>
      </w:r>
      <w:r>
        <w:tab/>
        <w:t>Prescribed information about reconciliation</w:t>
      </w:r>
      <w:r>
        <w:tab/>
      </w:r>
      <w:r>
        <w:fldChar w:fldCharType="begin"/>
      </w:r>
      <w:r>
        <w:instrText xml:space="preserve"> PAGEREF _Toc292979986 \h </w:instrText>
      </w:r>
      <w:r>
        <w:fldChar w:fldCharType="separate"/>
      </w:r>
      <w:r>
        <w:t>5</w:t>
      </w:r>
      <w:r>
        <w:fldChar w:fldCharType="end"/>
      </w:r>
    </w:p>
    <w:p>
      <w:pPr>
        <w:pStyle w:val="TOC8"/>
        <w:rPr>
          <w:sz w:val="24"/>
          <w:szCs w:val="24"/>
          <w:lang w:val="en-US"/>
        </w:rPr>
      </w:pPr>
      <w:r>
        <w:t>10.</w:t>
      </w:r>
      <w:r>
        <w:tab/>
        <w:t>Matters that a family law dispute resolution practitioner is to have regard to before giving a certificate under section 66H(7)(b)</w:t>
      </w:r>
      <w:r>
        <w:tab/>
      </w:r>
      <w:r>
        <w:fldChar w:fldCharType="begin"/>
      </w:r>
      <w:r>
        <w:instrText xml:space="preserve"> PAGEREF _Toc292979987 \h </w:instrText>
      </w:r>
      <w:r>
        <w:fldChar w:fldCharType="separate"/>
      </w:r>
      <w:r>
        <w:t>5</w:t>
      </w:r>
      <w:r>
        <w:fldChar w:fldCharType="end"/>
      </w:r>
    </w:p>
    <w:p>
      <w:pPr>
        <w:pStyle w:val="TOC8"/>
        <w:rPr>
          <w:sz w:val="24"/>
          <w:szCs w:val="24"/>
          <w:lang w:val="en-US"/>
        </w:rPr>
      </w:pPr>
      <w:r>
        <w:t>11.</w:t>
      </w:r>
      <w:r>
        <w:tab/>
        <w:t>Registration of court decision</w:t>
      </w:r>
      <w:r>
        <w:tab/>
      </w:r>
      <w:r>
        <w:fldChar w:fldCharType="begin"/>
      </w:r>
      <w:r>
        <w:instrText xml:space="preserve"> PAGEREF _Toc292979988 \h </w:instrText>
      </w:r>
      <w:r>
        <w:fldChar w:fldCharType="separate"/>
      </w:r>
      <w:r>
        <w:t>5</w:t>
      </w:r>
      <w:r>
        <w:fldChar w:fldCharType="end"/>
      </w:r>
    </w:p>
    <w:p>
      <w:pPr>
        <w:pStyle w:val="TOC8"/>
        <w:rPr>
          <w:sz w:val="24"/>
          <w:szCs w:val="24"/>
          <w:lang w:val="en-US"/>
        </w:rPr>
      </w:pPr>
      <w:r>
        <w:t>12.</w:t>
      </w:r>
      <w:r>
        <w:tab/>
        <w:t>Prescribed government agencies</w:t>
      </w:r>
      <w:r>
        <w:tab/>
      </w:r>
      <w:r>
        <w:fldChar w:fldCharType="begin"/>
      </w:r>
      <w:r>
        <w:instrText xml:space="preserve"> PAGEREF _Toc292979989 \h </w:instrText>
      </w:r>
      <w:r>
        <w:fldChar w:fldCharType="separate"/>
      </w:r>
      <w:r>
        <w:t>6</w:t>
      </w:r>
      <w:r>
        <w:fldChar w:fldCharType="end"/>
      </w:r>
    </w:p>
    <w:p>
      <w:pPr>
        <w:pStyle w:val="TOC8"/>
        <w:rPr>
          <w:sz w:val="24"/>
          <w:szCs w:val="24"/>
          <w:lang w:val="en-US"/>
        </w:rPr>
      </w:pPr>
      <w:r>
        <w:t>13.</w:t>
      </w:r>
      <w:r>
        <w:tab/>
        <w:t>Third party expenses</w:t>
      </w:r>
      <w:r>
        <w:tab/>
      </w:r>
      <w:r>
        <w:fldChar w:fldCharType="begin"/>
      </w:r>
      <w:r>
        <w:instrText xml:space="preserve"> PAGEREF _Toc292979990 \h </w:instrText>
      </w:r>
      <w:r>
        <w:fldChar w:fldCharType="separate"/>
      </w:r>
      <w:r>
        <w:t>6</w:t>
      </w:r>
      <w:r>
        <w:fldChar w:fldCharType="end"/>
      </w:r>
    </w:p>
    <w:p>
      <w:pPr>
        <w:pStyle w:val="TOC8"/>
        <w:rPr>
          <w:sz w:val="24"/>
          <w:szCs w:val="24"/>
          <w:lang w:val="en-US"/>
        </w:rPr>
      </w:pPr>
      <w:r>
        <w:t>14F.</w:t>
      </w:r>
      <w:r>
        <w:tab/>
        <w:t>Prescribed benefits</w:t>
      </w:r>
      <w:r>
        <w:tab/>
      </w:r>
      <w:r>
        <w:fldChar w:fldCharType="begin"/>
      </w:r>
      <w:r>
        <w:instrText xml:space="preserve"> PAGEREF _Toc292979991 \h </w:instrText>
      </w:r>
      <w:r>
        <w:fldChar w:fldCharType="separate"/>
      </w:r>
      <w:r>
        <w:t>6</w:t>
      </w:r>
      <w:r>
        <w:fldChar w:fldCharType="end"/>
      </w:r>
    </w:p>
    <w:p>
      <w:pPr>
        <w:pStyle w:val="TOC8"/>
        <w:rPr>
          <w:sz w:val="24"/>
          <w:szCs w:val="24"/>
          <w:lang w:val="en-US"/>
        </w:rPr>
      </w:pPr>
      <w:r>
        <w:t>15</w:t>
      </w:r>
      <w:r>
        <w:rPr>
          <w:snapToGrid w:val="0"/>
        </w:rPr>
        <w:t>.</w:t>
      </w:r>
      <w:r>
        <w:rPr>
          <w:snapToGrid w:val="0"/>
        </w:rPr>
        <w:tab/>
        <w:t>Parentage testing procedures</w:t>
      </w:r>
      <w:r>
        <w:tab/>
      </w:r>
      <w:r>
        <w:fldChar w:fldCharType="begin"/>
      </w:r>
      <w:r>
        <w:instrText xml:space="preserve"> PAGEREF _Toc292979992 \h </w:instrText>
      </w:r>
      <w:r>
        <w:fldChar w:fldCharType="separate"/>
      </w:r>
      <w:r>
        <w:t>6</w:t>
      </w:r>
      <w:r>
        <w:fldChar w:fldCharType="end"/>
      </w:r>
    </w:p>
    <w:p>
      <w:pPr>
        <w:pStyle w:val="TOC8"/>
        <w:rPr>
          <w:sz w:val="24"/>
          <w:szCs w:val="24"/>
          <w:lang w:val="en-US"/>
        </w:rPr>
      </w:pPr>
      <w:r>
        <w:t>16</w:t>
      </w:r>
      <w:r>
        <w:rPr>
          <w:snapToGrid w:val="0"/>
        </w:rPr>
        <w:t>.</w:t>
      </w:r>
      <w:r>
        <w:rPr>
          <w:snapToGrid w:val="0"/>
        </w:rPr>
        <w:tab/>
        <w:t>Parentage testing reports</w:t>
      </w:r>
      <w:r>
        <w:tab/>
      </w:r>
      <w:r>
        <w:fldChar w:fldCharType="begin"/>
      </w:r>
      <w:r>
        <w:instrText xml:space="preserve"> PAGEREF _Toc292979993 \h </w:instrText>
      </w:r>
      <w:r>
        <w:fldChar w:fldCharType="separate"/>
      </w:r>
      <w:r>
        <w:t>7</w:t>
      </w:r>
      <w:r>
        <w:fldChar w:fldCharType="end"/>
      </w:r>
    </w:p>
    <w:p>
      <w:pPr>
        <w:pStyle w:val="TOC8"/>
        <w:rPr>
          <w:sz w:val="24"/>
          <w:szCs w:val="24"/>
          <w:lang w:val="en-US"/>
        </w:rPr>
      </w:pPr>
      <w:r>
        <w:t>17</w:t>
      </w:r>
      <w:r>
        <w:rPr>
          <w:snapToGrid w:val="0"/>
        </w:rPr>
        <w:t>.</w:t>
      </w:r>
      <w:r>
        <w:rPr>
          <w:snapToGrid w:val="0"/>
        </w:rPr>
        <w:tab/>
        <w:t>Registration in a court of orders etc. made by another court</w:t>
      </w:r>
      <w:r>
        <w:tab/>
      </w:r>
      <w:r>
        <w:fldChar w:fldCharType="begin"/>
      </w:r>
      <w:r>
        <w:instrText xml:space="preserve"> PAGEREF _Toc292979994 \h </w:instrText>
      </w:r>
      <w:r>
        <w:fldChar w:fldCharType="separate"/>
      </w:r>
      <w:r>
        <w:t>7</w:t>
      </w:r>
      <w:r>
        <w:fldChar w:fldCharType="end"/>
      </w:r>
    </w:p>
    <w:p>
      <w:pPr>
        <w:pStyle w:val="TOC2"/>
        <w:tabs>
          <w:tab w:val="right" w:leader="dot" w:pos="7086"/>
        </w:tabs>
        <w:rPr>
          <w:b w:val="0"/>
          <w:sz w:val="24"/>
          <w:szCs w:val="24"/>
          <w:lang w:val="en-US"/>
        </w:rPr>
      </w:pPr>
      <w:r>
        <w:t>Part 3</w:t>
      </w:r>
      <w:r>
        <w:rPr>
          <w:b w:val="0"/>
        </w:rPr>
        <w:t> </w:t>
      </w:r>
      <w:r>
        <w:t>—</w:t>
      </w:r>
      <w:r>
        <w:rPr>
          <w:b w:val="0"/>
        </w:rPr>
        <w:t> </w:t>
      </w:r>
      <w:r>
        <w:t>Court fees</w:t>
      </w:r>
    </w:p>
    <w:p>
      <w:pPr>
        <w:pStyle w:val="TOC4"/>
        <w:tabs>
          <w:tab w:val="right" w:leader="dot" w:pos="7086"/>
        </w:tabs>
        <w:rPr>
          <w:b w:val="0"/>
          <w:sz w:val="24"/>
          <w:szCs w:val="24"/>
          <w:lang w:val="en-US"/>
        </w:rPr>
      </w:pPr>
      <w:r>
        <w:t>Division 1 — Preliminary</w:t>
      </w:r>
    </w:p>
    <w:p>
      <w:pPr>
        <w:pStyle w:val="TOC8"/>
        <w:rPr>
          <w:sz w:val="24"/>
          <w:szCs w:val="24"/>
          <w:lang w:val="en-US"/>
        </w:rPr>
      </w:pPr>
      <w:r>
        <w:t>17A.</w:t>
      </w:r>
      <w:r>
        <w:tab/>
        <w:t>Terms used</w:t>
      </w:r>
      <w:r>
        <w:tab/>
      </w:r>
      <w:r>
        <w:fldChar w:fldCharType="begin"/>
      </w:r>
      <w:r>
        <w:instrText xml:space="preserve"> PAGEREF _Toc292979997 \h </w:instrText>
      </w:r>
      <w:r>
        <w:fldChar w:fldCharType="separate"/>
      </w:r>
      <w:r>
        <w:t>8</w:t>
      </w:r>
      <w:r>
        <w:fldChar w:fldCharType="end"/>
      </w:r>
    </w:p>
    <w:p>
      <w:pPr>
        <w:pStyle w:val="TOC8"/>
        <w:rPr>
          <w:sz w:val="24"/>
          <w:szCs w:val="24"/>
          <w:lang w:val="en-US"/>
        </w:rPr>
      </w:pPr>
      <w:r>
        <w:t>17B.</w:t>
      </w:r>
      <w:r>
        <w:tab/>
        <w:t>Authorised officers</w:t>
      </w:r>
      <w:r>
        <w:tab/>
      </w:r>
      <w:r>
        <w:fldChar w:fldCharType="begin"/>
      </w:r>
      <w:r>
        <w:instrText xml:space="preserve"> PAGEREF _Toc292979998 \h </w:instrText>
      </w:r>
      <w:r>
        <w:fldChar w:fldCharType="separate"/>
      </w:r>
      <w:r>
        <w:t>8</w:t>
      </w:r>
      <w:r>
        <w:fldChar w:fldCharType="end"/>
      </w:r>
    </w:p>
    <w:p>
      <w:pPr>
        <w:pStyle w:val="TOC4"/>
        <w:tabs>
          <w:tab w:val="right" w:leader="dot" w:pos="7086"/>
        </w:tabs>
        <w:rPr>
          <w:b w:val="0"/>
          <w:sz w:val="24"/>
          <w:szCs w:val="24"/>
          <w:lang w:val="en-US"/>
        </w:rPr>
      </w:pPr>
      <w:r>
        <w:t>Division 2 — Court fees payable</w:t>
      </w:r>
    </w:p>
    <w:p>
      <w:pPr>
        <w:pStyle w:val="TOC8"/>
        <w:rPr>
          <w:sz w:val="24"/>
          <w:szCs w:val="24"/>
          <w:lang w:val="en-US"/>
        </w:rPr>
      </w:pPr>
      <w:r>
        <w:t>18</w:t>
      </w:r>
      <w:r>
        <w:rPr>
          <w:snapToGrid w:val="0"/>
        </w:rPr>
        <w:t>.</w:t>
      </w:r>
      <w:r>
        <w:rPr>
          <w:snapToGrid w:val="0"/>
        </w:rPr>
        <w:tab/>
        <w:t>Court fees payable in respect of proceedings</w:t>
      </w:r>
      <w:r>
        <w:tab/>
      </w:r>
      <w:r>
        <w:fldChar w:fldCharType="begin"/>
      </w:r>
      <w:r>
        <w:instrText xml:space="preserve"> PAGEREF _Toc292980000 \h </w:instrText>
      </w:r>
      <w:r>
        <w:fldChar w:fldCharType="separate"/>
      </w:r>
      <w:r>
        <w:t>8</w:t>
      </w:r>
      <w:r>
        <w:fldChar w:fldCharType="end"/>
      </w:r>
    </w:p>
    <w:p>
      <w:pPr>
        <w:pStyle w:val="TOC8"/>
        <w:rPr>
          <w:sz w:val="24"/>
          <w:szCs w:val="24"/>
          <w:lang w:val="en-US"/>
        </w:rPr>
      </w:pPr>
      <w:r>
        <w:t>18A.</w:t>
      </w:r>
      <w:r>
        <w:tab/>
        <w:t>Reduction of fees — general</w:t>
      </w:r>
      <w:r>
        <w:tab/>
      </w:r>
      <w:r>
        <w:fldChar w:fldCharType="begin"/>
      </w:r>
      <w:r>
        <w:instrText xml:space="preserve"> PAGEREF _Toc292980001 \h </w:instrText>
      </w:r>
      <w:r>
        <w:fldChar w:fldCharType="separate"/>
      </w:r>
      <w:r>
        <w:t>11</w:t>
      </w:r>
      <w:r>
        <w:fldChar w:fldCharType="end"/>
      </w:r>
    </w:p>
    <w:p>
      <w:pPr>
        <w:pStyle w:val="TOC8"/>
        <w:rPr>
          <w:sz w:val="24"/>
          <w:szCs w:val="24"/>
          <w:lang w:val="en-US"/>
        </w:rPr>
      </w:pPr>
      <w:r>
        <w:t>18B.</w:t>
      </w:r>
      <w:r>
        <w:tab/>
        <w:t>Reduction of fees — hardship</w:t>
      </w:r>
      <w:r>
        <w:tab/>
      </w:r>
      <w:r>
        <w:fldChar w:fldCharType="begin"/>
      </w:r>
      <w:r>
        <w:instrText xml:space="preserve"> PAGEREF _Toc292980002 \h </w:instrText>
      </w:r>
      <w:r>
        <w:fldChar w:fldCharType="separate"/>
      </w:r>
      <w:r>
        <w:t>13</w:t>
      </w:r>
      <w:r>
        <w:fldChar w:fldCharType="end"/>
      </w:r>
    </w:p>
    <w:p>
      <w:pPr>
        <w:pStyle w:val="TOC8"/>
        <w:rPr>
          <w:sz w:val="24"/>
          <w:szCs w:val="24"/>
          <w:lang w:val="en-US"/>
        </w:rPr>
      </w:pPr>
      <w:r>
        <w:t>18C.</w:t>
      </w:r>
      <w:r>
        <w:tab/>
        <w:t>Change in circumstances</w:t>
      </w:r>
      <w:r>
        <w:tab/>
      </w:r>
      <w:r>
        <w:fldChar w:fldCharType="begin"/>
      </w:r>
      <w:r>
        <w:instrText xml:space="preserve"> PAGEREF _Toc292980003 \h </w:instrText>
      </w:r>
      <w:r>
        <w:fldChar w:fldCharType="separate"/>
      </w:r>
      <w:r>
        <w:t>14</w:t>
      </w:r>
      <w:r>
        <w:fldChar w:fldCharType="end"/>
      </w:r>
    </w:p>
    <w:p>
      <w:pPr>
        <w:pStyle w:val="TOC8"/>
        <w:rPr>
          <w:sz w:val="24"/>
          <w:szCs w:val="24"/>
          <w:lang w:val="en-US"/>
        </w:rPr>
      </w:pPr>
      <w:r>
        <w:t>18D.</w:t>
      </w:r>
      <w:r>
        <w:tab/>
        <w:t>Deferral of fees</w:t>
      </w:r>
      <w:r>
        <w:tab/>
      </w:r>
      <w:r>
        <w:fldChar w:fldCharType="begin"/>
      </w:r>
      <w:r>
        <w:instrText xml:space="preserve"> PAGEREF _Toc292980004 \h </w:instrText>
      </w:r>
      <w:r>
        <w:fldChar w:fldCharType="separate"/>
      </w:r>
      <w:r>
        <w:t>14</w:t>
      </w:r>
      <w:r>
        <w:fldChar w:fldCharType="end"/>
      </w:r>
    </w:p>
    <w:p>
      <w:pPr>
        <w:pStyle w:val="TOC4"/>
        <w:tabs>
          <w:tab w:val="right" w:leader="dot" w:pos="7086"/>
        </w:tabs>
        <w:rPr>
          <w:b w:val="0"/>
          <w:sz w:val="24"/>
          <w:szCs w:val="24"/>
          <w:lang w:val="en-US"/>
        </w:rPr>
      </w:pPr>
      <w:r>
        <w:t>Division 3 — Automatic variation of fees</w:t>
      </w:r>
    </w:p>
    <w:p>
      <w:pPr>
        <w:pStyle w:val="TOC8"/>
        <w:rPr>
          <w:sz w:val="24"/>
          <w:szCs w:val="24"/>
          <w:lang w:val="en-US"/>
        </w:rPr>
      </w:pPr>
      <w:r>
        <w:t>19.</w:t>
      </w:r>
      <w:r>
        <w:tab/>
        <w:t>Biennial increases</w:t>
      </w:r>
      <w:r>
        <w:tab/>
      </w:r>
      <w:r>
        <w:fldChar w:fldCharType="begin"/>
      </w:r>
      <w:r>
        <w:instrText xml:space="preserve"> PAGEREF _Toc292980006 \h </w:instrText>
      </w:r>
      <w:r>
        <w:fldChar w:fldCharType="separate"/>
      </w:r>
      <w:r>
        <w:t>15</w:t>
      </w:r>
      <w:r>
        <w:fldChar w:fldCharType="end"/>
      </w:r>
    </w:p>
    <w:p>
      <w:pPr>
        <w:pStyle w:val="TOC8"/>
        <w:rPr>
          <w:sz w:val="24"/>
          <w:szCs w:val="24"/>
          <w:lang w:val="en-US"/>
        </w:rPr>
      </w:pPr>
      <w:r>
        <w:t>20</w:t>
      </w:r>
      <w:r>
        <w:rPr>
          <w:snapToGrid w:val="0"/>
        </w:rPr>
        <w:t>.</w:t>
      </w:r>
      <w:r>
        <w:rPr>
          <w:snapToGrid w:val="0"/>
        </w:rPr>
        <w:tab/>
        <w:t>Calculation of increase</w:t>
      </w:r>
      <w:r>
        <w:tab/>
      </w:r>
      <w:r>
        <w:fldChar w:fldCharType="begin"/>
      </w:r>
      <w:r>
        <w:instrText xml:space="preserve"> PAGEREF _Toc292980007 \h </w:instrText>
      </w:r>
      <w:r>
        <w:fldChar w:fldCharType="separate"/>
      </w:r>
      <w:r>
        <w:t>15</w:t>
      </w:r>
      <w:r>
        <w:fldChar w:fldCharType="end"/>
      </w:r>
    </w:p>
    <w:p>
      <w:pPr>
        <w:pStyle w:val="TOC2"/>
        <w:tabs>
          <w:tab w:val="right" w:leader="dot" w:pos="7086"/>
        </w:tabs>
        <w:rPr>
          <w:b w:val="0"/>
          <w:sz w:val="24"/>
          <w:szCs w:val="24"/>
          <w:lang w:val="en-US"/>
        </w:rPr>
      </w:pPr>
      <w:r>
        <w:t>Part 4 — Review</w:t>
      </w:r>
    </w:p>
    <w:p>
      <w:pPr>
        <w:pStyle w:val="TOC8"/>
        <w:rPr>
          <w:sz w:val="24"/>
          <w:szCs w:val="24"/>
          <w:lang w:val="en-US"/>
        </w:rPr>
      </w:pPr>
      <w:r>
        <w:t>21.</w:t>
      </w:r>
      <w:r>
        <w:tab/>
        <w:t>Review of decisions under these regulations</w:t>
      </w:r>
      <w:r>
        <w:tab/>
      </w:r>
      <w:r>
        <w:fldChar w:fldCharType="begin"/>
      </w:r>
      <w:r>
        <w:instrText xml:space="preserve"> PAGEREF _Toc292980009 \h </w:instrText>
      </w:r>
      <w:r>
        <w:fldChar w:fldCharType="separate"/>
      </w:r>
      <w:r>
        <w:t>17</w:t>
      </w:r>
      <w:r>
        <w:fldChar w:fldCharType="end"/>
      </w:r>
    </w:p>
    <w:p>
      <w:pPr>
        <w:pStyle w:val="TOC2"/>
        <w:tabs>
          <w:tab w:val="right" w:leader="dot" w:pos="7086"/>
        </w:tabs>
        <w:rPr>
          <w:b w:val="0"/>
          <w:sz w:val="24"/>
          <w:szCs w:val="24"/>
          <w:lang w:val="en-US"/>
        </w:rPr>
      </w:pPr>
      <w:r>
        <w:t>Part 5 — Transitional provisions</w:t>
      </w:r>
    </w:p>
    <w:p>
      <w:pPr>
        <w:pStyle w:val="TOC8"/>
        <w:rPr>
          <w:sz w:val="24"/>
          <w:szCs w:val="24"/>
          <w:lang w:val="en-US"/>
        </w:rPr>
      </w:pPr>
      <w:r>
        <w:t>22.</w:t>
      </w:r>
      <w:r>
        <w:tab/>
        <w:t xml:space="preserve">Transitional provisions relating to the </w:t>
      </w:r>
      <w:r>
        <w:rPr>
          <w:i/>
        </w:rPr>
        <w:t>Family Court Amendment Regulations 2011</w:t>
      </w:r>
      <w:r>
        <w:tab/>
      </w:r>
      <w:r>
        <w:fldChar w:fldCharType="begin"/>
      </w:r>
      <w:r>
        <w:instrText xml:space="preserve"> PAGEREF _Toc292980011 \h </w:instrText>
      </w:r>
      <w:r>
        <w:fldChar w:fldCharType="separate"/>
      </w:r>
      <w:r>
        <w:t>18</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_Toc292980014 \h </w:instrText>
      </w:r>
      <w:r>
        <w:fldChar w:fldCharType="separate"/>
      </w:r>
      <w:r>
        <w:t>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Name">
          <w:r>
            <w:t>Western Australia</w:t>
          </w:r>
        </w:smartTag>
      </w:smartTag>
    </w:p>
    <w:p>
      <w:pPr>
        <w:pStyle w:val="PrincipalActReg"/>
      </w:pPr>
      <w:r>
        <w:t>Family Court Act 1997</w:t>
      </w:r>
    </w:p>
    <w:p>
      <w:pPr>
        <w:pStyle w:val="NameofActReg"/>
      </w:pPr>
      <w:r>
        <w:t>Family Court Regulations 1998</w:t>
      </w:r>
    </w:p>
    <w:p>
      <w:pPr>
        <w:pStyle w:val="Heading2"/>
      </w:pPr>
      <w:bookmarkStart w:id="1" w:name="_Toc292974113"/>
      <w:bookmarkStart w:id="2" w:name="_Toc292979976"/>
      <w:bookmarkStart w:id="3" w:name="_Toc429277116"/>
      <w:bookmarkStart w:id="4" w:name="_Toc26254723"/>
      <w:bookmarkStart w:id="5" w:name="_Toc26330918"/>
      <w:r>
        <w:rPr>
          <w:rStyle w:val="CharPartNo"/>
        </w:rPr>
        <w:t>Part 1</w:t>
      </w:r>
      <w:r>
        <w:rPr>
          <w:rStyle w:val="CharDivNo"/>
        </w:rPr>
        <w:t> </w:t>
      </w:r>
      <w:r>
        <w:t>—</w:t>
      </w:r>
      <w:r>
        <w:rPr>
          <w:rStyle w:val="CharDivText"/>
        </w:rPr>
        <w:t> </w:t>
      </w:r>
      <w:r>
        <w:rPr>
          <w:rStyle w:val="CharPartText"/>
        </w:rPr>
        <w:t>Preliminary</w:t>
      </w:r>
      <w:bookmarkEnd w:id="1"/>
      <w:bookmarkEnd w:id="2"/>
    </w:p>
    <w:p>
      <w:pPr>
        <w:pStyle w:val="Footnoteheading"/>
      </w:pPr>
      <w:r>
        <w:tab/>
        <w:t>[Heading inserted in Gazette 13 May 2011 p. 1738.]</w:t>
      </w:r>
    </w:p>
    <w:p>
      <w:pPr>
        <w:pStyle w:val="Heading5"/>
      </w:pPr>
      <w:bookmarkStart w:id="6" w:name="_Toc292979977"/>
      <w:r>
        <w:rPr>
          <w:rStyle w:val="CharSectno"/>
        </w:rPr>
        <w:t>1</w:t>
      </w:r>
      <w:r>
        <w:t>.</w:t>
      </w:r>
      <w:r>
        <w:tab/>
        <w:t>Citation</w:t>
      </w:r>
      <w:bookmarkEnd w:id="3"/>
      <w:bookmarkEnd w:id="4"/>
      <w:bookmarkEnd w:id="5"/>
      <w:bookmarkEnd w:id="6"/>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7" w:name="_Toc429277117"/>
      <w:bookmarkStart w:id="8" w:name="_Toc26254724"/>
      <w:bookmarkStart w:id="9" w:name="_Toc26330919"/>
      <w:bookmarkStart w:id="10" w:name="_Toc292979978"/>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bookmarkStart w:id="11" w:name="Start_Cursor"/>
      <w:bookmarkEnd w:id="11"/>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2" w:name="_Toc429277118"/>
      <w:bookmarkStart w:id="13" w:name="_Toc26254725"/>
      <w:bookmarkStart w:id="14" w:name="_Toc26330920"/>
      <w:bookmarkStart w:id="15" w:name="_Toc292979979"/>
      <w:r>
        <w:rPr>
          <w:rStyle w:val="CharSectno"/>
        </w:rPr>
        <w:t>3</w:t>
      </w:r>
      <w:r>
        <w:rPr>
          <w:snapToGrid w:val="0"/>
        </w:rPr>
        <w:t>.</w:t>
      </w:r>
      <w:r>
        <w:rPr>
          <w:snapToGrid w:val="0"/>
        </w:rPr>
        <w:tab/>
      </w:r>
      <w:bookmarkEnd w:id="12"/>
      <w:bookmarkEnd w:id="13"/>
      <w:bookmarkEnd w:id="14"/>
      <w:r>
        <w:rPr>
          <w:snapToGrid w:val="0"/>
        </w:rPr>
        <w:t>Terms used in these regulations</w:t>
      </w:r>
      <w:bookmarkEnd w:id="1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means a person designated as an authorised officer under regulation 17B;</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w:t>
      </w:r>
    </w:p>
    <w:p>
      <w:pPr>
        <w:pStyle w:val="Indenta"/>
        <w:rPr>
          <w:snapToGrid w:val="0"/>
        </w:rPr>
      </w:pPr>
      <w:r>
        <w:rPr>
          <w:snapToGrid w:val="0"/>
        </w:rPr>
        <w:tab/>
        <w:t>(c)</w:t>
      </w:r>
      <w:r>
        <w:rPr>
          <w:snapToGrid w:val="0"/>
        </w:rPr>
        <w:tab/>
        <w:t>to a Registry of the Family Court is to be treated as a reference to the registry of the Family Court of Western Australia;</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w:t>
      </w:r>
    </w:p>
    <w:p>
      <w:pPr>
        <w:pStyle w:val="Heading2"/>
        <w:rPr>
          <w:snapToGrid/>
        </w:rPr>
      </w:pPr>
      <w:bookmarkStart w:id="16" w:name="_Toc292974117"/>
      <w:bookmarkStart w:id="17" w:name="_Toc292979980"/>
      <w:bookmarkStart w:id="18" w:name="_Toc429277119"/>
      <w:bookmarkStart w:id="19" w:name="_Toc26254726"/>
      <w:bookmarkStart w:id="20" w:name="_Toc26330921"/>
      <w:r>
        <w:rPr>
          <w:rStyle w:val="CharPartNo"/>
        </w:rPr>
        <w:t>Part 2</w:t>
      </w:r>
      <w:r>
        <w:rPr>
          <w:rStyle w:val="CharDivNo"/>
        </w:rPr>
        <w:t> </w:t>
      </w:r>
      <w:r>
        <w:t>—</w:t>
      </w:r>
      <w:r>
        <w:rPr>
          <w:rStyle w:val="CharDivText"/>
        </w:rPr>
        <w:t> </w:t>
      </w:r>
      <w:r>
        <w:rPr>
          <w:rStyle w:val="CharPartText"/>
        </w:rPr>
        <w:t>General</w:t>
      </w:r>
      <w:bookmarkEnd w:id="16"/>
      <w:bookmarkEnd w:id="17"/>
    </w:p>
    <w:p>
      <w:pPr>
        <w:pStyle w:val="Footnoteheading"/>
      </w:pPr>
      <w:r>
        <w:tab/>
        <w:t>[Heading inserted in Gazette 13 May 2011 p. 1738.]</w:t>
      </w:r>
    </w:p>
    <w:p>
      <w:pPr>
        <w:pStyle w:val="Heading5"/>
        <w:rPr>
          <w:snapToGrid w:val="0"/>
        </w:rPr>
      </w:pPr>
      <w:bookmarkStart w:id="21" w:name="_Toc292979981"/>
      <w:r>
        <w:rPr>
          <w:rStyle w:val="CharSectno"/>
        </w:rPr>
        <w:t>4</w:t>
      </w:r>
      <w:r>
        <w:rPr>
          <w:snapToGrid w:val="0"/>
        </w:rPr>
        <w:t>.</w:t>
      </w:r>
      <w:r>
        <w:rPr>
          <w:snapToGrid w:val="0"/>
        </w:rPr>
        <w:tab/>
        <w:t>Dispensing with compliance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2" w:name="_Toc429277120"/>
      <w:bookmarkStart w:id="23" w:name="_Toc26254727"/>
      <w:bookmarkStart w:id="24" w:name="_Toc26330922"/>
      <w:bookmarkStart w:id="25" w:name="_Toc292979982"/>
      <w:r>
        <w:rPr>
          <w:rStyle w:val="CharSectno"/>
        </w:rPr>
        <w:t>5</w:t>
      </w:r>
      <w:r>
        <w:rPr>
          <w:snapToGrid w:val="0"/>
        </w:rPr>
        <w:t>.</w:t>
      </w:r>
      <w:r>
        <w:rPr>
          <w:snapToGrid w:val="0"/>
        </w:rPr>
        <w:tab/>
        <w:t>Court registry</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City">
        <w:smartTag w:uri="urn:schemas-microsoft-com:office:smarttags" w:element="PlaceName">
          <w:r>
            <w:rPr>
              <w:snapToGrid w:val="0"/>
            </w:rPr>
            <w:t>Perth</w:t>
          </w:r>
        </w:smartTag>
      </w:smartTag>
      <w:r>
        <w:rPr>
          <w:snapToGrid w:val="0"/>
        </w:rPr>
        <w:t>.</w:t>
      </w:r>
    </w:p>
    <w:p>
      <w:pPr>
        <w:pStyle w:val="Heading5"/>
        <w:rPr>
          <w:snapToGrid w:val="0"/>
        </w:rPr>
      </w:pPr>
      <w:bookmarkStart w:id="26" w:name="_Toc429277121"/>
      <w:bookmarkStart w:id="27" w:name="_Toc26254728"/>
      <w:bookmarkStart w:id="28" w:name="_Toc26330923"/>
      <w:bookmarkStart w:id="29" w:name="_Toc292979983"/>
      <w:r>
        <w:rPr>
          <w:rStyle w:val="CharSectno"/>
        </w:rPr>
        <w:t>6</w:t>
      </w:r>
      <w:r>
        <w:rPr>
          <w:snapToGrid w:val="0"/>
        </w:rPr>
        <w:t>.</w:t>
      </w:r>
      <w:r>
        <w:rPr>
          <w:snapToGrid w:val="0"/>
        </w:rPr>
        <w:tab/>
        <w:t>Fees of Marshal</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fees payable to the Marshal are to be in accordance with Part III of the Fifth Schedule to the </w:t>
      </w:r>
      <w:r>
        <w:rPr>
          <w:i/>
          <w:snapToGrid w:val="0"/>
        </w:rPr>
        <w:t>Rules of the Supreme Court 1971</w:t>
      </w:r>
      <w:r>
        <w:rPr>
          <w:snapToGrid w:val="0"/>
        </w:rPr>
        <w:t>.</w:t>
      </w:r>
    </w:p>
    <w:p>
      <w:pPr>
        <w:pStyle w:val="Heading5"/>
        <w:rPr>
          <w:snapToGrid w:val="0"/>
        </w:rPr>
      </w:pPr>
      <w:bookmarkStart w:id="30" w:name="_Toc429277122"/>
      <w:bookmarkStart w:id="31" w:name="_Toc26254729"/>
      <w:bookmarkStart w:id="32" w:name="_Toc26330924"/>
      <w:bookmarkStart w:id="33" w:name="_Toc292979984"/>
      <w:r>
        <w:rPr>
          <w:rStyle w:val="CharSectno"/>
        </w:rPr>
        <w:t>7</w:t>
      </w:r>
      <w:r>
        <w:rPr>
          <w:snapToGrid w:val="0"/>
        </w:rPr>
        <w:t>.</w:t>
      </w:r>
      <w:r>
        <w:rPr>
          <w:snapToGrid w:val="0"/>
        </w:rPr>
        <w:tab/>
        <w:t>Recording of proceedings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bookmarkStart w:id="34" w:name="_Toc26254743"/>
      <w:bookmarkStart w:id="35" w:name="_Toc26330938"/>
      <w:bookmarkStart w:id="36" w:name="_Toc429277130"/>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37" w:name="_Toc292979985"/>
      <w:r>
        <w:rPr>
          <w:rStyle w:val="CharSectno"/>
        </w:rPr>
        <w:t>8</w:t>
      </w:r>
      <w:r>
        <w:t>.</w:t>
      </w:r>
      <w:r>
        <w:tab/>
        <w:t>Family Dispute Resolution</w:t>
      </w:r>
      <w:bookmarkEnd w:id="37"/>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38" w:name="_Toc292979986"/>
      <w:r>
        <w:rPr>
          <w:rStyle w:val="CharSectno"/>
        </w:rPr>
        <w:t>9</w:t>
      </w:r>
      <w:r>
        <w:t>.</w:t>
      </w:r>
      <w:r>
        <w:tab/>
        <w:t>Prescribed information about reconciliation</w:t>
      </w:r>
      <w:bookmarkEnd w:id="38"/>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39" w:name="_Toc292979987"/>
      <w:r>
        <w:rPr>
          <w:rStyle w:val="CharSectno"/>
        </w:rPr>
        <w:t>10</w:t>
      </w:r>
      <w:r>
        <w:t>.</w:t>
      </w:r>
      <w:r>
        <w:tab/>
        <w:t>Matters that a family law dispute resolution practitioner is to have regard to before giving a certificate under section 66H(7)(b)</w:t>
      </w:r>
      <w:bookmarkEnd w:id="39"/>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40" w:name="_Toc292979988"/>
      <w:r>
        <w:rPr>
          <w:rStyle w:val="CharSectno"/>
        </w:rPr>
        <w:t>11</w:t>
      </w:r>
      <w:r>
        <w:t>.</w:t>
      </w:r>
      <w:r>
        <w:tab/>
        <w:t>Registration of court decision</w:t>
      </w:r>
      <w:bookmarkEnd w:id="40"/>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41" w:name="_Toc292979989"/>
      <w:r>
        <w:rPr>
          <w:rStyle w:val="CharSectno"/>
        </w:rPr>
        <w:t>12</w:t>
      </w:r>
      <w:r>
        <w:t>.</w:t>
      </w:r>
      <w:r>
        <w:tab/>
        <w:t>Prescribed government agencies</w:t>
      </w:r>
      <w:bookmarkEnd w:id="41"/>
    </w:p>
    <w:p>
      <w:pPr>
        <w:pStyle w:val="Subsection"/>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State">
        <w:smartTag w:uri="urn:schemas-microsoft-com:office:smarttags" w:element="PlaceName">
          <w:r>
            <w:t>Western Australia</w:t>
          </w:r>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42" w:name="_Toc292979990"/>
      <w:r>
        <w:rPr>
          <w:rStyle w:val="CharSectno"/>
        </w:rPr>
        <w:t>13</w:t>
      </w:r>
      <w:r>
        <w:t>.</w:t>
      </w:r>
      <w:r>
        <w:tab/>
        <w:t>Third party expenses</w:t>
      </w:r>
      <w:bookmarkEnd w:id="42"/>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43" w:name="_Toc292979991"/>
      <w:r>
        <w:rPr>
          <w:rStyle w:val="CharSectno"/>
        </w:rPr>
        <w:t>14F</w:t>
      </w:r>
      <w:r>
        <w:t>.</w:t>
      </w:r>
      <w:r>
        <w:tab/>
        <w:t>Prescribed benefits</w:t>
      </w:r>
      <w:bookmarkEnd w:id="34"/>
      <w:bookmarkEnd w:id="35"/>
      <w:bookmarkEnd w:id="43"/>
    </w:p>
    <w:p>
      <w:pPr>
        <w:pStyle w:val="Subsection"/>
      </w:pPr>
      <w:r>
        <w:tab/>
      </w:r>
      <w:r>
        <w:tab/>
        <w:t>Family Law Regulation 12A is adopted and applies for the purposes of the definition of “income tested pension, allowance or benefit” in section 205T.</w:t>
      </w:r>
    </w:p>
    <w:p>
      <w:pPr>
        <w:pStyle w:val="Footnotesection"/>
      </w:pPr>
      <w:r>
        <w:tab/>
        <w:t>[Regulation 14F inserted in Gazette 29 Nov 2002 p. 5665.]</w:t>
      </w:r>
    </w:p>
    <w:p>
      <w:pPr>
        <w:pStyle w:val="Heading5"/>
        <w:rPr>
          <w:snapToGrid w:val="0"/>
        </w:rPr>
      </w:pPr>
      <w:bookmarkStart w:id="44" w:name="_Toc26254744"/>
      <w:bookmarkStart w:id="45" w:name="_Toc26330939"/>
      <w:bookmarkStart w:id="46" w:name="_Toc292979992"/>
      <w:r>
        <w:rPr>
          <w:rStyle w:val="CharSectno"/>
        </w:rPr>
        <w:t>15</w:t>
      </w:r>
      <w:r>
        <w:rPr>
          <w:snapToGrid w:val="0"/>
        </w:rPr>
        <w:t>.</w:t>
      </w:r>
      <w:r>
        <w:rPr>
          <w:snapToGrid w:val="0"/>
        </w:rPr>
        <w:tab/>
        <w:t>Parentage testing procedures</w:t>
      </w:r>
      <w:bookmarkEnd w:id="36"/>
      <w:bookmarkEnd w:id="44"/>
      <w:bookmarkEnd w:id="45"/>
      <w:bookmarkEnd w:id="46"/>
      <w:r>
        <w:rPr>
          <w:snapToGrid w:val="0"/>
        </w:rPr>
        <w:t xml:space="preserve"> </w:t>
      </w:r>
    </w:p>
    <w:p>
      <w:pPr>
        <w:pStyle w:val="Subsection"/>
        <w:rPr>
          <w:snapToGrid w:val="0"/>
        </w:rPr>
      </w:pPr>
      <w:r>
        <w:rPr>
          <w:snapToGrid w:val="0"/>
        </w:rPr>
        <w:tab/>
        <w:t>(1)</w:t>
      </w:r>
      <w:r>
        <w:rPr>
          <w:snapToGrid w:val="0"/>
        </w:rPr>
        <w:tab/>
        <w:t>Family Law Regulation 21C is adopted and applies for the purposes of the definition of “parentage testing procedure”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7" w:name="_Toc429277131"/>
      <w:bookmarkStart w:id="48" w:name="_Toc26254745"/>
      <w:bookmarkStart w:id="49" w:name="_Toc26330940"/>
      <w:bookmarkStart w:id="50" w:name="_Toc292979993"/>
      <w:r>
        <w:rPr>
          <w:rStyle w:val="CharSectno"/>
        </w:rPr>
        <w:t>16</w:t>
      </w:r>
      <w:r>
        <w:rPr>
          <w:snapToGrid w:val="0"/>
        </w:rPr>
        <w:t>.</w:t>
      </w:r>
      <w:r>
        <w:rPr>
          <w:snapToGrid w:val="0"/>
        </w:rPr>
        <w:tab/>
        <w:t>Parentage testing reports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51" w:name="_Toc429277132"/>
      <w:bookmarkStart w:id="52" w:name="_Toc26254746"/>
      <w:bookmarkStart w:id="53" w:name="_Toc26330941"/>
      <w:bookmarkStart w:id="54" w:name="_Toc292979994"/>
      <w:r>
        <w:rPr>
          <w:rStyle w:val="CharSectno"/>
        </w:rPr>
        <w:t>17</w:t>
      </w:r>
      <w:r>
        <w:rPr>
          <w:snapToGrid w:val="0"/>
        </w:rPr>
        <w:t>.</w:t>
      </w:r>
      <w:r>
        <w:rPr>
          <w:snapToGrid w:val="0"/>
        </w:rPr>
        <w:tab/>
        <w:t>Registration in a court of orders etc. made by another court</w:t>
      </w:r>
      <w:bookmarkEnd w:id="51"/>
      <w:bookmarkEnd w:id="52"/>
      <w:bookmarkEnd w:id="53"/>
      <w:bookmarkEnd w:id="54"/>
      <w:r>
        <w:rPr>
          <w:snapToGrid w:val="0"/>
        </w:rPr>
        <w:t xml:space="preserve"> </w:t>
      </w:r>
    </w:p>
    <w:p>
      <w:pPr>
        <w:pStyle w:val="Subsection"/>
      </w:pPr>
      <w:r>
        <w:tab/>
        <w:t>(1)</w:t>
      </w:r>
      <w:r>
        <w:tab/>
        <w:t>An order under the Act referred to in section 223 in paragraph (f) of the definition of “order under this Act”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bookmarkStart w:id="55" w:name="_Toc429277133"/>
      <w:r>
        <w:tab/>
        <w:t>[Regulation 17 amended in Gazette 29 Nov 2002 p. 5665; 14 Jul 2006 p. 2562.]</w:t>
      </w:r>
    </w:p>
    <w:p>
      <w:pPr>
        <w:pStyle w:val="Heading2"/>
        <w:rPr>
          <w:snapToGrid/>
        </w:rPr>
      </w:pPr>
      <w:bookmarkStart w:id="56" w:name="_Toc292974132"/>
      <w:bookmarkStart w:id="57" w:name="_Toc292979995"/>
      <w:bookmarkStart w:id="58" w:name="_Toc26254747"/>
      <w:bookmarkStart w:id="59" w:name="_Toc26330942"/>
      <w:r>
        <w:rPr>
          <w:rStyle w:val="CharPartNo"/>
        </w:rPr>
        <w:t>Part 3</w:t>
      </w:r>
      <w:r>
        <w:rPr>
          <w:b w:val="0"/>
        </w:rPr>
        <w:t> </w:t>
      </w:r>
      <w:r>
        <w:t>—</w:t>
      </w:r>
      <w:r>
        <w:rPr>
          <w:b w:val="0"/>
        </w:rPr>
        <w:t> </w:t>
      </w:r>
      <w:r>
        <w:rPr>
          <w:rStyle w:val="CharPartText"/>
        </w:rPr>
        <w:t>Court fees</w:t>
      </w:r>
      <w:bookmarkEnd w:id="56"/>
      <w:bookmarkEnd w:id="57"/>
    </w:p>
    <w:p>
      <w:pPr>
        <w:pStyle w:val="Footnoteheading"/>
      </w:pPr>
      <w:r>
        <w:tab/>
        <w:t>[Heading inserted in Gazette 13 May 2011 p. 1739.]</w:t>
      </w:r>
    </w:p>
    <w:p>
      <w:pPr>
        <w:pStyle w:val="Heading3"/>
      </w:pPr>
      <w:bookmarkStart w:id="60" w:name="_Toc292974133"/>
      <w:bookmarkStart w:id="61" w:name="_Toc292979996"/>
      <w:r>
        <w:rPr>
          <w:rStyle w:val="CharDivNo"/>
        </w:rPr>
        <w:t>Division 1</w:t>
      </w:r>
      <w:r>
        <w:t> — </w:t>
      </w:r>
      <w:r>
        <w:rPr>
          <w:rStyle w:val="CharDivText"/>
        </w:rPr>
        <w:t>Preliminary</w:t>
      </w:r>
      <w:bookmarkEnd w:id="60"/>
      <w:bookmarkEnd w:id="61"/>
    </w:p>
    <w:p>
      <w:pPr>
        <w:pStyle w:val="Footnoteheading"/>
      </w:pPr>
      <w:r>
        <w:tab/>
        <w:t>[Heading inserted in Gazette 13 May 2011 p. 1739.]</w:t>
      </w:r>
    </w:p>
    <w:p>
      <w:pPr>
        <w:pStyle w:val="Heading5"/>
      </w:pPr>
      <w:bookmarkStart w:id="62" w:name="_Toc292979997"/>
      <w:r>
        <w:rPr>
          <w:rStyle w:val="CharSectno"/>
        </w:rPr>
        <w:t>17A</w:t>
      </w:r>
      <w:r>
        <w:t>.</w:t>
      </w:r>
      <w:r>
        <w:tab/>
        <w:t>Terms used</w:t>
      </w:r>
      <w:bookmarkEnd w:id="62"/>
    </w:p>
    <w:p>
      <w:pPr>
        <w:pStyle w:val="Subsection"/>
      </w:pPr>
      <w:r>
        <w:tab/>
      </w:r>
      <w:r>
        <w:tab/>
        <w:t xml:space="preserve">In this Part — </w:t>
      </w:r>
    </w:p>
    <w:p>
      <w:pPr>
        <w:pStyle w:val="Defstart"/>
      </w:pPr>
      <w:r>
        <w:tab/>
      </w:r>
      <w:r>
        <w:rPr>
          <w:rStyle w:val="CharDefText"/>
        </w:rPr>
        <w:t>filing fee</w:t>
      </w:r>
      <w:r>
        <w:t xml:space="preserve"> means a fee mentioned in Schedule 1 item 1, 4 or 7;</w:t>
      </w:r>
    </w:p>
    <w:p>
      <w:pPr>
        <w:pStyle w:val="Defstart"/>
      </w:pPr>
      <w:r>
        <w:tab/>
      </w:r>
      <w:r>
        <w:rPr>
          <w:rStyle w:val="CharDefText"/>
        </w:rPr>
        <w:t>full fee</w:t>
      </w:r>
      <w:r>
        <w:t xml:space="preserve"> means a fee that has not been reduced or waived;</w:t>
      </w:r>
    </w:p>
    <w:p>
      <w:pPr>
        <w:pStyle w:val="Defstart"/>
      </w:pPr>
      <w:r>
        <w:tab/>
      </w:r>
      <w:r>
        <w:rPr>
          <w:rStyle w:val="CharDefText"/>
        </w:rPr>
        <w:t>hearing fee</w:t>
      </w:r>
      <w:r>
        <w:t xml:space="preserve"> means a fee mentioned in Schedule 1 item 3 or 6;</w:t>
      </w:r>
    </w:p>
    <w:p>
      <w:pPr>
        <w:pStyle w:val="Defstart"/>
      </w:pPr>
      <w:r>
        <w:tab/>
      </w:r>
      <w:r>
        <w:rPr>
          <w:rStyle w:val="CharDefText"/>
        </w:rPr>
        <w:t>reduced fee</w:t>
      </w:r>
      <w:r>
        <w:t xml:space="preserve"> means the fee mentioned in Schedule 1 item 8;</w:t>
      </w:r>
    </w:p>
    <w:p>
      <w:pPr>
        <w:pStyle w:val="Defstart"/>
      </w:pPr>
      <w:r>
        <w:tab/>
      </w:r>
      <w:r>
        <w:rPr>
          <w:rStyle w:val="CharDefText"/>
        </w:rPr>
        <w:t>setting</w:t>
      </w:r>
      <w:r>
        <w:rPr>
          <w:rStyle w:val="CharDefText"/>
        </w:rPr>
        <w:noBreakHyphen/>
        <w:t>down fee</w:t>
      </w:r>
      <w:r>
        <w:t xml:space="preserve"> means a fee mentioned in Schedule 1 item 2 or 5;</w:t>
      </w:r>
    </w:p>
    <w:p>
      <w:pPr>
        <w:pStyle w:val="Defstart"/>
      </w:pPr>
      <w:r>
        <w:tab/>
      </w:r>
      <w:r>
        <w:rPr>
          <w:rStyle w:val="CharDefText"/>
        </w:rPr>
        <w:t>working day</w:t>
      </w:r>
      <w:r>
        <w:t xml:space="preserve"> means a day on which the offices of the court are open.</w:t>
      </w:r>
    </w:p>
    <w:p>
      <w:pPr>
        <w:pStyle w:val="Footnotesection"/>
      </w:pPr>
      <w:r>
        <w:tab/>
        <w:t>[Regulation 17A inserted in Gazette 13 May 2011 p. 1739.]</w:t>
      </w:r>
    </w:p>
    <w:p>
      <w:pPr>
        <w:pStyle w:val="Heading5"/>
      </w:pPr>
      <w:bookmarkStart w:id="63" w:name="_Toc292979998"/>
      <w:r>
        <w:rPr>
          <w:rStyle w:val="CharSectno"/>
        </w:rPr>
        <w:t>17B</w:t>
      </w:r>
      <w:r>
        <w:t>.</w:t>
      </w:r>
      <w:r>
        <w:tab/>
        <w:t>Authorised officers</w:t>
      </w:r>
      <w:bookmarkEnd w:id="63"/>
    </w:p>
    <w:p>
      <w:pPr>
        <w:pStyle w:val="Subsection"/>
      </w:pPr>
      <w:r>
        <w:tab/>
      </w:r>
      <w:r>
        <w:tab/>
        <w:t>The Principal Registrar may, in writing, designate an officer of the court to be an authorised officer for the purposes of these regulations.</w:t>
      </w:r>
    </w:p>
    <w:p>
      <w:pPr>
        <w:pStyle w:val="Footnotesection"/>
      </w:pPr>
      <w:r>
        <w:tab/>
        <w:t>[Regulation 17B inserted in Gazette 13 May 2011 p. 1739.]</w:t>
      </w:r>
    </w:p>
    <w:p>
      <w:pPr>
        <w:pStyle w:val="Heading3"/>
      </w:pPr>
      <w:bookmarkStart w:id="64" w:name="_Toc292974136"/>
      <w:bookmarkStart w:id="65" w:name="_Toc292979999"/>
      <w:r>
        <w:rPr>
          <w:rStyle w:val="CharDivNo"/>
        </w:rPr>
        <w:t>Division 2</w:t>
      </w:r>
      <w:r>
        <w:t> — </w:t>
      </w:r>
      <w:r>
        <w:rPr>
          <w:rStyle w:val="CharDivText"/>
        </w:rPr>
        <w:t>Court fees payable</w:t>
      </w:r>
      <w:bookmarkEnd w:id="64"/>
      <w:bookmarkEnd w:id="65"/>
    </w:p>
    <w:p>
      <w:pPr>
        <w:pStyle w:val="Footnoteheading"/>
      </w:pPr>
      <w:r>
        <w:tab/>
        <w:t>[Heading inserted in Gazette 13 May 2011 p. 1739.]</w:t>
      </w:r>
    </w:p>
    <w:p>
      <w:pPr>
        <w:pStyle w:val="Heading5"/>
        <w:rPr>
          <w:snapToGrid w:val="0"/>
        </w:rPr>
      </w:pPr>
      <w:bookmarkStart w:id="66" w:name="_Toc292980000"/>
      <w:r>
        <w:rPr>
          <w:rStyle w:val="CharSectno"/>
        </w:rPr>
        <w:t>18</w:t>
      </w:r>
      <w:r>
        <w:rPr>
          <w:snapToGrid w:val="0"/>
        </w:rPr>
        <w:t>.</w:t>
      </w:r>
      <w:r>
        <w:rPr>
          <w:snapToGrid w:val="0"/>
        </w:rPr>
        <w:tab/>
        <w:t>Court fees payable in respect of proceedings</w:t>
      </w:r>
      <w:bookmarkEnd w:id="55"/>
      <w:bookmarkEnd w:id="58"/>
      <w:bookmarkEnd w:id="59"/>
      <w:bookmarkEnd w:id="66"/>
      <w:r>
        <w:rPr>
          <w:snapToGrid w:val="0"/>
        </w:rPr>
        <w:t xml:space="preserve"> </w:t>
      </w:r>
    </w:p>
    <w:p>
      <w:pPr>
        <w:pStyle w:val="Subsection"/>
      </w:pPr>
      <w:r>
        <w:tab/>
        <w:t>(1)</w:t>
      </w:r>
      <w:r>
        <w:tab/>
        <w:t>Schedule 1 sets out the fees payable in proceedings under the Act.</w:t>
      </w:r>
    </w:p>
    <w:p>
      <w:pPr>
        <w:pStyle w:val="Subsection"/>
        <w:keepNext/>
      </w:pPr>
      <w:r>
        <w:tab/>
        <w:t>(2)</w:t>
      </w:r>
      <w:r>
        <w:tab/>
        <w:t xml:space="preserve">The person liable to pay a fee is — </w:t>
      </w:r>
    </w:p>
    <w:p>
      <w:pPr>
        <w:pStyle w:val="Indenta"/>
      </w:pPr>
      <w:r>
        <w:tab/>
        <w:t>(a)</w:t>
      </w:r>
      <w:r>
        <w:tab/>
        <w:t>if the fee is a filing fee, the person seeking to file the application or response; or</w:t>
      </w:r>
    </w:p>
    <w:p>
      <w:pPr>
        <w:pStyle w:val="Indenta"/>
      </w:pPr>
      <w:r>
        <w:tab/>
        <w:t>(b)</w:t>
      </w:r>
      <w:r>
        <w:tab/>
        <w:t>if the fee is a setting-down or hearing fee, the person who initiated the proceedings or lodged the appeal; or</w:t>
      </w:r>
    </w:p>
    <w:p>
      <w:pPr>
        <w:pStyle w:val="Indenta"/>
      </w:pPr>
      <w:r>
        <w:tab/>
        <w:t>(c)</w:t>
      </w:r>
      <w:r>
        <w:tab/>
        <w:t xml:space="preserve">if the court or a registrar so orders — </w:t>
      </w:r>
    </w:p>
    <w:p>
      <w:pPr>
        <w:pStyle w:val="Indenti"/>
      </w:pPr>
      <w:r>
        <w:tab/>
        <w:t>(i)</w:t>
      </w:r>
      <w:r>
        <w:tab/>
        <w:t>another party to the proceedings or appeal; or</w:t>
      </w:r>
    </w:p>
    <w:p>
      <w:pPr>
        <w:pStyle w:val="Indenti"/>
      </w:pPr>
      <w:r>
        <w:tab/>
        <w:t>(ii)</w:t>
      </w:r>
      <w:r>
        <w:tab/>
        <w:t>each of 2 or more parties to the proceedings or appeal, including the person initiating the proceedings or lodging the appeal in the proportions ordered.</w:t>
      </w:r>
    </w:p>
    <w:p>
      <w:pPr>
        <w:pStyle w:val="Subsection"/>
        <w:rPr>
          <w:snapToGrid w:val="0"/>
        </w:rPr>
      </w:pPr>
      <w:r>
        <w:rPr>
          <w:snapToGrid w:val="0"/>
        </w:rPr>
        <w:tab/>
        <w:t>(3)</w:t>
      </w:r>
      <w:r>
        <w:rPr>
          <w:snapToGrid w:val="0"/>
        </w:rPr>
        <w:tab/>
        <w:t xml:space="preserve">A filing fee is payable at the time when the application </w:t>
      </w:r>
      <w:r>
        <w:t>or appeal</w:t>
      </w:r>
      <w:r>
        <w:rPr>
          <w:snapToGrid w:val="0"/>
        </w:rPr>
        <w:t xml:space="preserve"> is filed.</w:t>
      </w:r>
    </w:p>
    <w:p>
      <w:pPr>
        <w:pStyle w:val="Subsection"/>
      </w:pPr>
      <w:r>
        <w:tab/>
        <w:t>(3A)</w:t>
      </w:r>
      <w:r>
        <w:tab/>
        <w:t>A setting</w:t>
      </w:r>
      <w:r>
        <w:noBreakHyphen/>
        <w:t xml:space="preserve">down fee is payable — </w:t>
      </w:r>
    </w:p>
    <w:p>
      <w:pPr>
        <w:pStyle w:val="Indenta"/>
      </w:pPr>
      <w:r>
        <w:tab/>
        <w:t>(a)</w:t>
      </w:r>
      <w:r>
        <w:tab/>
        <w:t>if a court or a registrar directs a time within which the fee must be paid — within that time; or</w:t>
      </w:r>
    </w:p>
    <w:p>
      <w:pPr>
        <w:pStyle w:val="Indenta"/>
      </w:pPr>
      <w:r>
        <w:tab/>
        <w:t>(b)</w:t>
      </w:r>
      <w:r>
        <w:tab/>
        <w:t>in any other case — at the time when a date is fixed for the hearing of the proceedings.</w:t>
      </w:r>
    </w:p>
    <w:p>
      <w:pPr>
        <w:pStyle w:val="Subsection"/>
        <w:rPr>
          <w:snapToGrid w:val="0"/>
        </w:rPr>
      </w:pPr>
      <w:r>
        <w:rPr>
          <w:snapToGrid w:val="0"/>
        </w:rPr>
        <w:tab/>
        <w:t>(4)</w:t>
      </w:r>
      <w:r>
        <w:rPr>
          <w:snapToGrid w:val="0"/>
        </w:rPr>
        <w:tab/>
        <w:t>A hearing fee is payable — </w:t>
      </w:r>
    </w:p>
    <w:p>
      <w:pPr>
        <w:pStyle w:val="Indenta"/>
        <w:rPr>
          <w:snapToGrid w:val="0"/>
        </w:rPr>
      </w:pPr>
      <w:r>
        <w:rPr>
          <w:snapToGrid w:val="0"/>
        </w:rPr>
        <w:tab/>
        <w:t>(a)</w:t>
      </w:r>
      <w:r>
        <w:rPr>
          <w:snapToGrid w:val="0"/>
        </w:rPr>
        <w:tab/>
        <w:t>if a court or a registrar directs a time within which the fee must be paid — within that time; or</w:t>
      </w:r>
    </w:p>
    <w:p>
      <w:pPr>
        <w:pStyle w:val="Indenta"/>
        <w:rPr>
          <w:snapToGrid w:val="0"/>
        </w:rPr>
      </w:pPr>
      <w:r>
        <w:rPr>
          <w:snapToGrid w:val="0"/>
        </w:rPr>
        <w:tab/>
        <w:t>(b)</w:t>
      </w:r>
      <w:r>
        <w:rPr>
          <w:snapToGrid w:val="0"/>
        </w:rPr>
        <w:tab/>
        <w:t>in any other case — at the time when a date is fixed for the hearing of the proceedings.</w:t>
      </w:r>
    </w:p>
    <w:p>
      <w:pPr>
        <w:pStyle w:val="Subsection"/>
      </w:pPr>
      <w:r>
        <w:tab/>
        <w:t>(5)</w:t>
      </w:r>
      <w:r>
        <w:tab/>
        <w:t>A registrar must not accept an application or appeal for filing in any registry unless any filing fee for the application or appeal mentioned in Schedule 1 has been paid.</w:t>
      </w:r>
    </w:p>
    <w:p>
      <w:pPr>
        <w:pStyle w:val="Subsection"/>
        <w:rPr>
          <w:snapToGrid w:val="0"/>
        </w:rPr>
      </w:pPr>
      <w:r>
        <w:rPr>
          <w:snapToGrid w:val="0"/>
        </w:rPr>
        <w:tab/>
        <w:t>(6)</w:t>
      </w:r>
      <w:r>
        <w:rPr>
          <w:snapToGrid w:val="0"/>
        </w:rPr>
        <w:tab/>
      </w:r>
      <w:r>
        <w:t xml:space="preserve">If, </w:t>
      </w:r>
      <w:r>
        <w:rPr>
          <w:snapToGrid w:val="0"/>
        </w:rPr>
        <w:t>in relation to an application, a hearing fee payable under subregulation (1) is unpaid — </w:t>
      </w:r>
    </w:p>
    <w:p>
      <w:pPr>
        <w:pStyle w:val="Indenta"/>
        <w:rPr>
          <w:snapToGrid w:val="0"/>
        </w:rPr>
      </w:pPr>
      <w:r>
        <w:rPr>
          <w:snapToGrid w:val="0"/>
        </w:rPr>
        <w:tab/>
        <w:t>(a)</w:t>
      </w:r>
      <w:r>
        <w:rPr>
          <w:snapToGrid w:val="0"/>
        </w:rPr>
        <w:tab/>
        <w:t xml:space="preserve">a court may order that no proceedings, or no proceedings other than specified proceedings, are to take place, except by leave, in the matter to which the application relates; </w:t>
      </w:r>
    </w:p>
    <w:p>
      <w:pPr>
        <w:pStyle w:val="Indenta"/>
        <w:rPr>
          <w:snapToGrid w:val="0"/>
        </w:rPr>
      </w:pPr>
      <w:r>
        <w:rPr>
          <w:snapToGrid w:val="0"/>
        </w:rPr>
        <w:tab/>
        <w:t>(b)</w:t>
      </w:r>
      <w:r>
        <w:rPr>
          <w:snapToGrid w:val="0"/>
        </w:rPr>
        <w:tab/>
        <w:t>a person other than the person liable to pay the fee may pay the fee without affecting any power of the court to make an order for costs for the fee; and</w:t>
      </w:r>
    </w:p>
    <w:p>
      <w:pPr>
        <w:pStyle w:val="Indenta"/>
        <w:rPr>
          <w:snapToGrid w:val="0"/>
        </w:rPr>
      </w:pPr>
      <w:r>
        <w:rPr>
          <w:snapToGrid w:val="0"/>
        </w:rPr>
        <w:tab/>
        <w:t>(c)</w:t>
      </w:r>
      <w:r>
        <w:rPr>
          <w:snapToGrid w:val="0"/>
        </w:rPr>
        <w:tab/>
        <w:t>the court may vacate the date fixed for hearing.</w:t>
      </w:r>
    </w:p>
    <w:p>
      <w:pPr>
        <w:pStyle w:val="Subsection"/>
      </w:pPr>
      <w:r>
        <w:tab/>
        <w:t>(6A)</w:t>
      </w:r>
      <w:r>
        <w:tab/>
        <w:t>If a fee remains unpaid after the time mentioned in subregulation (3) or (4) or the end of a period mentioned in regulation 18D(3), the unpaid fee is recoverable in a court of competent jurisdiction as a debt due to the State.</w:t>
      </w:r>
    </w:p>
    <w:p>
      <w:pPr>
        <w:pStyle w:val="Subsection"/>
      </w:pPr>
      <w:r>
        <w:tab/>
        <w:t>(7)</w:t>
      </w:r>
      <w:r>
        <w:tab/>
        <w:t>A fee mentioned in Schedule 1 is not payable if the fee has already been paid in relation to the proceedings by a person other than the person liable to pay the fee.</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 xml:space="preserve">a fee referred to in </w:t>
      </w:r>
      <w:r>
        <w:t xml:space="preserve">Schedule 1 </w:t>
      </w:r>
      <w:r>
        <w:rPr>
          <w:snapToGrid w:val="0"/>
        </w:rPr>
        <w:t>has been paid; and</w:t>
      </w:r>
    </w:p>
    <w:p>
      <w:pPr>
        <w:pStyle w:val="Indenta"/>
        <w:rPr>
          <w:snapToGrid w:val="0"/>
        </w:rPr>
      </w:pPr>
      <w:r>
        <w:rPr>
          <w:snapToGrid w:val="0"/>
        </w:rPr>
        <w:tab/>
        <w:t>(b)</w:t>
      </w:r>
      <w:r>
        <w:rPr>
          <w:snapToGrid w:val="0"/>
        </w:rPr>
        <w:tab/>
        <w:t>the fee is not payable under subregulation (7),</w:t>
      </w:r>
    </w:p>
    <w:p>
      <w:pPr>
        <w:pStyle w:val="Subsection"/>
        <w:rPr>
          <w:snapToGrid w:val="0"/>
        </w:rPr>
      </w:pPr>
      <w:r>
        <w:rPr>
          <w:snapToGrid w:val="0"/>
        </w:rPr>
        <w:tab/>
      </w:r>
      <w:r>
        <w:rPr>
          <w:snapToGrid w:val="0"/>
        </w:rPr>
        <w:tab/>
        <w:t>a registrar must refund to the applicant, or other person who paid the fee, an amount equal to the amount of the fee.</w:t>
      </w:r>
    </w:p>
    <w:p>
      <w:pPr>
        <w:pStyle w:val="Subsection"/>
      </w:pPr>
      <w:r>
        <w:tab/>
        <w:t>(8A)</w:t>
      </w:r>
      <w:r>
        <w:tab/>
        <w:t xml:space="preserve">A person is entitled to a refund of the whole or part of a fee mentioned in Schedule 1 (the </w:t>
      </w:r>
      <w:r>
        <w:rPr>
          <w:rStyle w:val="CharDefText"/>
        </w:rPr>
        <w:t>refund amount</w:t>
      </w:r>
      <w:r>
        <w:t>) if the person pays more than the person is required to pay for the fee under these regulations.</w:t>
      </w:r>
    </w:p>
    <w:p>
      <w:pPr>
        <w:pStyle w:val="Subsection"/>
      </w:pPr>
      <w:r>
        <w:tab/>
        <w:t>(8B)</w:t>
      </w:r>
      <w:r>
        <w:tab/>
        <w:t>The refund amount is the difference between the fee paid by the person and the amount the person is required to pay for the fee.</w:t>
      </w:r>
    </w:p>
    <w:p>
      <w:pPr>
        <w:pStyle w:val="Subsection"/>
        <w:keepNext/>
        <w:keepLines/>
        <w:rPr>
          <w:snapToGrid w:val="0"/>
        </w:rPr>
      </w:pPr>
      <w:r>
        <w:rPr>
          <w:snapToGrid w:val="0"/>
        </w:rPr>
        <w:tab/>
        <w:t>(9)</w:t>
      </w:r>
      <w:r>
        <w:rPr>
          <w:snapToGrid w:val="0"/>
        </w:rPr>
        <w:tab/>
        <w:t xml:space="preserve">Upon written notice to a registrar, a person who has paid a </w:t>
      </w:r>
      <w:r>
        <w:t>setting</w:t>
      </w:r>
      <w:r>
        <w:noBreakHyphen/>
        <w:t>down fee</w:t>
      </w:r>
      <w:r>
        <w:rPr>
          <w:snapToGrid w:val="0"/>
        </w:rPr>
        <w:t xml:space="preserve"> is entitled to a refund of the fee if — </w:t>
      </w:r>
    </w:p>
    <w:p>
      <w:pPr>
        <w:pStyle w:val="Indenta"/>
        <w:rPr>
          <w:snapToGrid w:val="0"/>
        </w:rPr>
      </w:pPr>
      <w:r>
        <w:rPr>
          <w:snapToGrid w:val="0"/>
        </w:rPr>
        <w:tab/>
        <w:t>(a)</w:t>
      </w:r>
      <w:r>
        <w:rPr>
          <w:snapToGrid w:val="0"/>
        </w:rPr>
        <w:tab/>
        <w:t>notice that the hearing for which the fee was paid will not proceed is given to the registrar — </w:t>
      </w:r>
    </w:p>
    <w:p>
      <w:pPr>
        <w:pStyle w:val="Indenti"/>
        <w:rPr>
          <w:snapToGrid w:val="0"/>
        </w:rPr>
      </w:pPr>
      <w:r>
        <w:rPr>
          <w:snapToGrid w:val="0"/>
        </w:rPr>
        <w:tab/>
        <w:t>(i)</w:t>
      </w:r>
      <w:r>
        <w:rPr>
          <w:snapToGrid w:val="0"/>
        </w:rPr>
        <w:tab/>
        <w:t>if the hearing date was fixed less than 20 working days before that date — at least 2 working days before that date; or</w:t>
      </w:r>
    </w:p>
    <w:p>
      <w:pPr>
        <w:pStyle w:val="Indenti"/>
        <w:rPr>
          <w:snapToGrid w:val="0"/>
        </w:rPr>
      </w:pPr>
      <w:r>
        <w:rPr>
          <w:snapToGrid w:val="0"/>
        </w:rPr>
        <w:tab/>
        <w:t>(ii)</w:t>
      </w:r>
      <w:r>
        <w:rPr>
          <w:snapToGrid w:val="0"/>
        </w:rPr>
        <w:tab/>
        <w:t xml:space="preserve">in any other case — at least </w:t>
      </w:r>
      <w:r>
        <w:t xml:space="preserve">10 </w:t>
      </w:r>
      <w:r>
        <w:rPr>
          <w:snapToGrid w:val="0"/>
        </w:rPr>
        <w:t>working days before the hearing date;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hearing — </w:t>
      </w:r>
    </w:p>
    <w:p>
      <w:pPr>
        <w:pStyle w:val="Indenti"/>
        <w:rPr>
          <w:snapToGrid w:val="0"/>
        </w:rPr>
      </w:pPr>
      <w:r>
        <w:rPr>
          <w:snapToGrid w:val="0"/>
        </w:rPr>
        <w:tab/>
        <w:t>(i)</w:t>
      </w:r>
      <w:r>
        <w:rPr>
          <w:snapToGrid w:val="0"/>
        </w:rPr>
        <w:tab/>
        <w:t>does not proceed; or</w:t>
      </w:r>
    </w:p>
    <w:p>
      <w:pPr>
        <w:pStyle w:val="Indenti"/>
        <w:rPr>
          <w:snapToGrid w:val="0"/>
        </w:rPr>
      </w:pPr>
      <w:r>
        <w:rPr>
          <w:snapToGrid w:val="0"/>
        </w:rPr>
        <w:tab/>
        <w:t>(ii)</w:t>
      </w:r>
      <w:r>
        <w:rPr>
          <w:snapToGrid w:val="0"/>
        </w:rPr>
        <w:tab/>
        <w:t>is conducted only to formalize the making of final orders.</w:t>
      </w:r>
    </w:p>
    <w:p>
      <w:pPr>
        <w:pStyle w:val="Subsection"/>
      </w:pPr>
      <w:bookmarkStart w:id="67" w:name="_Toc429277134"/>
      <w:r>
        <w:tab/>
        <w:t>(10)</w:t>
      </w:r>
      <w:r>
        <w:tab/>
        <w:t xml:space="preserve">A person who has paid a hearing fee for the whole or part of a hearing is entitled to a refund of — </w:t>
      </w:r>
    </w:p>
    <w:p>
      <w:pPr>
        <w:pStyle w:val="Indenta"/>
      </w:pPr>
      <w:r>
        <w:tab/>
        <w:t>(a)</w:t>
      </w:r>
      <w:r>
        <w:tab/>
        <w:t>if the hearing is conducted only to formalise the making of final orders — the hearing fee; or</w:t>
      </w:r>
    </w:p>
    <w:p>
      <w:pPr>
        <w:pStyle w:val="Indenta"/>
      </w:pPr>
      <w:r>
        <w:tab/>
        <w:t>(b)</w:t>
      </w:r>
      <w:r>
        <w:tab/>
        <w:t>if the hearing does not proceed on a particular hearing day — the hearing fee for that day.</w:t>
      </w:r>
    </w:p>
    <w:p>
      <w:pPr>
        <w:pStyle w:val="Subsection"/>
      </w:pPr>
      <w:r>
        <w:tab/>
        <w:t>(11)</w:t>
      </w:r>
      <w:r>
        <w:tab/>
        <w:t xml:space="preserve">In this regulation — </w:t>
      </w:r>
    </w:p>
    <w:p>
      <w:pPr>
        <w:pStyle w:val="Defstart"/>
      </w:pPr>
      <w:r>
        <w:tab/>
      </w:r>
      <w:r>
        <w:rPr>
          <w:rStyle w:val="CharDefText"/>
        </w:rPr>
        <w:t>appeal</w:t>
      </w:r>
      <w:r>
        <w:t xml:space="preserve"> includes cross</w:t>
      </w:r>
      <w:r>
        <w:noBreakHyphen/>
        <w:t>appeal.</w:t>
      </w:r>
    </w:p>
    <w:p>
      <w:pPr>
        <w:pStyle w:val="Footnotesection"/>
      </w:pPr>
      <w:r>
        <w:tab/>
        <w:t>[Regulation 18 amended in Gazette 29 Nov 2002 p. 5665; 14 Jul 2006 p. 2562</w:t>
      </w:r>
      <w:r>
        <w:noBreakHyphen/>
        <w:t>3; 9 Nov 2010 p. 5629; 13 May 2011 p. 1739-42.]</w:t>
      </w:r>
    </w:p>
    <w:p>
      <w:pPr>
        <w:pStyle w:val="Heading5"/>
      </w:pPr>
      <w:bookmarkStart w:id="68" w:name="_Toc292980001"/>
      <w:bookmarkStart w:id="69" w:name="_Toc26254748"/>
      <w:bookmarkStart w:id="70" w:name="_Toc26330943"/>
      <w:r>
        <w:rPr>
          <w:rStyle w:val="CharSectno"/>
        </w:rPr>
        <w:t>18A</w:t>
      </w:r>
      <w:r>
        <w:t>.</w:t>
      </w:r>
      <w:r>
        <w:tab/>
        <w:t>Reduction of fees — general</w:t>
      </w:r>
      <w:bookmarkEnd w:id="68"/>
    </w:p>
    <w:p>
      <w:pPr>
        <w:pStyle w:val="Subsection"/>
      </w:pPr>
      <w:r>
        <w:tab/>
        <w:t>(1)</w:t>
      </w:r>
      <w:r>
        <w:tab/>
        <w:t xml:space="preserve">This regulation applies to a person if — </w:t>
      </w:r>
    </w:p>
    <w:p>
      <w:pPr>
        <w:pStyle w:val="Indenta"/>
      </w:pPr>
      <w:r>
        <w:tab/>
        <w:t>(a)</w:t>
      </w:r>
      <w:r>
        <w:tab/>
        <w:t>the person has been granted legal aid (under a legal aid scheme or service established under Commonwealth, State or Territory law, or approved by the Attorney</w:t>
      </w:r>
      <w:r>
        <w:noBreakHyphen/>
        <w:t>General of the Commonwealth for the proceeding; or</w:t>
      </w:r>
    </w:p>
    <w:p>
      <w:pPr>
        <w:pStyle w:val="Indenta"/>
      </w:pPr>
      <w:r>
        <w:tab/>
        <w:t>(b)</w:t>
      </w:r>
      <w:r>
        <w:tab/>
        <w:t xml:space="preserve">the person is — </w:t>
      </w:r>
    </w:p>
    <w:p>
      <w:pPr>
        <w:pStyle w:val="Indenti"/>
      </w:pPr>
      <w:r>
        <w:tab/>
        <w:t>(i)</w:t>
      </w:r>
      <w:r>
        <w:tab/>
        <w:t xml:space="preserve">the holder of any of the following cards issued by the Commonwealth Department of Families, Housing, Community Services and Indigenous Affairs — </w:t>
      </w:r>
    </w:p>
    <w:p>
      <w:pPr>
        <w:pStyle w:val="IndentI0"/>
      </w:pPr>
      <w:r>
        <w:tab/>
        <w:t>(I)</w:t>
      </w:r>
      <w:r>
        <w:tab/>
        <w:t xml:space="preserve">a health care card; </w:t>
      </w:r>
    </w:p>
    <w:p>
      <w:pPr>
        <w:pStyle w:val="IndentI0"/>
      </w:pPr>
      <w:r>
        <w:tab/>
        <w:t>(II)</w:t>
      </w:r>
      <w:r>
        <w:tab/>
        <w:t xml:space="preserve">a pensioner concession card; </w:t>
      </w:r>
    </w:p>
    <w:p>
      <w:pPr>
        <w:pStyle w:val="IndentI0"/>
      </w:pPr>
      <w:r>
        <w:tab/>
        <w:t>(III)</w:t>
      </w:r>
      <w:r>
        <w:tab/>
        <w:t>a Commonwealth seniors health card;</w:t>
      </w:r>
    </w:p>
    <w:p>
      <w:pPr>
        <w:pStyle w:val="Indenti"/>
      </w:pPr>
      <w:r>
        <w:tab/>
      </w:r>
      <w:r>
        <w:tab/>
        <w:t xml:space="preserve">or </w:t>
      </w:r>
    </w:p>
    <w:p>
      <w:pPr>
        <w:pStyle w:val="Indenti"/>
      </w:pPr>
      <w:r>
        <w:tab/>
        <w:t>(ii)</w:t>
      </w:r>
      <w:r>
        <w:tab/>
        <w:t xml:space="preserve">the holder of any other card issued by the Commonwealth Department of Families, Housing, Community Services and Indigenous Affairs, or the Commonwealth Department of Veterans’ Affairs, that certifies the holder’s entitlement to Commonwealth health concessions; or </w:t>
      </w:r>
    </w:p>
    <w:p>
      <w:pPr>
        <w:pStyle w:val="Indenti"/>
      </w:pPr>
      <w:r>
        <w:tab/>
        <w:t>(iii)</w:t>
      </w:r>
      <w:r>
        <w:tab/>
        <w:t>serving a sentence of imprisonment, or otherwise lawfully detained in a public institution; or</w:t>
      </w:r>
    </w:p>
    <w:p>
      <w:pPr>
        <w:pStyle w:val="Indenti"/>
      </w:pPr>
      <w:r>
        <w:tab/>
        <w:t>(iv)</w:t>
      </w:r>
      <w:r>
        <w:tab/>
        <w:t>aged less than 18 years; or</w:t>
      </w:r>
    </w:p>
    <w:p>
      <w:pPr>
        <w:pStyle w:val="Indenti"/>
      </w:pPr>
      <w:r>
        <w:tab/>
        <w:t>(v)</w:t>
      </w:r>
      <w:r>
        <w:tab/>
        <w:t xml:space="preserve">receiving youth allowance or austudy payment, within the meaning of the </w:t>
      </w:r>
      <w:r>
        <w:rPr>
          <w:i/>
          <w:iCs/>
        </w:rPr>
        <w:t>Social Security Act 1991</w:t>
      </w:r>
      <w:r>
        <w:t xml:space="preserve"> (Commonwealth); or </w:t>
      </w:r>
    </w:p>
    <w:p>
      <w:pPr>
        <w:pStyle w:val="Indenti"/>
      </w:pPr>
      <w:r>
        <w:tab/>
        <w:t>(vi)</w:t>
      </w:r>
      <w:r>
        <w:tab/>
        <w:t xml:space="preserve">receiving benefit under ABSTUDY, within the meaning of the </w:t>
      </w:r>
      <w:r>
        <w:rPr>
          <w:i/>
          <w:iCs/>
        </w:rPr>
        <w:t>Social Security Act 1991</w:t>
      </w:r>
      <w:r>
        <w:t xml:space="preserve"> (Commonwealth).</w:t>
      </w:r>
    </w:p>
    <w:p>
      <w:pPr>
        <w:pStyle w:val="Subsection"/>
      </w:pPr>
      <w:r>
        <w:tab/>
        <w:t>(2)</w:t>
      </w:r>
      <w:r>
        <w:tab/>
        <w:t xml:space="preserve">In subregulation (1)(b) — </w:t>
      </w:r>
    </w:p>
    <w:p>
      <w:pPr>
        <w:pStyle w:val="Defstart"/>
      </w:pPr>
      <w:r>
        <w:tab/>
      </w:r>
      <w:r>
        <w:rPr>
          <w:rStyle w:val="CharDefText"/>
        </w:rPr>
        <w:t>holder</w:t>
      </w:r>
      <w:r>
        <w:t>, of a card, does not include a dependant of the holder.</w:t>
      </w:r>
    </w:p>
    <w:p>
      <w:pPr>
        <w:pStyle w:val="Subsection"/>
      </w:pPr>
      <w:r>
        <w:tab/>
        <w:t>(3)</w:t>
      </w:r>
      <w:r>
        <w:tab/>
        <w:t>Other than in relation to the fee mentioned in Schedule 1 item 7, the reduced fee is payable instead of the full fee on the first occasion the full fee would otherwise be payable by the person in a proceeding.</w:t>
      </w:r>
    </w:p>
    <w:p>
      <w:pPr>
        <w:pStyle w:val="Subsection"/>
      </w:pPr>
      <w:r>
        <w:tab/>
        <w:t>(4)</w:t>
      </w:r>
      <w:r>
        <w:tab/>
        <w:t>However, if the full fee for the proceeding mentioned in subregulation (3) is less than the reduced fee, the full fee is payable by the person.</w:t>
      </w:r>
    </w:p>
    <w:p>
      <w:pPr>
        <w:pStyle w:val="Subsection"/>
      </w:pPr>
      <w:r>
        <w:tab/>
        <w:t>(5)</w:t>
      </w:r>
      <w:r>
        <w:tab/>
        <w:t>If a fee mentioned in subregulation (3) or (4) is paid by the person in a proceeding, or if a fee is waived under subregulation (6), no other fees mentioned in Schedule 1 (other than a fee mentioned in item 7) are payable by the person in connection with the proceeding.</w:t>
      </w:r>
    </w:p>
    <w:p>
      <w:pPr>
        <w:pStyle w:val="Subsection"/>
      </w:pPr>
      <w:r>
        <w:tab/>
        <w:t>(6)</w:t>
      </w:r>
      <w:r>
        <w:tab/>
        <w:t>A registrar or an authorised officer may waive payment of a fee (other than a fee mentioned in Schedule 1 item 7 or a fee for an appeal), payable by a person in a proceeding related to a proceeding mentioned in subregulation (3), if the registrar or authorised officer considers that the proceedings are closely connected and that the waiver of the fee is appropriate.</w:t>
      </w:r>
    </w:p>
    <w:p>
      <w:pPr>
        <w:pStyle w:val="Subsection"/>
      </w:pPr>
      <w:r>
        <w:tab/>
        <w:t>(7)</w:t>
      </w:r>
      <w:r>
        <w:tab/>
        <w:t xml:space="preserve">In considering whether to waive payment of a fee in a related proceeding, the registrar or authorised officer must take into account the following factors — </w:t>
      </w:r>
    </w:p>
    <w:p>
      <w:pPr>
        <w:pStyle w:val="Indenta"/>
      </w:pPr>
      <w:r>
        <w:tab/>
        <w:t>(a)</w:t>
      </w:r>
      <w:r>
        <w:tab/>
        <w:t>whether the dispute is between the same parties;</w:t>
      </w:r>
    </w:p>
    <w:p>
      <w:pPr>
        <w:pStyle w:val="Indenta"/>
      </w:pPr>
      <w:r>
        <w:tab/>
        <w:t>(b)</w:t>
      </w:r>
      <w:r>
        <w:tab/>
        <w:t>whether the dispute arises from the same circumstances;</w:t>
      </w:r>
    </w:p>
    <w:p>
      <w:pPr>
        <w:pStyle w:val="Indenta"/>
      </w:pPr>
      <w:r>
        <w:tab/>
        <w:t>(c)</w:t>
      </w:r>
      <w:r>
        <w:tab/>
        <w:t>the length of time since the first proceeding was commenced;</w:t>
      </w:r>
    </w:p>
    <w:p>
      <w:pPr>
        <w:pStyle w:val="Indenta"/>
      </w:pPr>
      <w:r>
        <w:tab/>
        <w:t>(d)</w:t>
      </w:r>
      <w:r>
        <w:tab/>
        <w:t>whether the manner in which the proceedings have been brought is an efficient use of the court’s resources;</w:t>
      </w:r>
    </w:p>
    <w:p>
      <w:pPr>
        <w:pStyle w:val="Indenta"/>
      </w:pPr>
      <w:r>
        <w:tab/>
        <w:t>(e)</w:t>
      </w:r>
      <w:r>
        <w:tab/>
        <w:t>whether the litigation would be in the public interest;</w:t>
      </w:r>
    </w:p>
    <w:p>
      <w:pPr>
        <w:pStyle w:val="Indenta"/>
      </w:pPr>
      <w:r>
        <w:tab/>
        <w:t>(f)</w:t>
      </w:r>
      <w:r>
        <w:tab/>
        <w:t>the capacity of the person to pay the fee.</w:t>
      </w:r>
    </w:p>
    <w:p>
      <w:pPr>
        <w:pStyle w:val="Subsection"/>
      </w:pPr>
      <w:r>
        <w:tab/>
        <w:t>(8)</w:t>
      </w:r>
      <w:r>
        <w:tab/>
        <w:t>In this regulation, an appeal is to be treated as a new proceeding.</w:t>
      </w:r>
    </w:p>
    <w:p>
      <w:pPr>
        <w:pStyle w:val="Footnotesection"/>
      </w:pPr>
      <w:r>
        <w:tab/>
        <w:t>[Regulation 18A inserted in Gazette 13 May 2011 p. 1742-3.]</w:t>
      </w:r>
    </w:p>
    <w:p>
      <w:pPr>
        <w:pStyle w:val="Heading5"/>
      </w:pPr>
      <w:bookmarkStart w:id="71" w:name="_Toc292980002"/>
      <w:r>
        <w:rPr>
          <w:rStyle w:val="CharSectno"/>
        </w:rPr>
        <w:t>18B</w:t>
      </w:r>
      <w:r>
        <w:t>.</w:t>
      </w:r>
      <w:r>
        <w:tab/>
        <w:t>Reduction of fees — hardship</w:t>
      </w:r>
      <w:bookmarkEnd w:id="71"/>
    </w:p>
    <w:p>
      <w:pPr>
        <w:pStyle w:val="Subsection"/>
      </w:pPr>
      <w:r>
        <w:tab/>
        <w:t>(1)</w:t>
      </w:r>
      <w:r>
        <w:tab/>
        <w:t>If a registrar or an authorised officer, having regard to the income, day</w:t>
      </w:r>
      <w:r>
        <w:noBreakHyphen/>
        <w:t>to</w:t>
      </w:r>
      <w:r>
        <w:noBreakHyphen/>
        <w:t>day living expenses, liabilities and assets of a person liable to pay a fee mentioned in Schedule 1 (other than a fee mentioned in item 7), considers that payment of the fee would cause financial hardship to the person, the registrar or authorised officer may impose the reduced fee on each occasion the fee is payable instead of the fee for which the person would otherwise be liable.</w:t>
      </w:r>
    </w:p>
    <w:p>
      <w:pPr>
        <w:pStyle w:val="Subsection"/>
      </w:pPr>
      <w:r>
        <w:tab/>
        <w:t>(2)</w:t>
      </w:r>
      <w:r>
        <w:tab/>
        <w:t>However, if subregulation (1) applies, the reduced fee is payable only once for setting-down, and no fee is payable for a hearing, regardless of the number of hearing days.</w:t>
      </w:r>
    </w:p>
    <w:p>
      <w:pPr>
        <w:pStyle w:val="Footnotesection"/>
      </w:pPr>
      <w:r>
        <w:tab/>
        <w:t>[Regulation 18B inserted in Gazette 13 May 2011 p. 1743-4.]</w:t>
      </w:r>
    </w:p>
    <w:p>
      <w:pPr>
        <w:pStyle w:val="Heading5"/>
      </w:pPr>
      <w:bookmarkStart w:id="72" w:name="_Toc292980003"/>
      <w:r>
        <w:rPr>
          <w:rStyle w:val="CharSectno"/>
        </w:rPr>
        <w:t>18C</w:t>
      </w:r>
      <w:r>
        <w:t>.</w:t>
      </w:r>
      <w:r>
        <w:tab/>
        <w:t>Change in circumstances</w:t>
      </w:r>
      <w:bookmarkEnd w:id="72"/>
    </w:p>
    <w:p>
      <w:pPr>
        <w:pStyle w:val="Subsection"/>
      </w:pPr>
      <w:r>
        <w:tab/>
        <w:t>(1)</w:t>
      </w:r>
      <w:r>
        <w:tab/>
        <w:t xml:space="preserve">Regulation 18A(5) applies to a person as if the person had paid a fee under regulation 18A(3) or (4) if — </w:t>
      </w:r>
    </w:p>
    <w:p>
      <w:pPr>
        <w:pStyle w:val="Indenta"/>
      </w:pPr>
      <w:r>
        <w:tab/>
        <w:t>(a)</w:t>
      </w:r>
      <w:r>
        <w:tab/>
        <w:t>the person pays a full fee, or a reduced fee under regulation 18B, in a proceeding; and</w:t>
      </w:r>
    </w:p>
    <w:p>
      <w:pPr>
        <w:pStyle w:val="Indenta"/>
      </w:pPr>
      <w:r>
        <w:tab/>
        <w:t>(b)</w:t>
      </w:r>
      <w:r>
        <w:tab/>
        <w:t>after the fee has been paid, the person becomes eligible under regulation 18A(1) to pay the reduced fee.</w:t>
      </w:r>
    </w:p>
    <w:p>
      <w:pPr>
        <w:pStyle w:val="Subsection"/>
      </w:pPr>
      <w:r>
        <w:tab/>
        <w:t>(2)</w:t>
      </w:r>
      <w:r>
        <w:tab/>
        <w:t>However, if a person’s circumstances change so that regulation 18A(1) no longer applies to the person, the person is liable to pay all fees that become payable after the change in circumstances.</w:t>
      </w:r>
    </w:p>
    <w:p>
      <w:pPr>
        <w:pStyle w:val="Footnotesection"/>
      </w:pPr>
      <w:r>
        <w:tab/>
        <w:t>[Regulation 18C inserted in Gazette 13 May 2011 p. 1744.]</w:t>
      </w:r>
    </w:p>
    <w:p>
      <w:pPr>
        <w:pStyle w:val="Heading5"/>
      </w:pPr>
      <w:bookmarkStart w:id="73" w:name="_Toc292980004"/>
      <w:r>
        <w:rPr>
          <w:rStyle w:val="CharSectno"/>
        </w:rPr>
        <w:t>18D</w:t>
      </w:r>
      <w:r>
        <w:t>.</w:t>
      </w:r>
      <w:r>
        <w:tab/>
        <w:t>Deferral of fees</w:t>
      </w:r>
      <w:bookmarkEnd w:id="73"/>
    </w:p>
    <w:p>
      <w:pPr>
        <w:pStyle w:val="Subsection"/>
      </w:pPr>
      <w:r>
        <w:tab/>
        <w:t>(1)</w:t>
      </w:r>
      <w:r>
        <w:tab/>
        <w:t>Subject to subregulation (2), all or part of a fee mentioned in these regulations may be deferred by a registrar or an authorised officer, subject to any conditions determined by the registrar or authorised officer.</w:t>
      </w:r>
    </w:p>
    <w:p>
      <w:pPr>
        <w:pStyle w:val="Subsection"/>
      </w:pPr>
      <w:r>
        <w:tab/>
        <w:t>(2)</w:t>
      </w:r>
      <w:r>
        <w:tab/>
        <w:t xml:space="preserve">The registrar or authorised officer may defer the whole or part of a fee if — </w:t>
      </w:r>
    </w:p>
    <w:p>
      <w:pPr>
        <w:pStyle w:val="Indenta"/>
      </w:pPr>
      <w:r>
        <w:tab/>
        <w:t>(a)</w:t>
      </w:r>
      <w:r>
        <w:tab/>
        <w:t xml:space="preserve">the registrar or authorised officer considers that — </w:t>
      </w:r>
    </w:p>
    <w:p>
      <w:pPr>
        <w:pStyle w:val="Indenti"/>
      </w:pPr>
      <w:r>
        <w:tab/>
        <w:t>(i)</w:t>
      </w:r>
      <w:r>
        <w:tab/>
        <w:t>for a filing fee — the need to file the document is so urgent that it overrides the requirement to pay the filing fee at the time of filing; or</w:t>
      </w:r>
    </w:p>
    <w:p>
      <w:pPr>
        <w:pStyle w:val="Indenti"/>
      </w:pPr>
      <w:r>
        <w:tab/>
        <w:t>(ii)</w:t>
      </w:r>
      <w:r>
        <w:tab/>
        <w:t xml:space="preserve">it would, having regard to the financial circumstances of the person liable to pay the fee, be oppressive or otherwise unreasonable to require payment in accordance with regulation 18(3), (3A) or (4); </w:t>
      </w:r>
    </w:p>
    <w:p>
      <w:pPr>
        <w:pStyle w:val="Indenta"/>
      </w:pPr>
      <w:r>
        <w:tab/>
      </w:r>
      <w:r>
        <w:tab/>
        <w:t>or</w:t>
      </w:r>
    </w:p>
    <w:p>
      <w:pPr>
        <w:pStyle w:val="Indenta"/>
      </w:pPr>
      <w:r>
        <w:tab/>
        <w:t>(b)</w:t>
      </w:r>
      <w:r>
        <w:tab/>
        <w:t>for a setting</w:t>
      </w:r>
      <w:r>
        <w:noBreakHyphen/>
        <w:t>down fee — the date of the hearing is more than 6 months after the day on which the proceeding is set down for hearing.</w:t>
      </w:r>
    </w:p>
    <w:p>
      <w:pPr>
        <w:pStyle w:val="Subsection"/>
      </w:pPr>
      <w:r>
        <w:tab/>
        <w:t>(3)</w:t>
      </w:r>
      <w:r>
        <w:tab/>
        <w:t xml:space="preserve">If payment of a fee has been deferred under this regulation, the fee must be paid within — </w:t>
      </w:r>
    </w:p>
    <w:p>
      <w:pPr>
        <w:pStyle w:val="Indenta"/>
      </w:pPr>
      <w:r>
        <w:tab/>
        <w:t>(a)</w:t>
      </w:r>
      <w:r>
        <w:tab/>
        <w:t xml:space="preserve">30 days after the date of deferral; or </w:t>
      </w:r>
    </w:p>
    <w:p>
      <w:pPr>
        <w:pStyle w:val="Indenta"/>
      </w:pPr>
      <w:r>
        <w:tab/>
        <w:t>(b)</w:t>
      </w:r>
      <w:r>
        <w:tab/>
        <w:t>another period specified in writing by the registrar or authorised officer.</w:t>
      </w:r>
    </w:p>
    <w:p>
      <w:pPr>
        <w:pStyle w:val="Footnotesection"/>
      </w:pPr>
      <w:r>
        <w:tab/>
        <w:t>[Regulation 18D inserted in Gazette 13 May 2011 p. 1744-5.]</w:t>
      </w:r>
    </w:p>
    <w:p>
      <w:pPr>
        <w:pStyle w:val="Heading3"/>
      </w:pPr>
      <w:bookmarkStart w:id="74" w:name="_Toc292974142"/>
      <w:bookmarkStart w:id="75" w:name="_Toc292980005"/>
      <w:r>
        <w:rPr>
          <w:rStyle w:val="CharDivNo"/>
        </w:rPr>
        <w:t>Division 3</w:t>
      </w:r>
      <w:r>
        <w:t> — </w:t>
      </w:r>
      <w:r>
        <w:rPr>
          <w:rStyle w:val="CharDivText"/>
        </w:rPr>
        <w:t>Automatic variation of fees</w:t>
      </w:r>
      <w:bookmarkEnd w:id="74"/>
      <w:bookmarkEnd w:id="75"/>
    </w:p>
    <w:p>
      <w:pPr>
        <w:pStyle w:val="Footnoteheading"/>
      </w:pPr>
      <w:r>
        <w:tab/>
        <w:t>[Heading inserted in Gazette 13 May 2011 p. 1745.]</w:t>
      </w:r>
    </w:p>
    <w:p>
      <w:pPr>
        <w:pStyle w:val="Heading5"/>
      </w:pPr>
      <w:bookmarkStart w:id="76" w:name="_Toc292980006"/>
      <w:bookmarkStart w:id="77" w:name="_Toc429277135"/>
      <w:bookmarkStart w:id="78" w:name="_Toc26254749"/>
      <w:bookmarkStart w:id="79" w:name="_Toc26330944"/>
      <w:bookmarkEnd w:id="67"/>
      <w:bookmarkEnd w:id="69"/>
      <w:bookmarkEnd w:id="70"/>
      <w:r>
        <w:rPr>
          <w:rStyle w:val="CharSectno"/>
        </w:rPr>
        <w:t>19</w:t>
      </w:r>
      <w:r>
        <w:t>.</w:t>
      </w:r>
      <w:r>
        <w:tab/>
        <w:t>Biennial increases</w:t>
      </w:r>
      <w:bookmarkEnd w:id="76"/>
    </w:p>
    <w:p>
      <w:pPr>
        <w:pStyle w:val="Subsection"/>
      </w:pPr>
      <w:r>
        <w:tab/>
      </w:r>
      <w:r>
        <w:tab/>
        <w:t>A fee mentioned in Schedule 1 (other than a fee mentioned in item 8) is increased in accordance with this Division on each biennial anniversary of 1 July 2010.</w:t>
      </w:r>
    </w:p>
    <w:p>
      <w:pPr>
        <w:pStyle w:val="Footnotesection"/>
      </w:pPr>
      <w:r>
        <w:tab/>
        <w:t>[Regulation 19 inserted in Gazette 13 May 2011 p. 1745.]</w:t>
      </w:r>
    </w:p>
    <w:p>
      <w:pPr>
        <w:pStyle w:val="Heading5"/>
        <w:rPr>
          <w:snapToGrid w:val="0"/>
        </w:rPr>
      </w:pPr>
      <w:bookmarkStart w:id="80" w:name="_Toc292980007"/>
      <w:r>
        <w:rPr>
          <w:rStyle w:val="CharSectno"/>
        </w:rPr>
        <w:t>20</w:t>
      </w:r>
      <w:r>
        <w:rPr>
          <w:snapToGrid w:val="0"/>
        </w:rPr>
        <w:t>.</w:t>
      </w:r>
      <w:r>
        <w:rPr>
          <w:snapToGrid w:val="0"/>
        </w:rPr>
        <w:tab/>
        <w:t>Calculation of increase</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In this regulation —</w:t>
      </w:r>
    </w:p>
    <w:p>
      <w:pPr>
        <w:pStyle w:val="Defstart"/>
      </w:pPr>
      <w:r>
        <w:tab/>
      </w:r>
      <w:r>
        <w:rPr>
          <w:rStyle w:val="CharDefText"/>
        </w:rPr>
        <w:t>fee</w:t>
      </w:r>
      <w:r>
        <w:t xml:space="preserve"> means a fee mentioned in Schedule 1 (other than the fee mentioned in item 8);</w:t>
      </w:r>
    </w:p>
    <w:p>
      <w:pPr>
        <w:pStyle w:val="Defstart"/>
      </w:pPr>
      <w:r>
        <w:rPr>
          <w:b/>
        </w:rP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rPr>
          <w:b/>
        </w:rPr>
        <w:tab/>
      </w:r>
      <w:r>
        <w:rPr>
          <w:rStyle w:val="CharDefText"/>
        </w:rPr>
        <w:t>relevant period</w:t>
      </w:r>
      <w:r>
        <w:t xml:space="preserve"> means any of the following periods — </w:t>
      </w:r>
    </w:p>
    <w:p>
      <w:pPr>
        <w:pStyle w:val="Defpara"/>
      </w:pPr>
      <w:r>
        <w:tab/>
        <w:t>(a)</w:t>
      </w:r>
      <w:r>
        <w:tab/>
        <w:t>the 2 year period commencing on 1 July 2010;</w:t>
      </w:r>
    </w:p>
    <w:p>
      <w:pPr>
        <w:pStyle w:val="Defpara"/>
      </w:pPr>
      <w:r>
        <w:tab/>
        <w:t>(b)</w:t>
      </w:r>
      <w:r>
        <w:tab/>
        <w:t>after that period — each 2 year period commencing on a biennial anniversary of 1 July 2010.</w:t>
      </w:r>
    </w:p>
    <w:p>
      <w:pPr>
        <w:pStyle w:val="Subsection"/>
        <w:keepNext/>
        <w:keepLines/>
      </w:pPr>
      <w:r>
        <w:tab/>
        <w:t>(2)</w:t>
      </w:r>
      <w:r>
        <w:tab/>
        <w:t>If, in a relevant period, the latest CPI number is greater than the earlier CPI number, a fee is taken to increase, on 1 July immediately following the end of the period, in accordance with the formula:</w:t>
      </w:r>
    </w:p>
    <w:p>
      <w:pPr>
        <w:pStyle w:val="Equation"/>
        <w:keepNext/>
        <w:keepLines/>
        <w:jc w:val="center"/>
        <w:rPr>
          <w:position w:val="-30"/>
        </w:rPr>
      </w:pPr>
      <w:r>
        <w:rPr>
          <w:position w:val="-30"/>
        </w:rPr>
        <w:object w:dxaOrig="23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33.75pt" o:ole="">
            <v:imagedata r:id="rId19" o:title=""/>
          </v:shape>
          <o:OLEObject Type="Embed" ProgID="Equation.3" ShapeID="_x0000_i1025" DrawAspect="Content" ObjectID="_1644176268" r:id="rId20"/>
        </w:object>
      </w:r>
    </w:p>
    <w:p>
      <w:pPr>
        <w:pStyle w:val="Subsection"/>
        <w:keepNext/>
        <w:keepLines/>
      </w:pPr>
      <w:r>
        <w:tab/>
      </w:r>
      <w:r>
        <w:tab/>
        <w:t>where:</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(3)</w:t>
      </w:r>
      <w:r>
        <w:tab/>
        <w:t>If, apart from this subregulation, the amount of a fee increased under subregulation (2) would be an amount of dollars and cents, the amount is to be rounded to the nearest whole dollar and, if the amount to be rounded is 50 cents, rounded down.</w:t>
      </w:r>
    </w:p>
    <w:p>
      <w:pPr>
        <w:pStyle w:val="Subsection"/>
        <w:rPr>
          <w:snapToGrid w:val="0"/>
        </w:rPr>
      </w:pPr>
      <w:r>
        <w:tab/>
        <w:t>(4)</w:t>
      </w:r>
      <w:r>
        <w:tab/>
      </w:r>
      <w:r>
        <w:rPr>
          <w:snapToGrid w:val="0"/>
        </w:rPr>
        <w:t xml:space="preserve">Subject to </w:t>
      </w:r>
      <w:r>
        <w:t>subregulation (</w:t>
      </w:r>
      <w:r>
        <w:rPr>
          <w:snapToGrid w:val="0"/>
        </w:rPr>
        <w:t>5), if at any time, whether before or after the commencement of this regulation, the Australian Statistician publishes for a particular March quarter a CPI number in substitution for an index number previously published by the Australian Statistician for that quarter, the publication of the later index number is to be disregarded for the purposes of this regulation.</w:t>
      </w:r>
    </w:p>
    <w:p>
      <w:pPr>
        <w:pStyle w:val="Subsection"/>
        <w:rPr>
          <w:snapToGrid w:val="0"/>
        </w:rPr>
      </w:pPr>
      <w:r>
        <w:rPr>
          <w:snapToGrid w:val="0"/>
        </w:rPr>
        <w:tab/>
        <w:t>(5)</w:t>
      </w:r>
      <w:r>
        <w:rPr>
          <w:snapToGrid w:val="0"/>
        </w:rPr>
        <w:tab/>
        <w:t>If, at any time, whether before or after the commencement of this regulation, the Australian Statistician changes the reference base for the Consumer Price Index, then, for the purposes of the application of this regulation after the change is made, regard shall be had only to numbers published in terms of the new reference base.</w:t>
      </w:r>
    </w:p>
    <w:p>
      <w:pPr>
        <w:pStyle w:val="Footnotesection"/>
      </w:pPr>
      <w:bookmarkStart w:id="81" w:name="_Toc429277136"/>
      <w:bookmarkStart w:id="82" w:name="_Toc26254750"/>
      <w:bookmarkStart w:id="83" w:name="_Toc26330945"/>
      <w:r>
        <w:tab/>
        <w:t>[Regulation 20 amended in Gazette 13 May 2011 p. 1745.]</w:t>
      </w:r>
    </w:p>
    <w:p>
      <w:pPr>
        <w:pStyle w:val="Heading2"/>
        <w:rPr>
          <w:snapToGrid/>
        </w:rPr>
      </w:pPr>
      <w:bookmarkStart w:id="84" w:name="_Toc292974145"/>
      <w:bookmarkStart w:id="85" w:name="_Toc292980008"/>
      <w:r>
        <w:rPr>
          <w:rStyle w:val="CharPartNo"/>
        </w:rPr>
        <w:t>Part 4</w:t>
      </w:r>
      <w:r>
        <w:rPr>
          <w:rStyle w:val="CharDivNo"/>
        </w:rPr>
        <w:t> </w:t>
      </w:r>
      <w:r>
        <w:t>—</w:t>
      </w:r>
      <w:r>
        <w:rPr>
          <w:rStyle w:val="CharDivText"/>
        </w:rPr>
        <w:t> </w:t>
      </w:r>
      <w:r>
        <w:rPr>
          <w:rStyle w:val="CharPartText"/>
        </w:rPr>
        <w:t>Review</w:t>
      </w:r>
      <w:bookmarkEnd w:id="84"/>
      <w:bookmarkEnd w:id="85"/>
    </w:p>
    <w:p>
      <w:pPr>
        <w:pStyle w:val="Footnoteheading"/>
      </w:pPr>
      <w:r>
        <w:tab/>
        <w:t>[Heading inserted in Gazette 13 May 2011 p. 1746.]</w:t>
      </w:r>
    </w:p>
    <w:p>
      <w:pPr>
        <w:pStyle w:val="Heading5"/>
      </w:pPr>
      <w:bookmarkStart w:id="86" w:name="_Toc292980009"/>
      <w:bookmarkEnd w:id="81"/>
      <w:bookmarkEnd w:id="82"/>
      <w:bookmarkEnd w:id="83"/>
      <w:r>
        <w:rPr>
          <w:rStyle w:val="CharSectno"/>
        </w:rPr>
        <w:t>21</w:t>
      </w:r>
      <w:r>
        <w:t>.</w:t>
      </w:r>
      <w:r>
        <w:tab/>
        <w:t>Review of decisions under these regulations</w:t>
      </w:r>
      <w:bookmarkEnd w:id="86"/>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87" w:name="_Toc292974147"/>
      <w:bookmarkStart w:id="88" w:name="_Toc292980010"/>
      <w:r>
        <w:rPr>
          <w:rStyle w:val="CharPartNo"/>
        </w:rPr>
        <w:t>Part 5</w:t>
      </w:r>
      <w:r>
        <w:rPr>
          <w:rStyle w:val="CharDivNo"/>
        </w:rPr>
        <w:t> </w:t>
      </w:r>
      <w:r>
        <w:t>—</w:t>
      </w:r>
      <w:r>
        <w:rPr>
          <w:rStyle w:val="CharDivText"/>
        </w:rPr>
        <w:t> </w:t>
      </w:r>
      <w:r>
        <w:rPr>
          <w:rStyle w:val="CharPartText"/>
        </w:rPr>
        <w:t>Transitional provisions</w:t>
      </w:r>
      <w:bookmarkEnd w:id="87"/>
      <w:bookmarkEnd w:id="88"/>
    </w:p>
    <w:p>
      <w:pPr>
        <w:pStyle w:val="Footnoteheading"/>
      </w:pPr>
      <w:r>
        <w:tab/>
        <w:t>[Heading inserted in Gazette 13 May 2011 p. 1746.]</w:t>
      </w:r>
    </w:p>
    <w:p>
      <w:pPr>
        <w:pStyle w:val="Heading5"/>
      </w:pPr>
      <w:bookmarkStart w:id="89" w:name="_Toc292980011"/>
      <w:r>
        <w:rPr>
          <w:rStyle w:val="CharSectno"/>
        </w:rPr>
        <w:t>22</w:t>
      </w:r>
      <w:r>
        <w:t>.</w:t>
      </w:r>
      <w:r>
        <w:tab/>
        <w:t xml:space="preserve">Transitional provisions relating to the </w:t>
      </w:r>
      <w:r>
        <w:rPr>
          <w:i/>
        </w:rPr>
        <w:t>Family Court Amendment Regulations 2011</w:t>
      </w:r>
      <w:bookmarkEnd w:id="89"/>
    </w:p>
    <w:p>
      <w:pPr>
        <w:pStyle w:val="Subsection"/>
      </w:pPr>
      <w:r>
        <w:tab/>
        <w:t>(1)</w:t>
      </w:r>
      <w:r>
        <w:tab/>
        <w:t xml:space="preserve">In these regulations —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0" w:name="_Toc292974149"/>
      <w:bookmarkStart w:id="91" w:name="_Toc292980012"/>
      <w:bookmarkStart w:id="92" w:name="_Toc140572842"/>
      <w:bookmarkStart w:id="93" w:name="_Toc140572902"/>
      <w:bookmarkStart w:id="94" w:name="_Toc140572933"/>
      <w:bookmarkStart w:id="95" w:name="_Toc140635794"/>
      <w:bookmarkStart w:id="96" w:name="_Toc151958801"/>
      <w:bookmarkStart w:id="97" w:name="_Toc151963430"/>
      <w:bookmarkStart w:id="98" w:name="_Toc157930571"/>
      <w:bookmarkStart w:id="99" w:name="_Toc160609211"/>
      <w:r>
        <w:rPr>
          <w:rStyle w:val="CharSchNo"/>
        </w:rPr>
        <w:t>Schedule 1</w:t>
      </w:r>
      <w:r>
        <w:rPr>
          <w:rStyle w:val="CharSDivNo"/>
        </w:rPr>
        <w:t> </w:t>
      </w:r>
      <w:r>
        <w:t>—</w:t>
      </w:r>
      <w:r>
        <w:rPr>
          <w:rStyle w:val="CharSDivText"/>
        </w:rPr>
        <w:t> </w:t>
      </w:r>
      <w:r>
        <w:rPr>
          <w:rStyle w:val="CharSchText"/>
        </w:rPr>
        <w:t>Fees</w:t>
      </w:r>
      <w:bookmarkEnd w:id="90"/>
      <w:bookmarkEnd w:id="91"/>
    </w:p>
    <w:p>
      <w:pPr>
        <w:pStyle w:val="yShoulderClause"/>
      </w:pPr>
      <w:r>
        <w:t>[r. 18, 18A, 18B, 18C and 18D]</w:t>
      </w:r>
    </w:p>
    <w:p>
      <w:pPr>
        <w:pStyle w:val="yFootnoteheading"/>
      </w:pPr>
      <w:r>
        <w:tab/>
        <w:t>[Heading inserted in Gazette 13 May 2011 p. 1747.]</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252"/>
        <w:gridCol w:w="1134"/>
      </w:tblGrid>
      <w:tr>
        <w:trPr>
          <w:tblHeader/>
        </w:trPr>
        <w:tc>
          <w:tcPr>
            <w:tcW w:w="851" w:type="dxa"/>
          </w:tcPr>
          <w:p>
            <w:pPr>
              <w:pStyle w:val="yTableNAm"/>
              <w:rPr>
                <w:b/>
              </w:rPr>
            </w:pPr>
            <w:r>
              <w:rPr>
                <w:b/>
              </w:rPr>
              <w:t>Item</w:t>
            </w:r>
          </w:p>
        </w:tc>
        <w:tc>
          <w:tcPr>
            <w:tcW w:w="4252" w:type="dxa"/>
          </w:tcPr>
          <w:p>
            <w:pPr>
              <w:pStyle w:val="yTableNAm"/>
              <w:jc w:val="center"/>
              <w:rPr>
                <w:b/>
              </w:rPr>
            </w:pPr>
            <w:r>
              <w:rPr>
                <w:b/>
              </w:rPr>
              <w:t>Document or action</w:t>
            </w:r>
          </w:p>
        </w:tc>
        <w:tc>
          <w:tcPr>
            <w:tcW w:w="1134" w:type="dxa"/>
          </w:tcPr>
          <w:p>
            <w:pPr>
              <w:pStyle w:val="yTableNAm"/>
              <w:jc w:val="center"/>
              <w:rPr>
                <w:b/>
              </w:rPr>
            </w:pPr>
            <w:r>
              <w:rPr>
                <w:b/>
              </w:rPr>
              <w:t>Fee</w:t>
            </w:r>
          </w:p>
        </w:tc>
      </w:tr>
      <w:tr>
        <w:tc>
          <w:tcPr>
            <w:tcW w:w="851" w:type="dxa"/>
          </w:tcPr>
          <w:p>
            <w:pPr>
              <w:pStyle w:val="yTableNAm"/>
            </w:pPr>
            <w:r>
              <w:t>1.</w:t>
            </w:r>
          </w:p>
        </w:tc>
        <w:tc>
          <w:tcPr>
            <w:tcW w:w="4252" w:type="dxa"/>
          </w:tcPr>
          <w:p>
            <w:pPr>
              <w:pStyle w:val="yTableNAm"/>
            </w:pPr>
            <w:r>
              <w:t>Filing an application for final orders in Part 5A proceedings or for a parenting order</w:t>
            </w:r>
          </w:p>
        </w:tc>
        <w:tc>
          <w:tcPr>
            <w:tcW w:w="1134" w:type="dxa"/>
          </w:tcPr>
          <w:p>
            <w:pPr>
              <w:pStyle w:val="yTableNAm"/>
            </w:pPr>
            <w:r>
              <w:br/>
              <w:t>$243</w:t>
            </w:r>
          </w:p>
        </w:tc>
      </w:tr>
      <w:tr>
        <w:tc>
          <w:tcPr>
            <w:tcW w:w="851" w:type="dxa"/>
          </w:tcPr>
          <w:p>
            <w:pPr>
              <w:pStyle w:val="yTableNAm"/>
            </w:pPr>
            <w:r>
              <w:t>2.</w:t>
            </w:r>
          </w:p>
        </w:tc>
        <w:tc>
          <w:tcPr>
            <w:tcW w:w="4252" w:type="dxa"/>
          </w:tcPr>
          <w:p>
            <w:pPr>
              <w:pStyle w:val="yTableNAm"/>
            </w:pPr>
            <w:r>
              <w:t xml:space="preserve">Setting-down for hearing in Part 5A proceedings or for a parenting order, if defended, for final orders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1134" w:type="dxa"/>
          </w:tcPr>
          <w:p>
            <w:pPr>
              <w:pStyle w:val="yTableNAm"/>
            </w:pPr>
            <w:r>
              <w:br/>
            </w:r>
            <w:r>
              <w:br/>
            </w:r>
          </w:p>
          <w:p>
            <w:pPr>
              <w:pStyle w:val="yTableNAm"/>
            </w:pPr>
            <w:r>
              <w:t>$608</w:t>
            </w:r>
          </w:p>
          <w:p>
            <w:pPr>
              <w:pStyle w:val="yTableNAm"/>
            </w:pPr>
            <w:r>
              <w:t>$444</w:t>
            </w:r>
          </w:p>
        </w:tc>
      </w:tr>
      <w:tr>
        <w:tc>
          <w:tcPr>
            <w:tcW w:w="851" w:type="dxa"/>
          </w:tcPr>
          <w:p>
            <w:pPr>
              <w:pStyle w:val="yTableNAm"/>
            </w:pPr>
            <w:r>
              <w:t>3.</w:t>
            </w:r>
          </w:p>
        </w:tc>
        <w:tc>
          <w:tcPr>
            <w:tcW w:w="4252" w:type="dxa"/>
          </w:tcPr>
          <w:p>
            <w:pPr>
              <w:pStyle w:val="yTableNAm"/>
            </w:pPr>
            <w:r>
              <w:t xml:space="preserve">Hearing in Part 5A proceedings or for a parenting order, if defended, for final orders — for each hearing day, or part of a hearing day, excluding the first hearing day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1134" w:type="dxa"/>
          </w:tcPr>
          <w:p>
            <w:pPr>
              <w:pStyle w:val="yTableNAm"/>
            </w:pPr>
            <w:r>
              <w:br/>
            </w:r>
            <w:r>
              <w:br/>
            </w:r>
            <w:r>
              <w:br/>
            </w:r>
            <w:r>
              <w:br/>
            </w:r>
          </w:p>
          <w:p>
            <w:pPr>
              <w:pStyle w:val="yTableNAm"/>
            </w:pPr>
            <w:r>
              <w:t>$608</w:t>
            </w:r>
          </w:p>
          <w:p>
            <w:pPr>
              <w:pStyle w:val="yTableNAm"/>
            </w:pPr>
            <w:r>
              <w:t>$444</w:t>
            </w:r>
          </w:p>
        </w:tc>
      </w:tr>
      <w:tr>
        <w:tc>
          <w:tcPr>
            <w:tcW w:w="851" w:type="dxa"/>
          </w:tcPr>
          <w:p>
            <w:pPr>
              <w:pStyle w:val="yTableNAm"/>
            </w:pPr>
            <w:r>
              <w:t>4.</w:t>
            </w:r>
          </w:p>
        </w:tc>
        <w:tc>
          <w:tcPr>
            <w:tcW w:w="4252" w:type="dxa"/>
          </w:tcPr>
          <w:p>
            <w:pPr>
              <w:pStyle w:val="yTableNAm"/>
            </w:pPr>
            <w:r>
              <w:t>Filing a response to an application for final orders in Part 5A proceedings or for a parenting order</w:t>
            </w:r>
          </w:p>
        </w:tc>
        <w:tc>
          <w:tcPr>
            <w:tcW w:w="1134" w:type="dxa"/>
          </w:tcPr>
          <w:p>
            <w:pPr>
              <w:pStyle w:val="yTableNAm"/>
            </w:pPr>
            <w:r>
              <w:br/>
            </w:r>
            <w:r>
              <w:br/>
              <w:t>$243</w:t>
            </w:r>
          </w:p>
        </w:tc>
      </w:tr>
      <w:tr>
        <w:tc>
          <w:tcPr>
            <w:tcW w:w="851" w:type="dxa"/>
          </w:tcPr>
          <w:p>
            <w:pPr>
              <w:pStyle w:val="yTableNAm"/>
            </w:pPr>
            <w:r>
              <w:t>5.</w:t>
            </w:r>
          </w:p>
        </w:tc>
        <w:tc>
          <w:tcPr>
            <w:tcW w:w="4252" w:type="dxa"/>
          </w:tcPr>
          <w:p>
            <w:pPr>
              <w:pStyle w:val="yTableNAm"/>
            </w:pPr>
            <w:r>
              <w:t>Setting-down for hearing in an appeal under section 211 from a decree of a Magistrates Court</w:t>
            </w:r>
          </w:p>
        </w:tc>
        <w:tc>
          <w:tcPr>
            <w:tcW w:w="1134" w:type="dxa"/>
          </w:tcPr>
          <w:p>
            <w:pPr>
              <w:pStyle w:val="yTableNAm"/>
            </w:pPr>
            <w:r>
              <w:br/>
            </w:r>
            <w:r>
              <w:br/>
              <w:t>$608</w:t>
            </w:r>
          </w:p>
        </w:tc>
      </w:tr>
      <w:tr>
        <w:tc>
          <w:tcPr>
            <w:tcW w:w="851" w:type="dxa"/>
          </w:tcPr>
          <w:p>
            <w:pPr>
              <w:pStyle w:val="yTableNAm"/>
            </w:pPr>
            <w:r>
              <w:t>6.</w:t>
            </w:r>
          </w:p>
        </w:tc>
        <w:tc>
          <w:tcPr>
            <w:tcW w:w="4252" w:type="dxa"/>
          </w:tcPr>
          <w:p>
            <w:pPr>
              <w:pStyle w:val="yTableNAm"/>
            </w:pPr>
            <w:r>
              <w:t>Hearing in an appeal under section 211 from a decree of a Magistrates Court — for each hearing day, or part of a hearing day, excluding the first hearing day</w:t>
            </w:r>
          </w:p>
        </w:tc>
        <w:tc>
          <w:tcPr>
            <w:tcW w:w="1134" w:type="dxa"/>
          </w:tcPr>
          <w:p>
            <w:pPr>
              <w:pStyle w:val="yTableNAm"/>
            </w:pPr>
            <w:r>
              <w:br/>
            </w:r>
            <w:r>
              <w:br/>
            </w:r>
            <w:r>
              <w:br/>
              <w:t>$608</w:t>
            </w:r>
          </w:p>
        </w:tc>
      </w:tr>
      <w:tr>
        <w:tc>
          <w:tcPr>
            <w:tcW w:w="851" w:type="dxa"/>
          </w:tcPr>
          <w:p>
            <w:pPr>
              <w:pStyle w:val="yTableNAm"/>
            </w:pPr>
            <w:r>
              <w:t>7.</w:t>
            </w:r>
          </w:p>
        </w:tc>
        <w:tc>
          <w:tcPr>
            <w:tcW w:w="4252" w:type="dxa"/>
          </w:tcPr>
          <w:p>
            <w:pPr>
              <w:pStyle w:val="yTableNAm"/>
            </w:pPr>
            <w:r>
              <w:t>Filing an application for a consent order</w:t>
            </w:r>
          </w:p>
        </w:tc>
        <w:tc>
          <w:tcPr>
            <w:tcW w:w="1134" w:type="dxa"/>
          </w:tcPr>
          <w:p>
            <w:pPr>
              <w:pStyle w:val="yTableNAm"/>
            </w:pPr>
            <w:r>
              <w:t>$80</w:t>
            </w:r>
          </w:p>
        </w:tc>
      </w:tr>
      <w:tr>
        <w:tc>
          <w:tcPr>
            <w:tcW w:w="851" w:type="dxa"/>
          </w:tcPr>
          <w:p>
            <w:pPr>
              <w:pStyle w:val="yTableNAm"/>
            </w:pPr>
            <w:r>
              <w:t>8.</w:t>
            </w:r>
          </w:p>
        </w:tc>
        <w:tc>
          <w:tcPr>
            <w:tcW w:w="4252" w:type="dxa"/>
          </w:tcPr>
          <w:p>
            <w:pPr>
              <w:pStyle w:val="yTableNAm"/>
            </w:pPr>
            <w:r>
              <w:t>Reduced fee</w:t>
            </w:r>
          </w:p>
        </w:tc>
        <w:tc>
          <w:tcPr>
            <w:tcW w:w="1134" w:type="dxa"/>
          </w:tcPr>
          <w:p>
            <w:pPr>
              <w:pStyle w:val="yTableNAm"/>
            </w:pPr>
            <w:r>
              <w:t>$60</w:t>
            </w:r>
          </w:p>
        </w:tc>
      </w:tr>
    </w:tbl>
    <w:p>
      <w:pPr>
        <w:pStyle w:val="yFootnotesection"/>
      </w:pPr>
      <w:r>
        <w:tab/>
        <w:t>[Schedule 1 inserted in Gazette 13 May 2011 p. 1747.]</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00" w:name="_Toc292974150"/>
      <w:bookmarkStart w:id="101" w:name="_Toc292980013"/>
      <w:r>
        <w:t>Notes</w:t>
      </w:r>
      <w:bookmarkEnd w:id="92"/>
      <w:bookmarkEnd w:id="93"/>
      <w:bookmarkEnd w:id="94"/>
      <w:bookmarkEnd w:id="95"/>
      <w:bookmarkEnd w:id="96"/>
      <w:bookmarkEnd w:id="97"/>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2" w:name="_Toc292980014"/>
      <w:r>
        <w:rPr>
          <w:snapToGrid w:val="0"/>
        </w:rP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Family Court Regulations 1998</w:t>
            </w:r>
          </w:p>
        </w:tc>
        <w:tc>
          <w:tcPr>
            <w:tcW w:w="1276" w:type="dxa"/>
            <w:tcBorders>
              <w:top w:val="single" w:sz="4" w:space="0" w:color="auto"/>
            </w:tcBorders>
          </w:tcPr>
          <w:p>
            <w:pPr>
              <w:pStyle w:val="nTable"/>
              <w:spacing w:after="40"/>
              <w:rPr>
                <w:sz w:val="19"/>
              </w:rPr>
            </w:pPr>
            <w:r>
              <w:rPr>
                <w:sz w:val="19"/>
              </w:rPr>
              <w:t>25 Sep 1998 p. 5303</w:t>
            </w:r>
            <w:r>
              <w:rPr>
                <w:sz w:val="19"/>
              </w:rPr>
              <w:noBreakHyphen/>
              <w:t>9</w:t>
            </w:r>
          </w:p>
        </w:tc>
        <w:tc>
          <w:tcPr>
            <w:tcW w:w="2693" w:type="dxa"/>
            <w:tcBorders>
              <w:top w:val="single" w:sz="4" w:space="0" w:color="auto"/>
            </w:tcBorders>
          </w:tcPr>
          <w:p>
            <w:pPr>
              <w:pStyle w:val="nTable"/>
              <w:spacing w:after="40"/>
              <w:rPr>
                <w:sz w:val="19"/>
              </w:rPr>
            </w:pPr>
            <w:r>
              <w:rPr>
                <w:sz w:val="19"/>
              </w:rPr>
              <w:t xml:space="preserve">26 Sep 1998 (see r. 2 and </w:t>
            </w:r>
            <w:r>
              <w:rPr>
                <w:i/>
                <w:sz w:val="19"/>
              </w:rPr>
              <w:t>Gazette</w:t>
            </w:r>
            <w:r>
              <w:rPr>
                <w:sz w:val="19"/>
              </w:rPr>
              <w:t xml:space="preserve"> 25 Sep 1998 p. 5295)</w:t>
            </w:r>
          </w:p>
        </w:tc>
      </w:tr>
      <w:tr>
        <w:tc>
          <w:tcPr>
            <w:tcW w:w="3118" w:type="dxa"/>
          </w:tcPr>
          <w:p>
            <w:pPr>
              <w:pStyle w:val="nTable"/>
              <w:spacing w:after="40"/>
              <w:rPr>
                <w:i/>
                <w:sz w:val="19"/>
              </w:rPr>
            </w:pPr>
            <w:r>
              <w:rPr>
                <w:i/>
                <w:sz w:val="19"/>
              </w:rPr>
              <w:t>Family Court Amendment Regulations 2002</w:t>
            </w:r>
          </w:p>
        </w:tc>
        <w:tc>
          <w:tcPr>
            <w:tcW w:w="1276" w:type="dxa"/>
          </w:tcPr>
          <w:p>
            <w:pPr>
              <w:pStyle w:val="nTable"/>
              <w:spacing w:after="40"/>
              <w:rPr>
                <w:sz w:val="19"/>
              </w:rPr>
            </w:pPr>
            <w:r>
              <w:rPr>
                <w:sz w:val="19"/>
              </w:rPr>
              <w:t>29 Nov 2002 p. 5663-5</w:t>
            </w:r>
          </w:p>
        </w:tc>
        <w:tc>
          <w:tcPr>
            <w:tcW w:w="2693" w:type="dxa"/>
          </w:tcPr>
          <w:p>
            <w:pPr>
              <w:pStyle w:val="nTable"/>
              <w:spacing w:after="40"/>
              <w:rPr>
                <w:sz w:val="19"/>
              </w:rPr>
            </w:pPr>
            <w:r>
              <w:rPr>
                <w:sz w:val="19"/>
              </w:rPr>
              <w:t xml:space="preserve">1 Dec 2002 (see r. 3 and </w:t>
            </w:r>
            <w:r>
              <w:rPr>
                <w:i/>
                <w:sz w:val="19"/>
              </w:rPr>
              <w:t>Gazette</w:t>
            </w:r>
            <w:r>
              <w:rPr>
                <w:sz w:val="19"/>
              </w:rPr>
              <w:t xml:space="preserve"> 29 Nov 2002 p. 5651)</w:t>
            </w:r>
          </w:p>
        </w:tc>
      </w:tr>
      <w:tr>
        <w:tc>
          <w:tcPr>
            <w:tcW w:w="3118" w:type="dxa"/>
          </w:tcPr>
          <w:p>
            <w:pPr>
              <w:pStyle w:val="nTable"/>
              <w:spacing w:after="40"/>
              <w:rPr>
                <w:i/>
                <w:sz w:val="19"/>
              </w:rPr>
            </w:pPr>
            <w:r>
              <w:rPr>
                <w:i/>
                <w:sz w:val="19"/>
              </w:rPr>
              <w:t>Family Court Amendment Regulations 2006</w:t>
            </w:r>
          </w:p>
        </w:tc>
        <w:tc>
          <w:tcPr>
            <w:tcW w:w="1276" w:type="dxa"/>
          </w:tcPr>
          <w:p>
            <w:pPr>
              <w:pStyle w:val="nTable"/>
              <w:spacing w:after="40"/>
              <w:rPr>
                <w:sz w:val="19"/>
              </w:rPr>
            </w:pPr>
            <w:r>
              <w:rPr>
                <w:sz w:val="19"/>
              </w:rPr>
              <w:t>14 Jul 2006 p. 2560</w:t>
            </w:r>
            <w:r>
              <w:rPr>
                <w:sz w:val="19"/>
              </w:rPr>
              <w:noBreakHyphen/>
              <w:t>3</w:t>
            </w:r>
          </w:p>
        </w:tc>
        <w:tc>
          <w:tcPr>
            <w:tcW w:w="2693" w:type="dxa"/>
          </w:tcPr>
          <w:p>
            <w:pPr>
              <w:pStyle w:val="nTable"/>
              <w:spacing w:after="40"/>
              <w:rPr>
                <w:sz w:val="19"/>
              </w:rPr>
            </w:pPr>
            <w:r>
              <w:rPr>
                <w:sz w:val="19"/>
              </w:rPr>
              <w:t xml:space="preserve">15 Jul 2006 (see r. 2 and </w:t>
            </w:r>
            <w:r>
              <w:rPr>
                <w:i/>
                <w:iCs/>
                <w:sz w:val="19"/>
              </w:rPr>
              <w:t>Gazette</w:t>
            </w:r>
            <w:r>
              <w:rPr>
                <w:sz w:val="19"/>
              </w:rPr>
              <w:t xml:space="preserve"> 14 Jul 2006 p. 2559)</w:t>
            </w:r>
          </w:p>
        </w:tc>
      </w:tr>
      <w:tr>
        <w:trPr>
          <w:cantSplit/>
        </w:trPr>
        <w:tc>
          <w:tcPr>
            <w:tcW w:w="7087" w:type="dxa"/>
            <w:gridSpan w:val="3"/>
          </w:tcPr>
          <w:p>
            <w:pPr>
              <w:pStyle w:val="nTable"/>
              <w:spacing w:after="40"/>
              <w:rPr>
                <w:sz w:val="19"/>
              </w:rPr>
            </w:pPr>
            <w:r>
              <w:rPr>
                <w:b/>
                <w:bCs/>
                <w:sz w:val="19"/>
              </w:rPr>
              <w:t xml:space="preserve">Reprint 1: The </w:t>
            </w:r>
            <w:r>
              <w:rPr>
                <w:b/>
                <w:bCs/>
                <w:i/>
                <w:sz w:val="19"/>
              </w:rPr>
              <w:t>Family Court Regulations 1998</w:t>
            </w:r>
            <w:r>
              <w:rPr>
                <w:b/>
                <w:bCs/>
                <w:sz w:val="19"/>
              </w:rPr>
              <w:t xml:space="preserve"> as at 9 Feb 2007</w:t>
            </w:r>
            <w:r>
              <w:rPr>
                <w:sz w:val="19"/>
              </w:rPr>
              <w:t xml:space="preserve"> (includes amendments listed above)</w:t>
            </w:r>
          </w:p>
        </w:tc>
      </w:tr>
      <w:tr>
        <w:tc>
          <w:tcPr>
            <w:tcW w:w="3118" w:type="dxa"/>
          </w:tcPr>
          <w:p>
            <w:pPr>
              <w:pStyle w:val="nTable"/>
              <w:spacing w:after="40"/>
              <w:rPr>
                <w:i/>
                <w:sz w:val="19"/>
              </w:rPr>
            </w:pPr>
            <w:r>
              <w:rPr>
                <w:i/>
                <w:sz w:val="19"/>
              </w:rPr>
              <w:t>Family Court Amendment Regulations (No. 2) 2010</w:t>
            </w:r>
          </w:p>
        </w:tc>
        <w:tc>
          <w:tcPr>
            <w:tcW w:w="1276" w:type="dxa"/>
          </w:tcPr>
          <w:p>
            <w:pPr>
              <w:pStyle w:val="nTable"/>
              <w:spacing w:after="40"/>
              <w:rPr>
                <w:sz w:val="19"/>
              </w:rPr>
            </w:pPr>
            <w:r>
              <w:rPr>
                <w:sz w:val="19"/>
              </w:rPr>
              <w:t>9 Nov 2010 p. 5628-9</w:t>
            </w:r>
          </w:p>
        </w:tc>
        <w:tc>
          <w:tcPr>
            <w:tcW w:w="2693" w:type="dxa"/>
          </w:tcPr>
          <w:p>
            <w:pPr>
              <w:pStyle w:val="nTable"/>
              <w:spacing w:after="40"/>
              <w:rPr>
                <w:sz w:val="19"/>
              </w:rPr>
            </w:pPr>
            <w:r>
              <w:rPr>
                <w:sz w:val="19"/>
              </w:rPr>
              <w:t>r. 1 and 2: 9 Nov 2010 (see r. 2(a));</w:t>
            </w:r>
            <w:r>
              <w:rPr>
                <w:sz w:val="19"/>
              </w:rPr>
              <w:br/>
              <w:t>Regulations other than r. 1 and 2: 10 Nov 2010 (see r. 2(b)(ii))</w:t>
            </w:r>
          </w:p>
        </w:tc>
      </w:tr>
      <w:tr>
        <w:tc>
          <w:tcPr>
            <w:tcW w:w="3118" w:type="dxa"/>
            <w:tcBorders>
              <w:bottom w:val="single" w:sz="4" w:space="0" w:color="auto"/>
            </w:tcBorders>
          </w:tcPr>
          <w:p>
            <w:pPr>
              <w:pStyle w:val="nTable"/>
              <w:spacing w:after="40"/>
              <w:rPr>
                <w:i/>
                <w:sz w:val="19"/>
              </w:rPr>
            </w:pPr>
            <w:r>
              <w:rPr>
                <w:i/>
                <w:sz w:val="19"/>
              </w:rPr>
              <w:t>Family Court Amendment Regulations 2011</w:t>
            </w:r>
          </w:p>
        </w:tc>
        <w:tc>
          <w:tcPr>
            <w:tcW w:w="1276" w:type="dxa"/>
            <w:tcBorders>
              <w:bottom w:val="single" w:sz="4" w:space="0" w:color="auto"/>
            </w:tcBorders>
          </w:tcPr>
          <w:p>
            <w:pPr>
              <w:pStyle w:val="nTable"/>
              <w:spacing w:after="40"/>
              <w:rPr>
                <w:sz w:val="19"/>
              </w:rPr>
            </w:pPr>
            <w:r>
              <w:rPr>
                <w:sz w:val="19"/>
              </w:rPr>
              <w:t>13 May 2011 p. 1737-47</w:t>
            </w:r>
          </w:p>
        </w:tc>
        <w:tc>
          <w:tcPr>
            <w:tcW w:w="2693" w:type="dxa"/>
            <w:tcBorders>
              <w:bottom w:val="single" w:sz="4" w:space="0" w:color="auto"/>
            </w:tcBorders>
          </w:tcPr>
          <w:p>
            <w:pPr>
              <w:pStyle w:val="nTable"/>
              <w:spacing w:after="40"/>
              <w:rPr>
                <w:sz w:val="19"/>
              </w:rPr>
            </w:pPr>
            <w:r>
              <w:rPr>
                <w:sz w:val="19"/>
              </w:rPr>
              <w:t>r. 1 and 2: 13 May 2011 (see r. 2(a));</w:t>
            </w:r>
            <w:r>
              <w:rPr>
                <w:sz w:val="19"/>
              </w:rPr>
              <w:br/>
              <w:t>Regulations other than r. 1 and 2: 14 May 2011 (see r.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Family Court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853"/>
    <w:docVar w:name="WAFER_20151204125853" w:val="RemoveTrackChanges"/>
    <w:docVar w:name="WAFER_20151204125853_GUID" w:val="1fc01874-b298-4fe6-a8ca-7462ac41e1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4513</Words>
  <Characters>21260</Characters>
  <Application>Microsoft Office Word</Application>
  <DocSecurity>0</DocSecurity>
  <Lines>664</Lines>
  <Paragraphs>429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Family Court Regulations 1998</vt:lpstr>
      <vt:lpstr>Family Court Regulations 1998</vt:lpstr>
      <vt:lpstr>    Part 1 — Preliminary</vt:lpstr>
      <vt:lpstr>    Part 2 — General</vt:lpstr>
      <vt:lpstr>    Part 3 — Court fees</vt:lpstr>
      <vt:lpstr>        Division 1 — Preliminary</vt:lpstr>
      <vt:lpstr>        Division 2 — Court fees payable</vt:lpstr>
      <vt:lpstr>        Division 3 — Automatic variation of fees</vt:lpstr>
      <vt:lpstr>    Part 4 — Review</vt:lpstr>
      <vt:lpstr>    Part 5 — Transitional provisions</vt:lpstr>
      <vt:lpstr>    Schedule 1 — Fees</vt:lpstr>
      <vt:lpstr>    Notes</vt:lpstr>
    </vt:vector>
  </TitlesOfParts>
  <Manager/>
  <Company/>
  <LinksUpToDate>false</LinksUpToDate>
  <CharactersWithSpaces>25344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1998 - 01-c0-02</dc:title>
  <dc:subject/>
  <dc:creator/>
  <cp:keywords/>
  <dc:description/>
  <cp:lastModifiedBy>svcMRProcess</cp:lastModifiedBy>
  <cp:revision>4</cp:revision>
  <cp:lastPrinted>2007-01-30T06:27:00Z</cp:lastPrinted>
  <dcterms:created xsi:type="dcterms:W3CDTF">2020-02-25T14:51:00Z</dcterms:created>
  <dcterms:modified xsi:type="dcterms:W3CDTF">2020-02-25T14:51:00Z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20110514</vt:lpwstr>
  </property>
  <property fmtid="{D5CDD505-2E9C-101B-9397-08002B2CF9AE}" pid="4" name="DocumentType">
    <vt:lpwstr>Reg</vt:lpwstr>
  </property>
  <property fmtid="{D5CDD505-2E9C-101B-9397-08002B2CF9AE}" pid="5" name="OwlsUID">
    <vt:i4>110</vt:i4>
  </property>
  <property fmtid="{D5CDD505-2E9C-101B-9397-08002B2CF9AE}" pid="6" name="ReprintNo">
    <vt:lpwstr>1</vt:lpwstr>
  </property>
  <property fmtid="{D5CDD505-2E9C-101B-9397-08002B2CF9AE}" pid="7" name="AsAtDate">
    <vt:lpwstr>14 May 2011</vt:lpwstr>
  </property>
  <property fmtid="{D5CDD505-2E9C-101B-9397-08002B2CF9AE}" pid="8" name="Suffix">
    <vt:lpwstr>01-c0-02</vt:lpwstr>
  </property>
</Properties>
</file>